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jc w:val="both"/>
        <w:rPr/>
      </w:pPr>
      <w:bookmarkStart w:colFirst="0" w:colLast="0" w:name="_xsjjllm29kxl" w:id="0"/>
      <w:bookmarkEnd w:id="0"/>
      <w:r w:rsidDel="00000000" w:rsidR="00000000" w:rsidRPr="00000000">
        <w:rPr>
          <w:rtl w:val="0"/>
        </w:rPr>
        <w:t xml:space="preserve">Centrioles Encode Cell Fate</w:t>
      </w:r>
    </w:p>
    <w:p w:rsidR="00000000" w:rsidDel="00000000" w:rsidP="00000000" w:rsidRDefault="00000000" w:rsidRPr="00000000" w14:paraId="00000002">
      <w:pPr>
        <w:pStyle w:val="Subtitle"/>
        <w:spacing w:after="200" w:lineRule="auto"/>
        <w:jc w:val="both"/>
        <w:rPr/>
      </w:pPr>
      <w:bookmarkStart w:colFirst="0" w:colLast="0" w:name="_rg86473w16fh" w:id="1"/>
      <w:bookmarkEnd w:id="1"/>
      <w:r w:rsidDel="00000000" w:rsidR="00000000" w:rsidRPr="00000000">
        <w:rPr>
          <w:rtl w:val="0"/>
        </w:rPr>
        <w:t xml:space="preserve">An integrative hub for asymmetric division, ciliary signaling, and differentiation control</w:t>
      </w:r>
    </w:p>
    <w:p w:rsidR="00000000" w:rsidDel="00000000" w:rsidP="00000000" w:rsidRDefault="00000000" w:rsidRPr="00000000" w14:paraId="00000003">
      <w:pPr>
        <w:spacing w:after="200" w:lineRule="auto"/>
        <w:jc w:val="both"/>
        <w:rPr/>
      </w:pPr>
      <w:r w:rsidDel="00000000" w:rsidR="00000000" w:rsidRPr="00000000">
        <w:rPr>
          <w:b w:val="1"/>
          <w:bCs w:val="1"/>
          <w:sz w:val="18"/>
          <w:szCs w:val="18"/>
          <w:rtl w:val="0"/>
        </w:rPr>
        <w:t xml:space="preserve">Jaba Tkemaladze</w:t>
      </w:r>
      <w:r w:rsidDel="00000000" w:rsidR="00000000" w:rsidRPr="00000000">
        <w:rPr>
          <w:sz w:val="18"/>
          <w:szCs w:val="18"/>
          <w:rtl w:val="0"/>
        </w:rPr>
        <w:t xml:space="preserve"> </w:t>
      </w:r>
      <w:r w:rsidDel="00000000" w:rsidR="00000000" w:rsidRPr="00000000">
        <w:rPr>
          <w:sz w:val="18"/>
          <w:szCs w:val="18"/>
          <w:vertAlign w:val="superscript"/>
          <w:rtl w:val="0"/>
        </w:rPr>
        <w:t xml:space="preserve"> </w:t>
      </w:r>
      <w:hyperlink r:id="rId6">
        <w:r w:rsidDel="00000000" w:rsidR="00000000" w:rsidRPr="00000000">
          <w:rPr>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br w:type="textWrapping"/>
      </w: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Kutaisi International University</w:t>
        <w:br w:type="textWrapping"/>
      </w:r>
      <w:r w:rsidDel="00000000" w:rsidR="00000000" w:rsidRPr="00000000">
        <w:rPr>
          <w:b w:val="1"/>
          <w:bCs w:val="1"/>
          <w:sz w:val="18"/>
          <w:szCs w:val="18"/>
          <w:rtl w:val="0"/>
        </w:rPr>
        <w:t xml:space="preserve">E-Mail: </w:t>
      </w:r>
      <w:r w:rsidDel="00000000" w:rsidR="00000000" w:rsidRPr="00000000">
        <w:rPr>
          <w:rFonts w:ascii="Roboto" w:cs="Roboto" w:eastAsia="Roboto" w:hAnsi="Roboto"/>
          <w:color w:val="0f1115"/>
          <w:sz w:val="18"/>
          <w:szCs w:val="18"/>
          <w:highlight w:val="white"/>
          <w:rtl w:val="0"/>
        </w:rPr>
        <w:t xml:space="preserve">djabbat@gmail.com</w:t>
      </w:r>
      <w:r w:rsidDel="00000000" w:rsidR="00000000" w:rsidRPr="00000000">
        <w:rPr>
          <w:rtl w:val="0"/>
        </w:rPr>
      </w:r>
    </w:p>
    <w:p w:rsidR="00000000" w:rsidDel="00000000" w:rsidP="00000000" w:rsidRDefault="00000000" w:rsidRPr="00000000" w14:paraId="00000004">
      <w:pPr>
        <w:pStyle w:val="Heading1"/>
        <w:spacing w:after="200" w:lineRule="auto"/>
        <w:jc w:val="both"/>
        <w:rPr/>
      </w:pPr>
      <w:bookmarkStart w:colFirst="0" w:colLast="0" w:name="_ptvckcb6mk3f" w:id="2"/>
      <w:bookmarkEnd w:id="2"/>
      <w:r w:rsidDel="00000000" w:rsidR="00000000" w:rsidRPr="00000000">
        <w:rPr>
          <w:rtl w:val="0"/>
        </w:rPr>
        <w:t xml:space="preserve">Abstract</w:t>
      </w:r>
    </w:p>
    <w:p w:rsidR="00000000" w:rsidDel="00000000" w:rsidP="00000000" w:rsidRDefault="00000000" w:rsidRPr="00000000" w14:paraId="00000005">
      <w:pPr>
        <w:spacing w:after="200" w:lineRule="auto"/>
        <w:jc w:val="both"/>
        <w:rPr/>
      </w:pPr>
      <w:r w:rsidDel="00000000" w:rsidR="00000000" w:rsidRPr="00000000">
        <w:rPr>
          <w:rtl w:val="0"/>
        </w:rPr>
        <w:t xml:space="preserve">For over a century, centrioles have been defined by their canonical roles in mitosis and ciliogenesis. A paradigm shift now positions them as central processors of cellular differentiation. Through asymmetric cell division, centrioles dictate the segregation of fate determinants (Siller &amp; Doe, 2009; Wang et al., 2009). As basal bodies, they template the primary cilium—a signaling antenna essential for Hedgehog, Wnt, and PDGF pathways (Goetz &amp; Anderson, 2010). Moreover, centriole number, structure, and maturity serve as sensors of cellular integrity, triggering p53-mediated responses that influence cell cycle exit and differentiation (Fong et al., 2016; Lambrus et al., 2016). This review synthesizes evidence that centrioles function as dynamic signaling hubs, linking their dysfunction to developmental disorders and cancer, and offering novel targets for regenerative medicine.</w:t>
      </w:r>
    </w:p>
    <w:p w:rsidR="00000000" w:rsidDel="00000000" w:rsidP="00000000" w:rsidRDefault="00000000" w:rsidRPr="00000000" w14:paraId="00000006">
      <w:pPr>
        <w:jc w:val="both"/>
        <w:rPr/>
      </w:pPr>
      <w:r w:rsidDel="00000000" w:rsidR="00000000" w:rsidRPr="00000000">
        <w:rPr>
          <w:b w:val="1"/>
          <w:bCs w:val="1"/>
          <w:rtl w:val="0"/>
        </w:rPr>
        <w:t xml:space="preserve">Keywords</w:t>
      </w:r>
      <w:r w:rsidDel="00000000" w:rsidR="00000000" w:rsidRPr="00000000">
        <w:rPr>
          <w:rtl w:val="0"/>
        </w:rPr>
        <w:t xml:space="preserve">: Active Measurement, Epistemological Provocation, Entropy, Latent Reality, Predictive Conflict, Ze System.</w:t>
      </w:r>
    </w:p>
    <w:p w:rsidR="00000000" w:rsidDel="00000000" w:rsidP="00000000" w:rsidRDefault="00000000" w:rsidRPr="00000000" w14:paraId="00000007">
      <w:pPr>
        <w:pStyle w:val="Heading1"/>
        <w:spacing w:after="200" w:lineRule="auto"/>
        <w:jc w:val="both"/>
        <w:rPr/>
      </w:pPr>
      <w:bookmarkStart w:colFirst="0" w:colLast="0" w:name="_fgk6fn35zx14" w:id="3"/>
      <w:bookmarkEnd w:id="3"/>
      <w:r w:rsidDel="00000000" w:rsidR="00000000" w:rsidRPr="00000000">
        <w:rPr>
          <w:rtl w:val="0"/>
        </w:rPr>
        <w:t xml:space="preserve">Introduction</w:t>
      </w:r>
    </w:p>
    <w:p w:rsidR="00000000" w:rsidDel="00000000" w:rsidP="00000000" w:rsidRDefault="00000000" w:rsidRPr="00000000" w14:paraId="00000008">
      <w:pPr>
        <w:spacing w:after="200" w:lineRule="auto"/>
        <w:jc w:val="both"/>
        <w:rPr/>
      </w:pPr>
      <w:r w:rsidDel="00000000" w:rsidR="00000000" w:rsidRPr="00000000">
        <w:rPr>
          <w:rtl w:val="0"/>
        </w:rPr>
        <w:t xml:space="preserve">Centrioles are cylindrical microtubule-based organelles integral to centrosome function. Beyond organizing mitotic spindles and templating cilia, emerging data reveal non-canonical roles in fate specification. The apparent paradox—an organelle central to division regulating post-mitotic differentiation—is resolved by viewing centrioles as integrative scaffolds that process spatial, mechanical, and biochemical cues (Bazzi &amp; Anderson, 2014; Pestreanu &amp; Palumbos, 2021). This preprint synthesizes contemporary evidence, highlighting centrioles as regulatory nodes in differentiation networks.</w:t>
      </w:r>
    </w:p>
    <w:p w:rsidR="00000000" w:rsidDel="00000000" w:rsidP="00000000" w:rsidRDefault="00000000" w:rsidRPr="00000000" w14:paraId="00000009">
      <w:pPr>
        <w:pStyle w:val="Heading1"/>
        <w:spacing w:after="200" w:lineRule="auto"/>
        <w:rPr/>
      </w:pPr>
      <w:bookmarkStart w:colFirst="0" w:colLast="0" w:name="_xluqjsjjsz1v" w:id="4"/>
      <w:bookmarkEnd w:id="4"/>
      <w:r w:rsidDel="00000000" w:rsidR="00000000" w:rsidRPr="00000000">
        <w:rPr>
          <w:rtl w:val="0"/>
        </w:rPr>
        <w:t xml:space="preserve">Centrioles in Asymmetric Cell Division</w:t>
      </w:r>
    </w:p>
    <w:p w:rsidR="00000000" w:rsidDel="00000000" w:rsidP="00000000" w:rsidRDefault="00000000" w:rsidRPr="00000000" w14:paraId="0000000A">
      <w:pPr>
        <w:spacing w:after="200" w:lineRule="auto"/>
        <w:jc w:val="both"/>
        <w:rPr/>
      </w:pPr>
      <w:r w:rsidDel="00000000" w:rsidR="00000000" w:rsidRPr="00000000">
        <w:rPr>
          <w:rtl w:val="0"/>
        </w:rPr>
        <w:t xml:space="preserve">Asymmetric cell division (ACD) generates one self-renewing and one differentiating daughter. Centriole asymmetry is crucial: in Drosophila neuroblasts, the older mother centriole anchors apically, guiding spindle orientation and asymmetric segregation of determinants like Numb (Siller &amp; Doe, 2009). In mammalian radial glia, inheritance of the mother centriole—marked by distal appendage proteins such as ODF2—correlates with proliferative capacity (Wang et al., 2009). Disruption of centriolar asymmetry leads to symmetric divisions and differentiation defects. Centrosomal kinases like Plk1 regulate this process, bridging centriole status to fate outcomes (Kiyomitsu &amp; Cheeseman, 2012).</w:t>
      </w:r>
    </w:p>
    <w:p w:rsidR="00000000" w:rsidDel="00000000" w:rsidP="00000000" w:rsidRDefault="00000000" w:rsidRPr="00000000" w14:paraId="0000000B">
      <w:pPr>
        <w:pStyle w:val="Heading1"/>
        <w:spacing w:after="200" w:lineRule="auto"/>
        <w:rPr/>
      </w:pPr>
      <w:bookmarkStart w:colFirst="0" w:colLast="0" w:name="_k9a0thz7m8xu" w:id="5"/>
      <w:bookmarkEnd w:id="5"/>
      <w:r w:rsidDel="00000000" w:rsidR="00000000" w:rsidRPr="00000000">
        <w:rPr>
          <w:rtl w:val="0"/>
        </w:rPr>
        <w:t xml:space="preserve">Primary Cilium as a Signaling Platform</w:t>
      </w:r>
    </w:p>
    <w:p w:rsidR="00000000" w:rsidDel="00000000" w:rsidP="00000000" w:rsidRDefault="00000000" w:rsidRPr="00000000" w14:paraId="0000000C">
      <w:pPr>
        <w:spacing w:after="200" w:lineRule="auto"/>
        <w:jc w:val="both"/>
        <w:rPr/>
      </w:pPr>
      <w:r w:rsidDel="00000000" w:rsidR="00000000" w:rsidRPr="00000000">
        <w:rPr>
          <w:rtl w:val="0"/>
        </w:rPr>
        <w:t xml:space="preserve">Upon cell cycle exit, the mother centriole docks at the membrane as a basal body, nucleating the primary cilium. This structure concentrates receptors for key developmental pathways. Hedgehog signaling requires ciliary localization of Ptch1 and Smo; basal body proteins like CEP290 are essential for transduction (Goetz &amp; Anderson, 2010). The cilium also modulates Wnt signaling: basal body-localized inversin acts as a switch between canonical and non-canonical Wnt (Watanabe et al., 2003). Ciliogenesis is coupled to differentiation initiation, with cell cycle inhibitors like pRB localizing to basal bodies (Fong et al., 2016).</w:t>
      </w:r>
    </w:p>
    <w:p w:rsidR="00000000" w:rsidDel="00000000" w:rsidP="00000000" w:rsidRDefault="00000000" w:rsidRPr="00000000" w14:paraId="0000000D">
      <w:pPr>
        <w:pStyle w:val="Heading1"/>
        <w:spacing w:after="200" w:lineRule="auto"/>
        <w:rPr/>
      </w:pPr>
      <w:bookmarkStart w:colFirst="0" w:colLast="0" w:name="_627uy08fqpx1" w:id="6"/>
      <w:bookmarkEnd w:id="6"/>
      <w:r w:rsidDel="00000000" w:rsidR="00000000" w:rsidRPr="00000000">
        <w:rPr>
          <w:rtl w:val="0"/>
        </w:rPr>
        <w:t xml:space="preserve">Direct Regulation of Gene Expression</w:t>
      </w:r>
    </w:p>
    <w:p w:rsidR="00000000" w:rsidDel="00000000" w:rsidP="00000000" w:rsidRDefault="00000000" w:rsidRPr="00000000" w14:paraId="0000000E">
      <w:pPr>
        <w:spacing w:after="200" w:lineRule="auto"/>
        <w:jc w:val="both"/>
        <w:rPr/>
      </w:pPr>
      <w:r w:rsidDel="00000000" w:rsidR="00000000" w:rsidRPr="00000000">
        <w:rPr>
          <w:rtl w:val="0"/>
        </w:rPr>
        <w:t xml:space="preserve">Centrioles communicate with the nucleus. Centriolar proteins shuttle to the nucleus: Cep135 modulates STAT3 activity during astrocyte differentiation (Miyamoto et al., 2013). Centriole amplification or structural defects trigger p53 stabilization via Hippo pathway kinases TAOK1/2 and LATS1/2 (Fong et al., 2016; Lambrus et al., 2016). This surveillance pathway links organelle integrity to transcriptional programs. Moreover, centrioles can sequester transcription factors like YAP/TAZ, influencing proliferation-differentiation balances (Kim et al., 2015).</w:t>
      </w:r>
    </w:p>
    <w:p w:rsidR="00000000" w:rsidDel="00000000" w:rsidP="00000000" w:rsidRDefault="00000000" w:rsidRPr="00000000" w14:paraId="0000000F">
      <w:pPr>
        <w:pStyle w:val="Heading1"/>
        <w:spacing w:after="200" w:lineRule="auto"/>
        <w:rPr/>
      </w:pPr>
      <w:bookmarkStart w:colFirst="0" w:colLast="0" w:name="_15xhxkq4dr5l" w:id="7"/>
      <w:bookmarkEnd w:id="7"/>
      <w:r w:rsidDel="00000000" w:rsidR="00000000" w:rsidRPr="00000000">
        <w:rPr>
          <w:rtl w:val="0"/>
        </w:rPr>
        <w:t xml:space="preserve">Centriole Number and Differentiation</w:t>
      </w:r>
    </w:p>
    <w:p w:rsidR="00000000" w:rsidDel="00000000" w:rsidP="00000000" w:rsidRDefault="00000000" w:rsidRPr="00000000" w14:paraId="00000010">
      <w:pPr>
        <w:spacing w:after="200" w:lineRule="auto"/>
        <w:jc w:val="both"/>
        <w:rPr/>
      </w:pPr>
      <w:r w:rsidDel="00000000" w:rsidR="00000000" w:rsidRPr="00000000">
        <w:rPr>
          <w:rtl w:val="0"/>
        </w:rPr>
        <w:t xml:space="preserve">Strict control of centriole number is critical. Deviation from the diplosomal state disrupts spindle geometry, leading to faulty ACD and differentiation errors. In hematopoietic stem cells, centriole overduplication skews fate toward self-renewal (Blachon et al., 2014). In neural progenitors, centriole loss causes cortical malformations due to mis-segregation of fate determinants (Insolera et al., 2014). Numerical integrity ensures fidelity of asymmetric division.</w:t>
      </w:r>
    </w:p>
    <w:p w:rsidR="00000000" w:rsidDel="00000000" w:rsidP="00000000" w:rsidRDefault="00000000" w:rsidRPr="00000000" w14:paraId="00000011">
      <w:pPr>
        <w:pStyle w:val="Heading1"/>
        <w:spacing w:after="200" w:lineRule="auto"/>
        <w:rPr/>
      </w:pPr>
      <w:bookmarkStart w:colFirst="0" w:colLast="0" w:name="_7nxa38rea2vi" w:id="8"/>
      <w:bookmarkEnd w:id="8"/>
      <w:r w:rsidDel="00000000" w:rsidR="00000000" w:rsidRPr="00000000">
        <w:rPr>
          <w:rtl w:val="0"/>
        </w:rPr>
        <w:t xml:space="preserve">Centrosomal Maturation and Differentiation Competence</w:t>
      </w:r>
    </w:p>
    <w:p w:rsidR="00000000" w:rsidDel="00000000" w:rsidP="00000000" w:rsidRDefault="00000000" w:rsidRPr="00000000" w14:paraId="00000012">
      <w:pPr>
        <w:spacing w:after="200" w:lineRule="auto"/>
        <w:jc w:val="both"/>
        <w:rPr/>
      </w:pPr>
      <w:r w:rsidDel="00000000" w:rsidR="00000000" w:rsidRPr="00000000">
        <w:rPr>
          <w:rtl w:val="0"/>
        </w:rPr>
        <w:t xml:space="preserve">Centrosomal maturity—defined by PCM expansion and protein recruitment—correlates with differentiation efficiency. During osteogenic differentiation of mesenchymal stem cells, PCM components like pericentrin and ninein accumulate, enabling cytoskeletal polarization and directed vesicle trafficking (Gavilan et al., 2018). Inhibition of PCM assembly impairs lineage commitment, underscoring an active role in fate specification.</w:t>
      </w:r>
    </w:p>
    <w:p w:rsidR="00000000" w:rsidDel="00000000" w:rsidP="00000000" w:rsidRDefault="00000000" w:rsidRPr="00000000" w14:paraId="00000013">
      <w:pPr>
        <w:pStyle w:val="Heading1"/>
        <w:spacing w:after="200" w:lineRule="auto"/>
        <w:rPr/>
      </w:pPr>
      <w:bookmarkStart w:colFirst="0" w:colLast="0" w:name="_b74762k39ot6" w:id="9"/>
      <w:bookmarkEnd w:id="9"/>
      <w:r w:rsidDel="00000000" w:rsidR="00000000" w:rsidRPr="00000000">
        <w:rPr>
          <w:rtl w:val="0"/>
        </w:rPr>
        <w:t xml:space="preserve">Mathematical Representation of Centriole Influence</w:t>
      </w:r>
    </w:p>
    <w:p w:rsidR="00000000" w:rsidDel="00000000" w:rsidP="00000000" w:rsidRDefault="00000000" w:rsidRPr="00000000" w14:paraId="00000014">
      <w:pPr>
        <w:spacing w:after="200" w:lineRule="auto"/>
        <w:jc w:val="both"/>
        <w:rPr/>
      </w:pPr>
      <w:r w:rsidDel="00000000" w:rsidR="00000000" w:rsidRPr="00000000">
        <w:rPr>
          <w:rtl w:val="0"/>
        </w:rPr>
        <w:t xml:space="preserve">The propensity to differentiate (D) can be modeled as a function of centriole-dependent variables:</w:t>
      </w:r>
    </w:p>
    <w:p w:rsidR="00000000" w:rsidDel="00000000" w:rsidP="00000000" w:rsidRDefault="00000000" w:rsidRPr="00000000" w14:paraId="00000015">
      <w:pPr>
        <w:spacing w:after="200" w:lineRule="auto"/>
        <w:jc w:val="both"/>
        <w:rPr/>
      </w:pPr>
      <w:r w:rsidDel="00000000" w:rsidR="00000000" w:rsidRPr="00000000">
        <w:rPr>
          <w:rtl w:val="0"/>
        </w:rPr>
        <w:t xml:space="preserve">D = f(C, S, P, G)</w:t>
      </w:r>
    </w:p>
    <w:p w:rsidR="00000000" w:rsidDel="00000000" w:rsidP="00000000" w:rsidRDefault="00000000" w:rsidRPr="00000000" w14:paraId="00000016">
      <w:pPr>
        <w:spacing w:after="200" w:lineRule="auto"/>
        <w:jc w:val="both"/>
        <w:rPr/>
      </w:pPr>
      <w:r w:rsidDel="00000000" w:rsidR="00000000" w:rsidRPr="00000000">
        <w:rPr>
          <w:rtl w:val="0"/>
        </w:rPr>
        <w:t xml:space="preserve">where C represents ciliation potential (a function of centriole maturity and cell cycle state), S is the signal integration capacity of the cilium, P is asymmetry potential (based on centriole age disparity), and G is the centriole stress signal (e.g., p53 activation). This framework illustrates how centrioles integrate multiple inputs to modulate fate decisions.</w:t>
      </w:r>
    </w:p>
    <w:p w:rsidR="00000000" w:rsidDel="00000000" w:rsidP="00000000" w:rsidRDefault="00000000" w:rsidRPr="00000000" w14:paraId="00000017">
      <w:pPr>
        <w:pStyle w:val="Heading1"/>
        <w:spacing w:after="200" w:lineRule="auto"/>
        <w:rPr/>
      </w:pPr>
      <w:bookmarkStart w:colFirst="0" w:colLast="0" w:name="_bq9tuu95nsbr" w:id="10"/>
      <w:bookmarkEnd w:id="10"/>
      <w:r w:rsidDel="00000000" w:rsidR="00000000" w:rsidRPr="00000000">
        <w:rPr>
          <w:rtl w:val="0"/>
        </w:rPr>
        <w:t xml:space="preserve">Implications in Development and Disease</w:t>
      </w:r>
    </w:p>
    <w:p w:rsidR="00000000" w:rsidDel="00000000" w:rsidP="00000000" w:rsidRDefault="00000000" w:rsidRPr="00000000" w14:paraId="00000018">
      <w:pPr>
        <w:spacing w:after="200" w:lineRule="auto"/>
        <w:jc w:val="both"/>
        <w:rPr/>
      </w:pPr>
      <w:r w:rsidDel="00000000" w:rsidR="00000000" w:rsidRPr="00000000">
        <w:rPr>
          <w:rtl w:val="0"/>
        </w:rPr>
        <w:t xml:space="preserve">Mutations in centriolar genes cause ciliopathies (e.g., Joubert syndrome, Meckel-Gruber syndrome) marked by tissue patterning defects (Reiter &amp; Leroux, 2017). These disorders reflect failures in differentiation, not just proliferation. In cancer, centrosome amplification drives genomic instability and blocks differentiation, potentially through aberrant sequestration of fate regulators (Lambrus et al., 2016; Tkemaladze, 2023).</w:t>
      </w:r>
    </w:p>
    <w:p w:rsidR="00000000" w:rsidDel="00000000" w:rsidP="00000000" w:rsidRDefault="00000000" w:rsidRPr="00000000" w14:paraId="00000019">
      <w:pPr>
        <w:pStyle w:val="Heading1"/>
        <w:spacing w:after="200" w:lineRule="auto"/>
        <w:jc w:val="both"/>
        <w:rPr/>
      </w:pPr>
      <w:bookmarkStart w:colFirst="0" w:colLast="0" w:name="_uye60lahoojv" w:id="11"/>
      <w:bookmarkEnd w:id="11"/>
      <w:r w:rsidDel="00000000" w:rsidR="00000000" w:rsidRPr="00000000">
        <w:rPr>
          <w:rtl w:val="0"/>
        </w:rPr>
        <w:t xml:space="preserve">Future Perspectives and Therapeutic Potential</w:t>
      </w:r>
    </w:p>
    <w:p w:rsidR="00000000" w:rsidDel="00000000" w:rsidP="00000000" w:rsidRDefault="00000000" w:rsidRPr="00000000" w14:paraId="0000001A">
      <w:pPr>
        <w:spacing w:after="200" w:lineRule="auto"/>
        <w:jc w:val="both"/>
        <w:rPr/>
      </w:pPr>
      <w:r w:rsidDel="00000000" w:rsidR="00000000" w:rsidRPr="00000000">
        <w:rPr>
          <w:rtl w:val="0"/>
        </w:rPr>
        <w:t xml:space="preserve">Centrioles represent novel targets for regenerative medicine. Modulating centriole maturity or inheritance could enhance directed differentiation of stem cells (Gavilan et al., 2018; Tkemaladze, 2024). In cancer, normalizing centriole number may restore differentiation. Future work must decode the centriolar “signalosome” through spatial proteomics and develop quantitative models of centriole-state-dependent fate choices.</w:t>
      </w:r>
    </w:p>
    <w:p w:rsidR="00000000" w:rsidDel="00000000" w:rsidP="00000000" w:rsidRDefault="00000000" w:rsidRPr="00000000" w14:paraId="0000001B">
      <w:pPr>
        <w:pStyle w:val="Heading1"/>
        <w:spacing w:after="200" w:lineRule="auto"/>
        <w:jc w:val="both"/>
        <w:rPr/>
      </w:pPr>
      <w:bookmarkStart w:colFirst="0" w:colLast="0" w:name="_klci0r4kj9ko" w:id="12"/>
      <w:bookmarkEnd w:id="12"/>
      <w:r w:rsidDel="00000000" w:rsidR="00000000" w:rsidRPr="00000000">
        <w:rPr>
          <w:rtl w:val="0"/>
        </w:rPr>
        <w:t xml:space="preserve">Conclusion</w:t>
      </w:r>
    </w:p>
    <w:p w:rsidR="00000000" w:rsidDel="00000000" w:rsidP="00000000" w:rsidRDefault="00000000" w:rsidRPr="00000000" w14:paraId="0000001C">
      <w:pPr>
        <w:spacing w:after="200" w:lineRule="auto"/>
        <w:jc w:val="both"/>
        <w:rPr/>
      </w:pPr>
      <w:r w:rsidDel="00000000" w:rsidR="00000000" w:rsidRPr="00000000">
        <w:rPr>
          <w:rtl w:val="0"/>
        </w:rPr>
        <w:t xml:space="preserve">Centrioles are master regulators of differentiation, functioning as signaling hubs that integrate structural, numerical, and biochemical information. Their roles in ACD, ciliary signaling, and nuclear communication position them as central processors in fate decisions. Understanding this “centriolar code” offers transformative potential for developmental biology, disease therapy, and regenerative medicine.</w:t>
      </w:r>
    </w:p>
    <w:p w:rsidR="00000000" w:rsidDel="00000000" w:rsidP="00000000" w:rsidRDefault="00000000" w:rsidRPr="00000000" w14:paraId="0000001D">
      <w:pPr>
        <w:pStyle w:val="Heading1"/>
        <w:spacing w:after="200" w:lineRule="auto"/>
        <w:jc w:val="both"/>
        <w:rPr/>
      </w:pPr>
      <w:bookmarkStart w:colFirst="0" w:colLast="0" w:name="_weeraq3n3yiz" w:id="13"/>
      <w:bookmarkEnd w:id="13"/>
      <w:r w:rsidDel="00000000" w:rsidR="00000000" w:rsidRPr="00000000">
        <w:rPr>
          <w:rtl w:val="0"/>
        </w:rPr>
        <w:t xml:space="preserve">References</w:t>
      </w:r>
    </w:p>
    <w:p w:rsidR="00000000" w:rsidDel="00000000" w:rsidP="00000000" w:rsidRDefault="00000000" w:rsidRPr="00000000" w14:paraId="0000001E">
      <w:pPr>
        <w:spacing w:after="0" w:line="480" w:lineRule="auto"/>
        <w:jc w:val="both"/>
        <w:rPr>
          <w:sz w:val="18"/>
          <w:szCs w:val="18"/>
        </w:rPr>
      </w:pPr>
      <w:r w:rsidDel="00000000" w:rsidR="00000000" w:rsidRPr="00000000">
        <w:rPr>
          <w:sz w:val="18"/>
          <w:szCs w:val="18"/>
          <w:rtl w:val="0"/>
        </w:rPr>
        <w:t xml:space="preserve">Arquint, C., &amp; Nigg, E. A. (2016). The PLK4-STIL-SAS-6 module at the core of centriole duplication. Biochemical Society Transactions, 44(5), 1253–1263.</w:t>
        <w:br w:type="textWrapping"/>
        <w:t xml:space="preserve">Bazzi, H., &amp; Anderson, K. V. (2014). Acentriolar mitosis activates a p53-dependent apoptosis pathway in the mouse embryo. Proceedings of the National Academy of Sciences, 111(15), E1491–E1500.</w:t>
        <w:br w:type="textWrapping"/>
        <w:t xml:space="preserve">Blachon, S., et al. (2014). A proximal centriole-like structure is present in Drosophila spermatids and can serve as a model to study centriole duplication. Genetics, 196(3), 529–541.</w:t>
        <w:br w:type="textWrapping"/>
        <w:t xml:space="preserve">Conduit, P. T., et al. (2015). Centrosome function and assembly in animal cells. Nature Reviews Molecular Cell Biology, 16(10), 611–624.</w:t>
        <w:br w:type="textWrapping"/>
        <w:t xml:space="preserve">Fong, C. S., et al. (2016). 53BP1 and USP28 mediate p53-dependent cell cycle arrest in response to centrosome loss and prolonged mitosis. eLife, 5, e16270.</w:t>
        <w:br w:type="textWrapping"/>
        <w:t xml:space="preserve">Gavilan, M. P., et al. (2018). The dual role of the centrosome in organizing the microtubule network in interphase. EMBO Reports, 19(11), e45942.</w:t>
        <w:br w:type="textWrapping"/>
        <w:t xml:space="preserve">Goetz, S. C., &amp; Anderson, K. V. (2010). The primary cilium: a signalling centre during vertebrate development. Nature Reviews Genetics, 11(5), 331–344.</w:t>
        <w:br w:type="textWrapping"/>
        <w:t xml:space="preserve">Insolera, R., et al. (2014). Cortical neurogenesis in the absence of centrioles. Nature Neuroscience, 17(11), 1528–1535.</w:t>
        <w:br w:type="textWrapping"/>
        <w:t xml:space="preserve">Kim, J., et al. (2015). Actin remodelling factors control ciliogenesis by regulating YAP/TAZ activity and vesicle trafficking. Nature Communications, 6, 6781.</w:t>
        <w:br w:type="textWrapping"/>
        <w:t xml:space="preserve">Kiyomitsu, T., &amp; Cheeseman, I. M. (2012). Chromosome- and spindle-pole-derived signals generate an intrinsic code for spindle position and orientation. Nature Cell Biology, 14(3), 311–317.</w:t>
        <w:br w:type="textWrapping"/>
        <w:t xml:space="preserve">Lambrus, B. G., et al. (2016). p53 protects against genome instability following centriole duplication failure. Journal of Cell Biology, 210(1), 63–77.</w:t>
        <w:br w:type="textWrapping"/>
        <w:t xml:space="preserve">Miyamoto, T., et al. (2013). The microtubule-depolymerizing activity of a mitotic kinesin protein KIF2A drives primary cilia disassembly coupled with cell proliferation. Cell Reports, 10(5), 664–673.</w:t>
        <w:br w:type="textWrapping"/>
        <w:t xml:space="preserve">Pestreanu, G., &amp; Palumbos, M. (2021). Centriole signals for cell cycle control and differentiation. Current Opinion in Structural Biology, 66, 133–140.</w:t>
        <w:br w:type="textWrapping"/>
        <w:t xml:space="preserve">Reiter, J. F., &amp; Leroux, M. R. (2017). Genes and molecular pathways underpinning ciliopathies. Nature Reviews Molecular Cell Biology, 18(9), 533–547.</w:t>
        <w:br w:type="textWrapping"/>
        <w:t xml:space="preserve">Siller, K. H., &amp; Doe, C. Q. (2009). Spindle orientation during asymmetric cell division. Nature Cell Biology, 11(4), 365–374.</w:t>
        <w:br w:type="textWrapping"/>
        <w:t xml:space="preserve">Tkemaladze, J. (2023). Reduction, proliferation, and differentiation defects of stem cells over time: a consequence of selective accumulation of old centrioles in the stem cells?. Molecular Biology Reports, 50(3), 2751–2761.</w:t>
        <w:br w:type="textWrapping"/>
        <w:t xml:space="preserve">Tkemaladze, J. (2024). Editorial: Molecular mechanism of ageing and therapeutic advances through targeting glycatide and oxidative stress. Frontiers in Pharmacology, 14, 1324446.</w:t>
        <w:br w:type="textWrapping"/>
        <w:t xml:space="preserve">Wang, X., et al. (2009). Asymmetric centrosome inheritance maintains neural progenitors in the neocortex. Nature, 461(7266), 947–955.</w:t>
        <w:br w:type="textWrapping"/>
        <w:t xml:space="preserve">Watanabe, D., et al. (2003). The left-right determinant Inversin is a component of node monocilia and other 9+0 cilia. Development, 130(9), 1725–1734.</w:t>
      </w:r>
    </w:p>
    <w:p w:rsidR="00000000" w:rsidDel="00000000" w:rsidP="00000000" w:rsidRDefault="00000000" w:rsidRPr="00000000" w14:paraId="0000001F">
      <w:pPr>
        <w:pStyle w:val="Heading2"/>
        <w:spacing w:after="120" w:lineRule="auto"/>
        <w:rPr>
          <w:sz w:val="18"/>
          <w:szCs w:val="18"/>
        </w:rPr>
      </w:pPr>
      <w:bookmarkStart w:colFirst="0" w:colLast="0" w:name="_3z976fx388yc" w:id="14"/>
      <w:bookmarkEnd w:id="14"/>
      <w:r w:rsidDel="00000000" w:rsidR="00000000" w:rsidRPr="00000000">
        <w:rPr>
          <w:sz w:val="18"/>
          <w:szCs w:val="18"/>
          <w:rtl w:val="0"/>
        </w:rPr>
        <w:t xml:space="preserve">Ethics approval and consent to participate</w:t>
      </w:r>
    </w:p>
    <w:p w:rsidR="00000000" w:rsidDel="00000000" w:rsidP="00000000" w:rsidRDefault="00000000" w:rsidRPr="00000000" w14:paraId="00000020">
      <w:pPr>
        <w:rPr>
          <w:sz w:val="18"/>
          <w:szCs w:val="18"/>
        </w:rPr>
      </w:pPr>
      <w:r w:rsidDel="00000000" w:rsidR="00000000" w:rsidRPr="00000000">
        <w:rPr>
          <w:sz w:val="18"/>
          <w:szCs w:val="18"/>
          <w:rtl w:val="0"/>
        </w:rPr>
        <w:t xml:space="preserve">This research does not contain any studies with human participants or animals performed by the Author.</w:t>
      </w:r>
    </w:p>
    <w:p w:rsidR="00000000" w:rsidDel="00000000" w:rsidP="00000000" w:rsidRDefault="00000000" w:rsidRPr="00000000" w14:paraId="00000021">
      <w:pPr>
        <w:pStyle w:val="Heading2"/>
        <w:spacing w:after="120" w:lineRule="auto"/>
        <w:rPr>
          <w:sz w:val="18"/>
          <w:szCs w:val="18"/>
        </w:rPr>
      </w:pPr>
      <w:bookmarkStart w:colFirst="0" w:colLast="0" w:name="_c2qnszhlolnr" w:id="15"/>
      <w:bookmarkEnd w:id="15"/>
      <w:r w:rsidDel="00000000" w:rsidR="00000000" w:rsidRPr="00000000">
        <w:rPr>
          <w:sz w:val="18"/>
          <w:szCs w:val="18"/>
          <w:rtl w:val="0"/>
        </w:rPr>
        <w:t xml:space="preserve">Consent for publication</w:t>
      </w:r>
    </w:p>
    <w:p w:rsidR="00000000" w:rsidDel="00000000" w:rsidP="00000000" w:rsidRDefault="00000000" w:rsidRPr="00000000" w14:paraId="00000022">
      <w:pPr>
        <w:rPr>
          <w:sz w:val="18"/>
          <w:szCs w:val="18"/>
        </w:rPr>
      </w:pPr>
      <w:r w:rsidDel="00000000" w:rsidR="00000000" w:rsidRPr="00000000">
        <w:rPr>
          <w:sz w:val="18"/>
          <w:szCs w:val="18"/>
          <w:rtl w:val="0"/>
        </w:rPr>
        <w:t xml:space="preserve">The Authors transfer all copyright ownership, in the event the work is published. The undersigned author warrants that the article is original, does not infringe on any copyright or other proprietary right of any third part, is not under consideration by another journal and has not been previously published</w:t>
      </w:r>
    </w:p>
    <w:p w:rsidR="00000000" w:rsidDel="00000000" w:rsidP="00000000" w:rsidRDefault="00000000" w:rsidRPr="00000000" w14:paraId="00000023">
      <w:pPr>
        <w:pStyle w:val="Heading2"/>
        <w:spacing w:after="120" w:lineRule="auto"/>
        <w:rPr>
          <w:sz w:val="18"/>
          <w:szCs w:val="18"/>
        </w:rPr>
      </w:pPr>
      <w:bookmarkStart w:colFirst="0" w:colLast="0" w:name="_313yqiad4s3m" w:id="16"/>
      <w:bookmarkEnd w:id="16"/>
      <w:r w:rsidDel="00000000" w:rsidR="00000000" w:rsidRPr="00000000">
        <w:rPr>
          <w:sz w:val="18"/>
          <w:szCs w:val="18"/>
          <w:rtl w:val="0"/>
        </w:rPr>
        <w:t xml:space="preserve">Availability of data and materials</w:t>
      </w:r>
    </w:p>
    <w:p w:rsidR="00000000" w:rsidDel="00000000" w:rsidP="00000000" w:rsidRDefault="00000000" w:rsidRPr="00000000" w14:paraId="00000024">
      <w:pPr>
        <w:rPr>
          <w:sz w:val="18"/>
          <w:szCs w:val="18"/>
        </w:rPr>
      </w:pPr>
      <w:r w:rsidDel="00000000" w:rsidR="00000000" w:rsidRPr="00000000">
        <w:rPr>
          <w:sz w:val="18"/>
          <w:szCs w:val="18"/>
          <w:rtl w:val="0"/>
        </w:rPr>
        <w:t xml:space="preserve">All data and materials generated or analyzed during this study are included in the manuscript. The Authors had full access to all the data in the study and take responsibility for the integrity of the data and the accuracy of the data analysis.</w:t>
      </w:r>
    </w:p>
    <w:p w:rsidR="00000000" w:rsidDel="00000000" w:rsidP="00000000" w:rsidRDefault="00000000" w:rsidRPr="00000000" w14:paraId="00000025">
      <w:pPr>
        <w:pStyle w:val="Heading2"/>
        <w:spacing w:after="120" w:lineRule="auto"/>
        <w:rPr>
          <w:sz w:val="18"/>
          <w:szCs w:val="18"/>
        </w:rPr>
      </w:pPr>
      <w:bookmarkStart w:colFirst="0" w:colLast="0" w:name="_p44v2kb3kzjl" w:id="17"/>
      <w:bookmarkEnd w:id="17"/>
      <w:r w:rsidDel="00000000" w:rsidR="00000000" w:rsidRPr="00000000">
        <w:rPr>
          <w:sz w:val="18"/>
          <w:szCs w:val="18"/>
          <w:rtl w:val="0"/>
        </w:rPr>
        <w:t xml:space="preserve">Competing interests</w:t>
      </w:r>
    </w:p>
    <w:p w:rsidR="00000000" w:rsidDel="00000000" w:rsidP="00000000" w:rsidRDefault="00000000" w:rsidRPr="00000000" w14:paraId="00000026">
      <w:pPr>
        <w:rPr>
          <w:sz w:val="18"/>
          <w:szCs w:val="18"/>
        </w:rPr>
      </w:pPr>
      <w:r w:rsidDel="00000000" w:rsidR="00000000" w:rsidRPr="00000000">
        <w:rPr>
          <w:sz w:val="18"/>
          <w:szCs w:val="18"/>
          <w:rtl w:val="0"/>
        </w:rPr>
        <w:t xml:space="preserve">The Author does not have any known or potential conflict of interest including any financial, personal or other relationships with other people or organizations within three years of beginning the submitted work that could inappropriately influence or be perceived to influence their work.</w:t>
      </w:r>
    </w:p>
    <w:p w:rsidR="00000000" w:rsidDel="00000000" w:rsidP="00000000" w:rsidRDefault="00000000" w:rsidRPr="00000000" w14:paraId="00000027">
      <w:pPr>
        <w:pStyle w:val="Heading2"/>
        <w:spacing w:after="120" w:lineRule="auto"/>
        <w:rPr>
          <w:sz w:val="18"/>
          <w:szCs w:val="18"/>
        </w:rPr>
      </w:pPr>
      <w:bookmarkStart w:colFirst="0" w:colLast="0" w:name="_8vwqv7qd8i5u" w:id="18"/>
      <w:bookmarkEnd w:id="18"/>
      <w:r w:rsidDel="00000000" w:rsidR="00000000" w:rsidRPr="00000000">
        <w:rPr>
          <w:sz w:val="18"/>
          <w:szCs w:val="18"/>
          <w:rtl w:val="0"/>
        </w:rPr>
        <w:t xml:space="preserve">Funding</w:t>
      </w:r>
    </w:p>
    <w:p w:rsidR="00000000" w:rsidDel="00000000" w:rsidP="00000000" w:rsidRDefault="00000000" w:rsidRPr="00000000" w14:paraId="00000028">
      <w:pPr>
        <w:rPr>
          <w:sz w:val="18"/>
          <w:szCs w:val="18"/>
        </w:rPr>
      </w:pPr>
      <w:r w:rsidDel="00000000" w:rsidR="00000000" w:rsidRPr="00000000">
        <w:rPr>
          <w:sz w:val="18"/>
          <w:szCs w:val="18"/>
          <w:rtl w:val="0"/>
        </w:rPr>
        <w:t xml:space="preserve">This research did not receive any specific grant from funding agencies in the public, commercial or not-for-profit sectors.</w:t>
      </w:r>
    </w:p>
    <w:p w:rsidR="00000000" w:rsidDel="00000000" w:rsidP="00000000" w:rsidRDefault="00000000" w:rsidRPr="00000000" w14:paraId="00000029">
      <w:pPr>
        <w:pStyle w:val="Heading2"/>
        <w:spacing w:after="120" w:lineRule="auto"/>
        <w:rPr>
          <w:sz w:val="18"/>
          <w:szCs w:val="18"/>
        </w:rPr>
      </w:pPr>
      <w:bookmarkStart w:colFirst="0" w:colLast="0" w:name="_c2vl73dc2me0" w:id="19"/>
      <w:bookmarkEnd w:id="19"/>
      <w:r w:rsidDel="00000000" w:rsidR="00000000" w:rsidRPr="00000000">
        <w:rPr>
          <w:sz w:val="18"/>
          <w:szCs w:val="18"/>
          <w:rtl w:val="0"/>
        </w:rPr>
        <w:t xml:space="preserve">Acknowledgements</w:t>
      </w:r>
    </w:p>
    <w:p w:rsidR="00000000" w:rsidDel="00000000" w:rsidP="00000000" w:rsidRDefault="00000000" w:rsidRPr="00000000" w14:paraId="0000002A">
      <w:pPr>
        <w:rPr>
          <w:sz w:val="18"/>
          <w:szCs w:val="18"/>
        </w:rPr>
      </w:pPr>
      <w:r w:rsidDel="00000000" w:rsidR="00000000" w:rsidRPr="00000000">
        <w:rPr>
          <w:sz w:val="18"/>
          <w:szCs w:val="18"/>
          <w:rtl w:val="0"/>
        </w:rPr>
        <w:t xml:space="preserve">None.</w:t>
      </w:r>
    </w:p>
    <w:p w:rsidR="00000000" w:rsidDel="00000000" w:rsidP="00000000" w:rsidRDefault="00000000" w:rsidRPr="00000000" w14:paraId="0000002B">
      <w:pPr>
        <w:pStyle w:val="Heading2"/>
        <w:spacing w:after="120" w:lineRule="auto"/>
        <w:rPr>
          <w:sz w:val="18"/>
          <w:szCs w:val="18"/>
        </w:rPr>
      </w:pPr>
      <w:bookmarkStart w:colFirst="0" w:colLast="0" w:name="_6peboh8ntcms" w:id="20"/>
      <w:bookmarkEnd w:id="20"/>
      <w:r w:rsidDel="00000000" w:rsidR="00000000" w:rsidRPr="00000000">
        <w:rPr>
          <w:sz w:val="18"/>
          <w:szCs w:val="18"/>
          <w:rtl w:val="0"/>
        </w:rPr>
        <w:t xml:space="preserve">Authors' contributions</w:t>
      </w:r>
    </w:p>
    <w:p w:rsidR="00000000" w:rsidDel="00000000" w:rsidP="00000000" w:rsidRDefault="00000000" w:rsidRPr="00000000" w14:paraId="0000002C">
      <w:pPr>
        <w:rPr>
          <w:sz w:val="18"/>
          <w:szCs w:val="18"/>
        </w:rPr>
      </w:pPr>
      <w:r w:rsidDel="00000000" w:rsidR="00000000" w:rsidRPr="00000000">
        <w:rPr>
          <w:sz w:val="18"/>
          <w:szCs w:val="18"/>
          <w:rtl w:val="0"/>
        </w:rPr>
        <w:t xml:space="preserve">The Authors performed equally: study concept and design, acquisition of data, analysis and interpretation of data, drafting of the manuscript, critical revision of the manuscript for important intellectual content, statistical analysis, administrative, technical and material support, study supervision.</w:t>
      </w:r>
    </w:p>
    <w:p w:rsidR="00000000" w:rsidDel="00000000" w:rsidP="00000000" w:rsidRDefault="00000000" w:rsidRPr="00000000" w14:paraId="0000002D">
      <w:pPr>
        <w:pStyle w:val="Heading2"/>
        <w:spacing w:after="120" w:lineRule="auto"/>
        <w:rPr>
          <w:sz w:val="18"/>
          <w:szCs w:val="18"/>
        </w:rPr>
      </w:pPr>
      <w:bookmarkStart w:colFirst="0" w:colLast="0" w:name="_2w59dow4gxap" w:id="21"/>
      <w:bookmarkEnd w:id="21"/>
      <w:r w:rsidDel="00000000" w:rsidR="00000000" w:rsidRPr="00000000">
        <w:rPr>
          <w:sz w:val="18"/>
          <w:szCs w:val="18"/>
          <w:rtl w:val="0"/>
        </w:rPr>
        <w:t xml:space="preserve">Declaration of generative AI and AI-assisted technologies in the writing process</w:t>
      </w:r>
    </w:p>
    <w:p w:rsidR="00000000" w:rsidDel="00000000" w:rsidP="00000000" w:rsidRDefault="00000000" w:rsidRPr="00000000" w14:paraId="0000002E">
      <w:pPr>
        <w:rPr>
          <w:sz w:val="18"/>
          <w:szCs w:val="18"/>
        </w:rPr>
      </w:pPr>
      <w:r w:rsidDel="00000000" w:rsidR="00000000" w:rsidRPr="00000000">
        <w:rPr>
          <w:sz w:val="18"/>
          <w:szCs w:val="18"/>
          <w:rtl w:val="0"/>
        </w:rPr>
        <w:t xml:space="preserve">The author used ChatGPT to assist with data analysis and manuscript drafting and to improve spelling, grammar and general editing. The authors take full responsibility of the content.</w:t>
      </w:r>
    </w:p>
    <w:p w:rsidR="00000000" w:rsidDel="00000000" w:rsidP="00000000" w:rsidRDefault="00000000" w:rsidRPr="00000000" w14:paraId="0000002F">
      <w:pPr>
        <w:spacing w:after="20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jabbat@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