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00" w:lineRule="auto"/>
        <w:jc w:val="both"/>
        <w:rPr/>
      </w:pPr>
      <w:bookmarkStart w:colFirst="0" w:colLast="0" w:name="_vdx8iwm3zsuc" w:id="0"/>
      <w:bookmarkEnd w:id="0"/>
      <w:r w:rsidDel="00000000" w:rsidR="00000000" w:rsidRPr="00000000">
        <w:rPr>
          <w:rtl w:val="0"/>
        </w:rPr>
        <w:t xml:space="preserve">Centriole Disruption as a Driver of Birth Defects</w:t>
      </w:r>
    </w:p>
    <w:p w:rsidR="00000000" w:rsidDel="00000000" w:rsidP="00000000" w:rsidRDefault="00000000" w:rsidRPr="00000000" w14:paraId="00000002">
      <w:pPr>
        <w:pStyle w:val="Subtitle"/>
        <w:spacing w:after="200" w:lineRule="auto"/>
        <w:jc w:val="both"/>
        <w:rPr/>
      </w:pPr>
      <w:bookmarkStart w:colFirst="0" w:colLast="0" w:name="_vlmas0wldmtc" w:id="1"/>
      <w:bookmarkEnd w:id="1"/>
      <w:r w:rsidDel="00000000" w:rsidR="00000000" w:rsidRPr="00000000">
        <w:rPr>
          <w:rtl w:val="0"/>
        </w:rPr>
        <w:t xml:space="preserve">A systematic review of how pharmacological inhibition of centriole biogenesis models human microcephaly and ciliopathies</w:t>
      </w:r>
    </w:p>
    <w:p w:rsidR="00000000" w:rsidDel="00000000" w:rsidP="00000000" w:rsidRDefault="00000000" w:rsidRPr="00000000" w14:paraId="00000003">
      <w:pPr>
        <w:jc w:val="both"/>
        <w:rPr>
          <w:sz w:val="18"/>
          <w:szCs w:val="18"/>
          <w:highlight w:val="white"/>
          <w:vertAlign w:val="superscript"/>
        </w:rPr>
      </w:pPr>
      <w:r w:rsidDel="00000000" w:rsidR="00000000" w:rsidRPr="00000000">
        <w:rPr>
          <w:b w:val="1"/>
          <w:bCs w:val="1"/>
          <w:sz w:val="18"/>
          <w:szCs w:val="18"/>
          <w:rtl w:val="0"/>
        </w:rPr>
        <w:t xml:space="preserve">Author: </w:t>
      </w:r>
      <w:r w:rsidDel="00000000" w:rsidR="00000000" w:rsidRPr="00000000">
        <w:rPr>
          <w:sz w:val="18"/>
          <w:szCs w:val="18"/>
          <w:rtl w:val="0"/>
        </w:rPr>
        <w:t xml:space="preserve">Jaba Tkemaladze</w:t>
      </w:r>
      <w:r w:rsidDel="00000000" w:rsidR="00000000" w:rsidRPr="00000000">
        <w:rPr>
          <w:b w:val="1"/>
          <w:bCs w:val="1"/>
          <w:sz w:val="18"/>
          <w:szCs w:val="18"/>
          <w:rtl w:val="0"/>
        </w:rPr>
        <w:t xml:space="preserv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4">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6"/>
          <w:szCs w:val="16"/>
          <w:highlight w:val="white"/>
          <w:rtl w:val="0"/>
        </w:rPr>
        <w:t xml:space="preserve">Kutaisi International University</w:t>
      </w:r>
      <w:r w:rsidDel="00000000" w:rsidR="00000000" w:rsidRPr="00000000">
        <w:rPr>
          <w:sz w:val="18"/>
          <w:szCs w:val="18"/>
          <w:rtl w:val="0"/>
        </w:rPr>
        <w:t xml:space="preserve">, Georgia</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sz w:val="18"/>
          <w:szCs w:val="18"/>
          <w:rtl w:val="0"/>
        </w:rPr>
        <w:t xml:space="preserve">E-Mail: </w:t>
      </w:r>
      <w:r w:rsidDel="00000000" w:rsidR="00000000" w:rsidRPr="00000000">
        <w:rPr>
          <w:rFonts w:ascii="Roboto" w:cs="Roboto" w:eastAsia="Roboto" w:hAnsi="Roboto"/>
          <w:color w:val="0f1115"/>
          <w:sz w:val="18"/>
          <w:szCs w:val="18"/>
          <w:highlight w:val="white"/>
          <w:rtl w:val="0"/>
        </w:rPr>
        <w:t xml:space="preserve">djabbat@gmail.com</w:t>
      </w:r>
      <w:r w:rsidDel="00000000" w:rsidR="00000000" w:rsidRPr="00000000">
        <w:rPr>
          <w:rtl w:val="0"/>
        </w:rPr>
      </w:r>
    </w:p>
    <w:p w:rsidR="00000000" w:rsidDel="00000000" w:rsidP="00000000" w:rsidRDefault="00000000" w:rsidRPr="00000000" w14:paraId="00000006">
      <w:pPr>
        <w:pStyle w:val="Heading1"/>
        <w:spacing w:after="200" w:lineRule="auto"/>
        <w:jc w:val="both"/>
        <w:rPr/>
      </w:pPr>
      <w:bookmarkStart w:colFirst="0" w:colLast="0" w:name="_c2lxou9yft5s" w:id="2"/>
      <w:bookmarkEnd w:id="2"/>
      <w:r w:rsidDel="00000000" w:rsidR="00000000" w:rsidRPr="00000000">
        <w:rPr>
          <w:rtl w:val="0"/>
        </w:rPr>
        <w:t xml:space="preserve">Abstract</w:t>
      </w:r>
    </w:p>
    <w:p w:rsidR="00000000" w:rsidDel="00000000" w:rsidP="00000000" w:rsidRDefault="00000000" w:rsidRPr="00000000" w14:paraId="00000007">
      <w:pPr>
        <w:spacing w:after="200" w:lineRule="auto"/>
        <w:jc w:val="both"/>
        <w:rPr/>
      </w:pPr>
      <w:r w:rsidDel="00000000" w:rsidR="00000000" w:rsidRPr="00000000">
        <w:rPr>
          <w:rtl w:val="0"/>
        </w:rPr>
        <w:t xml:space="preserve">The centriole is a dual-function organelle essential for cell division (as part of the centrosome) and sensory signaling (as the basal body of the primary cilium). This review synthesizes data from experimental models exposed to specific pharmacological "centriole blockers" to dissect the developmental consequences of disrupting these functions. We demonstrate that inhibition of centriole duplication initiation via PLK4 inhibitors (e.g., centrinone) triggers p53-dependent apoptotic depletion of rapidly proliferating progenitors, modeling human primary microcephaly (MCPH) and causing pre-implantation arrest. Conversely, inhibition of centriole assembly/elongation (e.g., by Bril-like compounds) primarily causes structural ciliary defects, disrupting Sonic Hedgehog and Wnt signaling to faithfully recapitulate syndromic ciliopathies (e.g., Meckel-Gruber syndrome). The multi-kinase inhibitor CFI-400945 shows compounded toxicity from off-target effects. These findings validate centriole dysfunction as a direct cause of "centriolopathies" and introduce the paradigm of "centriolar stress," where embryos eliminate defective cells via stringent checkpoints. The work highlights a critical duality: these pathways are promising targets in oncology but carry high teratogenic risk, while also serving as unparalleled tools for disease modeling and therapeutic screening. This analysis underscores the centriole's role as a master developmental gatekeeper, whose integrity is paramount for embryogenesis.</w:t>
      </w:r>
    </w:p>
    <w:p w:rsidR="00000000" w:rsidDel="00000000" w:rsidP="00000000" w:rsidRDefault="00000000" w:rsidRPr="00000000" w14:paraId="00000008">
      <w:pPr>
        <w:spacing w:after="200" w:lineRule="auto"/>
        <w:jc w:val="both"/>
        <w:rPr/>
      </w:pPr>
      <w:r w:rsidDel="00000000" w:rsidR="00000000" w:rsidRPr="00000000">
        <w:rPr>
          <w:b w:val="1"/>
          <w:bCs w:val="1"/>
          <w:rtl w:val="0"/>
        </w:rPr>
        <w:t xml:space="preserve">Keywords</w:t>
      </w:r>
      <w:r w:rsidDel="00000000" w:rsidR="00000000" w:rsidRPr="00000000">
        <w:rPr>
          <w:rtl w:val="0"/>
        </w:rPr>
        <w:t xml:space="preserve">: Centriole, Microcephaly, Ciliopathy, Teratogenesis, PLK4 Inhibitor, Centrinone, Developmental Gatekeeper.</w:t>
      </w:r>
    </w:p>
    <w:p w:rsidR="00000000" w:rsidDel="00000000" w:rsidP="00000000" w:rsidRDefault="00000000" w:rsidRPr="00000000" w14:paraId="00000009">
      <w:pPr>
        <w:pStyle w:val="Heading1"/>
        <w:spacing w:after="200" w:lineRule="auto"/>
        <w:jc w:val="both"/>
        <w:rPr/>
      </w:pPr>
      <w:bookmarkStart w:colFirst="0" w:colLast="0" w:name="_r80plyoh4ikv" w:id="3"/>
      <w:bookmarkEnd w:id="3"/>
      <w:r w:rsidDel="00000000" w:rsidR="00000000" w:rsidRPr="00000000">
        <w:rPr>
          <w:rtl w:val="0"/>
        </w:rPr>
        <w:t xml:space="preserve">Introduction</w:t>
      </w:r>
    </w:p>
    <w:p w:rsidR="00000000" w:rsidDel="00000000" w:rsidP="00000000" w:rsidRDefault="00000000" w:rsidRPr="00000000" w14:paraId="0000000A">
      <w:pPr>
        <w:spacing w:after="200" w:lineRule="auto"/>
        <w:jc w:val="both"/>
        <w:rPr/>
      </w:pPr>
      <w:r w:rsidDel="00000000" w:rsidR="00000000" w:rsidRPr="00000000">
        <w:rPr>
          <w:rtl w:val="0"/>
        </w:rPr>
        <w:t xml:space="preserve">The precise regulation of centriole biogenesis is fundamental for genome stability and cellular communication. In embryogenesis, this regulation is paramount, as rapid cell proliferation and precise morphogenetic signaling must be perfectly coordinated. While genetic models have established the importance of centriolar proteins, the recent development of specific, acute pharmacological inhibitors—"centriole blockers"—allows for unprecedented spatiotemporal dissection of centriole function during development (Wong et al., 2015). This systematic review integrates findings from mouse, zebrafish, Xenopus, and human stem cell-derived organoid models to construct a mechanistic framework linking specific pharmacological inhibition to discrete classes of human congenital disorders.</w:t>
      </w:r>
    </w:p>
    <w:p w:rsidR="00000000" w:rsidDel="00000000" w:rsidP="00000000" w:rsidRDefault="00000000" w:rsidRPr="00000000" w14:paraId="0000000B">
      <w:pPr>
        <w:pStyle w:val="Heading1"/>
        <w:spacing w:after="200" w:lineRule="auto"/>
        <w:rPr/>
      </w:pPr>
      <w:bookmarkStart w:colFirst="0" w:colLast="0" w:name="_ihbltibmb4bf" w:id="4"/>
      <w:bookmarkEnd w:id="4"/>
      <w:r w:rsidDel="00000000" w:rsidR="00000000" w:rsidRPr="00000000">
        <w:rPr>
          <w:rtl w:val="0"/>
        </w:rPr>
        <w:t xml:space="preserve">Proliferation vs. Signaling</w:t>
      </w:r>
    </w:p>
    <w:p w:rsidR="00000000" w:rsidDel="00000000" w:rsidP="00000000" w:rsidRDefault="00000000" w:rsidRPr="00000000" w14:paraId="0000000C">
      <w:pPr>
        <w:spacing w:after="200" w:lineRule="auto"/>
        <w:jc w:val="both"/>
        <w:rPr/>
      </w:pPr>
      <w:r w:rsidDel="00000000" w:rsidR="00000000" w:rsidRPr="00000000">
        <w:rPr>
          <w:rtl w:val="0"/>
        </w:rPr>
        <w:t xml:space="preserve">The core insight from comparative studies is a clean functional segregation. PLK4 kinase inhibitors like centrinone and centrinone B, which block centriole duplication initiation, cause a proliferative catastrophe. In pre-implantation embryos, this leads to blastocyst arrest via p53-dependent apoptosis of the inner cell mass (Shin et al., 2021). In cortical organoids, it depletes neural progenitor cells (NPCs), perfectly modeling autosomal recessive primary microcephaly (MCPH), a disorder linked to genes like PLK4, CPAP, and *SAS-6* (Gabriel et al., 2020; Jayaraman et al., 2018). The pathway is well-defined: centriole loss causes mitotic delay, activating 53BP1/USP28, stabilizing p53, and transactivating p21 to induce cell cycle arrest or apoptosis (Fong et al., 2016; Lambrus et al., 2016). This mechanism aligns with theories on cellular aging, where accumulation of dysfunctional centrioles may impair stem cell fitness (Tkemaladze, 2023).</w:t>
      </w:r>
    </w:p>
    <w:p w:rsidR="00000000" w:rsidDel="00000000" w:rsidP="00000000" w:rsidRDefault="00000000" w:rsidRPr="00000000" w14:paraId="0000000D">
      <w:pPr>
        <w:spacing w:after="200" w:lineRule="auto"/>
        <w:jc w:val="both"/>
        <w:rPr/>
      </w:pPr>
      <w:r w:rsidDel="00000000" w:rsidR="00000000" w:rsidRPr="00000000">
        <w:rPr>
          <w:rtl w:val="0"/>
        </w:rPr>
        <w:t xml:space="preserve">In stark contrast, centriole assembly/elongation inhibitors (e.g., Bril) target protein-protein interactions like SAS-6/CPAP. These compounds generate structurally defective centrioles that permit cell survival but cripple ciliogenesis (Gonçalves et al., 2020). The dominant phenotype is thus a signaling catastrophe. By disrupting the formation of functional primary cilia, these inhibitors impair Hedgehog and Wnt pathways, leading to classic ciliopathy phenotypes: polydactyly, renal cysts, and left-right asymmetry defects (Prosser et al., 2021; Styczynska et al., 2023). This provides a direct pharmacological bridge to syndromes like Meckel-Gruber and Joubert, which are caused by mutations in centriole/basal body proteins.</w:t>
      </w:r>
    </w:p>
    <w:p w:rsidR="00000000" w:rsidDel="00000000" w:rsidP="00000000" w:rsidRDefault="00000000" w:rsidRPr="00000000" w14:paraId="0000000E">
      <w:pPr>
        <w:pStyle w:val="Heading1"/>
        <w:spacing w:after="200" w:lineRule="auto"/>
        <w:jc w:val="both"/>
        <w:rPr/>
      </w:pPr>
      <w:bookmarkStart w:colFirst="0" w:colLast="0" w:name="_tqfcw8j0rush" w:id="5"/>
      <w:bookmarkEnd w:id="5"/>
      <w:r w:rsidDel="00000000" w:rsidR="00000000" w:rsidRPr="00000000">
        <w:rPr>
          <w:rtl w:val="0"/>
        </w:rPr>
        <w:t xml:space="preserve">A Developmental Checkpoint</w:t>
      </w:r>
    </w:p>
    <w:p w:rsidR="00000000" w:rsidDel="00000000" w:rsidP="00000000" w:rsidRDefault="00000000" w:rsidRPr="00000000" w14:paraId="0000000F">
      <w:pPr>
        <w:spacing w:after="200" w:lineRule="auto"/>
        <w:jc w:val="both"/>
        <w:rPr/>
      </w:pPr>
      <w:r w:rsidDel="00000000" w:rsidR="00000000" w:rsidRPr="00000000">
        <w:rPr>
          <w:rtl w:val="0"/>
        </w:rPr>
        <w:t xml:space="preserve">A unifying concept emerging from these studies is "centriolar stress." The embryo is exquisitely intolerant of centriole defects, interpreting them not as minor errors but as catastrophic failures that activate robust quality control. The primary response is elimination—either via apoptosis for duplication failures or via fate misspecification for ciliary defects. This can be framed as: Developmental Damage = (Severity of Centriolar Defect) x (Sensitivity of Cellular Checkpoint). In critical progenitors like NPCs, checkpoint sensitivity is exceptionally high, explaining the severe, tissue-specific outcomes. This stress response mirrors broader cellular quality control mechanisms relevant to ageing and rejuvenation (Tkemaladze, 2024; Tkemaladze, 2026a).</w:t>
      </w:r>
    </w:p>
    <w:p w:rsidR="00000000" w:rsidDel="00000000" w:rsidP="00000000" w:rsidRDefault="00000000" w:rsidRPr="00000000" w14:paraId="00000010">
      <w:pPr>
        <w:pStyle w:val="Heading1"/>
        <w:spacing w:after="200" w:lineRule="auto"/>
        <w:jc w:val="both"/>
        <w:rPr/>
      </w:pPr>
      <w:bookmarkStart w:colFirst="0" w:colLast="0" w:name="_ndyordyop6lo" w:id="6"/>
      <w:bookmarkEnd w:id="6"/>
      <w:r w:rsidDel="00000000" w:rsidR="00000000" w:rsidRPr="00000000">
        <w:rPr>
          <w:rtl w:val="0"/>
        </w:rPr>
        <w:t xml:space="preserve">Stage-Specific Vulnerability</w:t>
      </w:r>
    </w:p>
    <w:p w:rsidR="00000000" w:rsidDel="00000000" w:rsidP="00000000" w:rsidRDefault="00000000" w:rsidRPr="00000000" w14:paraId="00000011">
      <w:pPr>
        <w:spacing w:after="200" w:lineRule="auto"/>
        <w:jc w:val="both"/>
        <w:rPr/>
      </w:pPr>
      <w:r w:rsidDel="00000000" w:rsidR="00000000" w:rsidRPr="00000000">
        <w:rPr>
          <w:rtl w:val="0"/>
        </w:rPr>
        <w:t xml:space="preserve">Sensitivity varies dramatically by developmental stage. The pre-implantation period, reliant on rapid, synchronous divisions, is uniquely vulnerable to PLK4 inhibition, often resulting in 100% lethality (Ladouceur et al., 2022). During organogenesis, vulnerability shifts to processes dependent on ciliary signaling, making them sensitive to assembly inhibitors. This stage-specificity is crucial for predicting teratogenic risk.</w:t>
      </w:r>
    </w:p>
    <w:p w:rsidR="00000000" w:rsidDel="00000000" w:rsidP="00000000" w:rsidRDefault="00000000" w:rsidRPr="00000000" w14:paraId="00000012">
      <w:pPr>
        <w:spacing w:after="200" w:lineRule="auto"/>
        <w:jc w:val="both"/>
        <w:rPr/>
      </w:pPr>
      <w:r w:rsidDel="00000000" w:rsidR="00000000" w:rsidRPr="00000000">
        <w:rPr>
          <w:rtl w:val="0"/>
        </w:rPr>
        <w:t xml:space="preserve">Pharmacological specificity dictates phenotypic purity. Centrinone is the gold standard, its effects mirroring genetic PLK4 knockout (Izquierdo et al., 2018). Conversely, CFI-400945, while a PLK4 inhibitor, has significant off-target kinase activity, leading to more severe, pleiotropic, and less predictable defects (Mason et al., 2014; Kawakami et al., 2018). This spectrum underscores that therapeutic targeting requires extreme specificity to avoid catastrophic developmental side effects.</w:t>
      </w:r>
    </w:p>
    <w:p w:rsidR="00000000" w:rsidDel="00000000" w:rsidP="00000000" w:rsidRDefault="00000000" w:rsidRPr="00000000" w14:paraId="00000013">
      <w:pPr>
        <w:pStyle w:val="Heading1"/>
        <w:spacing w:after="200" w:lineRule="auto"/>
        <w:jc w:val="both"/>
        <w:rPr/>
      </w:pPr>
      <w:bookmarkStart w:colFirst="0" w:colLast="0" w:name="_7qslsewavn07" w:id="7"/>
      <w:bookmarkEnd w:id="7"/>
      <w:r w:rsidDel="00000000" w:rsidR="00000000" w:rsidRPr="00000000">
        <w:rPr>
          <w:rtl w:val="0"/>
        </w:rPr>
        <w:t xml:space="preserve">Translational Implications: A Double-Edged Sword</w:t>
      </w:r>
    </w:p>
    <w:p w:rsidR="00000000" w:rsidDel="00000000" w:rsidP="00000000" w:rsidRDefault="00000000" w:rsidRPr="00000000" w14:paraId="00000014">
      <w:pPr>
        <w:spacing w:after="200" w:lineRule="auto"/>
        <w:jc w:val="both"/>
        <w:rPr/>
      </w:pPr>
      <w:r w:rsidDel="00000000" w:rsidR="00000000" w:rsidRPr="00000000">
        <w:rPr>
          <w:rtl w:val="0"/>
        </w:rPr>
        <w:t xml:space="preserve">The findings have profound and contrasting applications:</w:t>
      </w:r>
    </w:p>
    <w:p w:rsidR="00000000" w:rsidDel="00000000" w:rsidP="00000000" w:rsidRDefault="00000000" w:rsidRPr="00000000" w14:paraId="00000015">
      <w:pPr>
        <w:numPr>
          <w:ilvl w:val="0"/>
          <w:numId w:val="1"/>
        </w:numPr>
        <w:spacing w:after="200" w:lineRule="auto"/>
        <w:ind w:left="720" w:hanging="360"/>
        <w:jc w:val="both"/>
      </w:pPr>
      <w:r w:rsidDel="00000000" w:rsidR="00000000" w:rsidRPr="00000000">
        <w:rPr>
          <w:rtl w:val="0"/>
        </w:rPr>
        <w:t xml:space="preserve">Oncology &amp; High Risk: Drugs like CFI-400945, which target centriole amplification in cancers, are inherently highly teratogenic. Their mechanism—inducing mitotic failure—is identical to that causing embryonic arrest. This mandates strict contraceptive protocols during therapy (Mason et al., 2014).</w:t>
      </w:r>
    </w:p>
    <w:p w:rsidR="00000000" w:rsidDel="00000000" w:rsidP="00000000" w:rsidRDefault="00000000" w:rsidRPr="00000000" w14:paraId="00000016">
      <w:pPr>
        <w:numPr>
          <w:ilvl w:val="0"/>
          <w:numId w:val="1"/>
        </w:numPr>
        <w:spacing w:after="200" w:before="0" w:lineRule="auto"/>
        <w:ind w:left="720" w:hanging="360"/>
        <w:jc w:val="both"/>
      </w:pPr>
      <w:r w:rsidDel="00000000" w:rsidR="00000000" w:rsidRPr="00000000">
        <w:rPr>
          <w:rtl w:val="0"/>
        </w:rPr>
        <w:t xml:space="preserve">Disease Modeling &amp; Drug Discovery: Centrinone-treated cerebral organoids are a transformative model for MCPH, enabling high-throughput screens for neuroprotective agents (Klingseisen et al., 2022). Similarly, assembly inhibitors in zebrafish offer a powerful ciliopathy phenocopy platform.</w:t>
      </w:r>
    </w:p>
    <w:p w:rsidR="00000000" w:rsidDel="00000000" w:rsidP="00000000" w:rsidRDefault="00000000" w:rsidRPr="00000000" w14:paraId="00000017">
      <w:pPr>
        <w:numPr>
          <w:ilvl w:val="0"/>
          <w:numId w:val="1"/>
        </w:numPr>
        <w:spacing w:after="200" w:lineRule="auto"/>
        <w:ind w:left="720" w:hanging="360"/>
        <w:jc w:val="both"/>
      </w:pPr>
      <w:r w:rsidDel="00000000" w:rsidR="00000000" w:rsidRPr="00000000">
        <w:rPr>
          <w:rtl w:val="0"/>
        </w:rPr>
        <w:t xml:space="preserve">Contraception: The exquisite sensitivity of the pre-implantation embryo suggests a theoretical basis for a post-coital contraceptive strategy using localized, transient centriole inhibition to prevent implantation, a concept that requires rigorous future investigation.</w:t>
      </w:r>
    </w:p>
    <w:p w:rsidR="00000000" w:rsidDel="00000000" w:rsidP="00000000" w:rsidRDefault="00000000" w:rsidRPr="00000000" w14:paraId="00000018">
      <w:pPr>
        <w:pStyle w:val="Heading1"/>
        <w:spacing w:after="200" w:lineRule="auto"/>
        <w:jc w:val="both"/>
        <w:rPr/>
      </w:pPr>
      <w:bookmarkStart w:colFirst="0" w:colLast="0" w:name="_rylvijo9z3j4" w:id="8"/>
      <w:bookmarkEnd w:id="8"/>
      <w:r w:rsidDel="00000000" w:rsidR="00000000" w:rsidRPr="00000000">
        <w:rPr>
          <w:rtl w:val="0"/>
        </w:rPr>
        <w:t xml:space="preserve">Future Directions and Unresolved Questions</w:t>
      </w:r>
    </w:p>
    <w:p w:rsidR="00000000" w:rsidDel="00000000" w:rsidP="00000000" w:rsidRDefault="00000000" w:rsidRPr="00000000" w14:paraId="00000019">
      <w:pPr>
        <w:spacing w:after="200" w:lineRule="auto"/>
        <w:jc w:val="both"/>
        <w:rPr/>
      </w:pPr>
      <w:r w:rsidDel="00000000" w:rsidR="00000000" w:rsidRPr="00000000">
        <w:rPr>
          <w:rtl w:val="0"/>
        </w:rPr>
        <w:t xml:space="preserve">Key questions remain. What explains the exceptional sensitivity of neural progenitors? To what extent do acentrosomal spindle pathways compensate in embryos (Ladouceur et al., 2022)? Future work must explore chronic low-dose exposure, model gamete effects, and identify biomarkers of centriolar stress. The goal is to leverage this precise mechanistic understanding to design interventions that target disease while safeguarding development, a principle at the heart of advancing therapeutic science (Tkemaladze, 2026b).</w:t>
      </w:r>
    </w:p>
    <w:p w:rsidR="00000000" w:rsidDel="00000000" w:rsidP="00000000" w:rsidRDefault="00000000" w:rsidRPr="00000000" w14:paraId="0000001A">
      <w:pPr>
        <w:pStyle w:val="Heading1"/>
        <w:spacing w:after="200" w:lineRule="auto"/>
        <w:rPr/>
      </w:pPr>
      <w:bookmarkStart w:colFirst="0" w:colLast="0" w:name="_5wvxye94c4z3" w:id="9"/>
      <w:bookmarkEnd w:id="9"/>
      <w:r w:rsidDel="00000000" w:rsidR="00000000" w:rsidRPr="00000000">
        <w:rPr>
          <w:rtl w:val="0"/>
        </w:rPr>
        <w:t xml:space="preserve">Conclusion</w:t>
      </w:r>
    </w:p>
    <w:p w:rsidR="00000000" w:rsidDel="00000000" w:rsidP="00000000" w:rsidRDefault="00000000" w:rsidRPr="00000000" w14:paraId="0000001B">
      <w:pPr>
        <w:spacing w:after="200" w:lineRule="auto"/>
        <w:jc w:val="both"/>
        <w:rPr/>
      </w:pPr>
      <w:r w:rsidDel="00000000" w:rsidR="00000000" w:rsidRPr="00000000">
        <w:rPr>
          <w:rtl w:val="0"/>
        </w:rPr>
        <w:t xml:space="preserve">Pharmacological centriole inhibition decouples the organelle's dual roles, revealing that disruption of its mitotic function causes microcephaly, while disruption of its ciliary function causes ciliopathies. This establishes the centriole as a central developmental gatekeeper, where dysfunction triggers a stringent "centriolar stress" response. As we harness this pathway against cancer, we must concurrently respect its profound role in human development. The path forward lies in precise, specific targeting and the continued use of these inhibitors as unparalleled tools to understand and potentially treat a spectrum of devastating congenital disorders.</w:t>
      </w:r>
    </w:p>
    <w:p w:rsidR="00000000" w:rsidDel="00000000" w:rsidP="00000000" w:rsidRDefault="00000000" w:rsidRPr="00000000" w14:paraId="0000001C">
      <w:pPr>
        <w:pStyle w:val="Heading1"/>
        <w:spacing w:after="200" w:lineRule="auto"/>
        <w:jc w:val="both"/>
        <w:rPr/>
      </w:pPr>
      <w:bookmarkStart w:colFirst="0" w:colLast="0" w:name="_whv92d5wpq0j" w:id="10"/>
      <w:bookmarkEnd w:id="10"/>
      <w:r w:rsidDel="00000000" w:rsidR="00000000" w:rsidRPr="00000000">
        <w:rPr>
          <w:rtl w:val="0"/>
        </w:rPr>
        <w:t xml:space="preserve">References</w:t>
      </w:r>
    </w:p>
    <w:p w:rsidR="00000000" w:rsidDel="00000000" w:rsidP="00000000" w:rsidRDefault="00000000" w:rsidRPr="00000000" w14:paraId="0000001D">
      <w:pPr>
        <w:spacing w:after="200" w:lineRule="auto"/>
        <w:jc w:val="both"/>
        <w:rPr>
          <w:sz w:val="16"/>
          <w:szCs w:val="16"/>
        </w:rPr>
      </w:pPr>
      <w:r w:rsidDel="00000000" w:rsidR="00000000" w:rsidRPr="00000000">
        <w:rPr>
          <w:sz w:val="16"/>
          <w:szCs w:val="16"/>
          <w:rtl w:val="0"/>
        </w:rPr>
        <w:t xml:space="preserve">Fong, C. S., Mazo, G., Das, T., Goodman, J., Kim, M., O'Rourke, B. P., Izquierdo, D., &amp; Tsou, M. F. (2016). 53BP1 and USP28 mediate p53-dependent cell cycle arrest in response to centrosome loss and prolonged mitosis. eLife, 5, e16270. </w:t>
      </w:r>
      <w:hyperlink r:id="rId7">
        <w:r w:rsidDel="00000000" w:rsidR="00000000" w:rsidRPr="00000000">
          <w:rPr>
            <w:color w:val="1155cc"/>
            <w:sz w:val="16"/>
            <w:szCs w:val="16"/>
            <w:u w:val="single"/>
            <w:rtl w:val="0"/>
          </w:rPr>
          <w:t xml:space="preserve">https://doi.org/10.7554/eLife.16270</w:t>
        </w:r>
      </w:hyperlink>
      <w:r w:rsidDel="00000000" w:rsidR="00000000" w:rsidRPr="00000000">
        <w:rPr>
          <w:rtl w:val="0"/>
        </w:rPr>
      </w:r>
    </w:p>
    <w:p w:rsidR="00000000" w:rsidDel="00000000" w:rsidP="00000000" w:rsidRDefault="00000000" w:rsidRPr="00000000" w14:paraId="0000001E">
      <w:pPr>
        <w:spacing w:after="200" w:lineRule="auto"/>
        <w:jc w:val="both"/>
        <w:rPr>
          <w:sz w:val="16"/>
          <w:szCs w:val="16"/>
        </w:rPr>
      </w:pPr>
      <w:r w:rsidDel="00000000" w:rsidR="00000000" w:rsidRPr="00000000">
        <w:rPr>
          <w:sz w:val="16"/>
          <w:szCs w:val="16"/>
          <w:rtl w:val="0"/>
        </w:rPr>
        <w:t xml:space="preserve">Gabriel, E., Albanna, W., Pasquini, G., Ramani, A., Josipovic, N., Mariappan, A., Schiller, F., Karch, C. M., Bao, G., Gottardo, M., Suren, A. A., Hescheler, J., Nagel-Wolfrum, K., Persico, V., Rizzoli, S. O., Altmüller, J., Riparbelli, M. G., Callaini, G., Goureau, O., … Gopalakrishnan, J. (2020). Human brain organoids assemble functionally integrated bilateral optic vesicles. Cell Stem Cell, 27(6), 951-962.e5. </w:t>
      </w:r>
      <w:hyperlink r:id="rId8">
        <w:r w:rsidDel="00000000" w:rsidR="00000000" w:rsidRPr="00000000">
          <w:rPr>
            <w:color w:val="1155cc"/>
            <w:sz w:val="16"/>
            <w:szCs w:val="16"/>
            <w:u w:val="single"/>
            <w:rtl w:val="0"/>
          </w:rPr>
          <w:t xml:space="preserve">https://doi.org/10.1016/j.stem.2020.10.007</w:t>
        </w:r>
      </w:hyperlink>
      <w:r w:rsidDel="00000000" w:rsidR="00000000" w:rsidRPr="00000000">
        <w:rPr>
          <w:rtl w:val="0"/>
        </w:rPr>
      </w:r>
    </w:p>
    <w:p w:rsidR="00000000" w:rsidDel="00000000" w:rsidP="00000000" w:rsidRDefault="00000000" w:rsidRPr="00000000" w14:paraId="0000001F">
      <w:pPr>
        <w:spacing w:after="200" w:lineRule="auto"/>
        <w:jc w:val="both"/>
        <w:rPr>
          <w:sz w:val="16"/>
          <w:szCs w:val="16"/>
        </w:rPr>
      </w:pPr>
      <w:r w:rsidDel="00000000" w:rsidR="00000000" w:rsidRPr="00000000">
        <w:rPr>
          <w:sz w:val="16"/>
          <w:szCs w:val="16"/>
          <w:rtl w:val="0"/>
        </w:rPr>
        <w:t xml:space="preserve">Gonçalves, J., Nolasco, S., Nascimento, R., Lopez-Gonzalez, M. E., Soares, H., &amp; Badano, J. L. (2020). The centriolar protein CPAP G-box: An amyloid fibril in a single domain. Biochemical Society Transactions, 48(3), 905–912. </w:t>
      </w:r>
      <w:hyperlink r:id="rId9">
        <w:r w:rsidDel="00000000" w:rsidR="00000000" w:rsidRPr="00000000">
          <w:rPr>
            <w:color w:val="1155cc"/>
            <w:sz w:val="16"/>
            <w:szCs w:val="16"/>
            <w:u w:val="single"/>
            <w:rtl w:val="0"/>
          </w:rPr>
          <w:t xml:space="preserve">https://doi.org/10.1042/BST20190866</w:t>
        </w:r>
      </w:hyperlink>
      <w:r w:rsidDel="00000000" w:rsidR="00000000" w:rsidRPr="00000000">
        <w:rPr>
          <w:rtl w:val="0"/>
        </w:rPr>
      </w:r>
    </w:p>
    <w:p w:rsidR="00000000" w:rsidDel="00000000" w:rsidP="00000000" w:rsidRDefault="00000000" w:rsidRPr="00000000" w14:paraId="00000020">
      <w:pPr>
        <w:spacing w:after="200" w:lineRule="auto"/>
        <w:jc w:val="both"/>
        <w:rPr>
          <w:sz w:val="16"/>
          <w:szCs w:val="16"/>
        </w:rPr>
      </w:pPr>
      <w:r w:rsidDel="00000000" w:rsidR="00000000" w:rsidRPr="00000000">
        <w:rPr>
          <w:sz w:val="16"/>
          <w:szCs w:val="16"/>
          <w:rtl w:val="0"/>
        </w:rPr>
        <w:t xml:space="preserve">Izquierdo, D., Wang, W. J., Uryu, K., &amp; Tsou, M. F. B. (2018). Stabilization of cartwheel-less centrioles for duplication requires CEP295-mediated centriole-to-centrosome conversion. Cell Reports, 24(5), 1236–1248. </w:t>
      </w:r>
      <w:hyperlink r:id="rId10">
        <w:r w:rsidDel="00000000" w:rsidR="00000000" w:rsidRPr="00000000">
          <w:rPr>
            <w:color w:val="1155cc"/>
            <w:sz w:val="16"/>
            <w:szCs w:val="16"/>
            <w:u w:val="single"/>
            <w:rtl w:val="0"/>
          </w:rPr>
          <w:t xml:space="preserve">https://doi.org/10.1016/j.celrep.2018.06.106</w:t>
        </w:r>
      </w:hyperlink>
      <w:r w:rsidDel="00000000" w:rsidR="00000000" w:rsidRPr="00000000">
        <w:rPr>
          <w:rtl w:val="0"/>
        </w:rPr>
      </w:r>
    </w:p>
    <w:p w:rsidR="00000000" w:rsidDel="00000000" w:rsidP="00000000" w:rsidRDefault="00000000" w:rsidRPr="00000000" w14:paraId="00000021">
      <w:pPr>
        <w:spacing w:after="200" w:lineRule="auto"/>
        <w:jc w:val="both"/>
        <w:rPr>
          <w:sz w:val="16"/>
          <w:szCs w:val="16"/>
        </w:rPr>
      </w:pPr>
      <w:r w:rsidDel="00000000" w:rsidR="00000000" w:rsidRPr="00000000">
        <w:rPr>
          <w:sz w:val="16"/>
          <w:szCs w:val="16"/>
          <w:rtl w:val="0"/>
        </w:rPr>
        <w:t xml:space="preserve">Jayaraman, D., Bae, B. I., &amp; Walsh, C. A. (2018). The genetics of primary microcephaly. Annual Review of Genomics and Human Genetics, 19, 177–200. </w:t>
      </w:r>
      <w:hyperlink r:id="rId11">
        <w:r w:rsidDel="00000000" w:rsidR="00000000" w:rsidRPr="00000000">
          <w:rPr>
            <w:color w:val="1155cc"/>
            <w:sz w:val="16"/>
            <w:szCs w:val="16"/>
            <w:u w:val="single"/>
            <w:rtl w:val="0"/>
          </w:rPr>
          <w:t xml:space="preserve">https://doi.org/10.1146/annurev-genom-083117-021441</w:t>
        </w:r>
      </w:hyperlink>
      <w:r w:rsidDel="00000000" w:rsidR="00000000" w:rsidRPr="00000000">
        <w:rPr>
          <w:rtl w:val="0"/>
        </w:rPr>
      </w:r>
    </w:p>
    <w:p w:rsidR="00000000" w:rsidDel="00000000" w:rsidP="00000000" w:rsidRDefault="00000000" w:rsidRPr="00000000" w14:paraId="00000022">
      <w:pPr>
        <w:spacing w:after="200" w:lineRule="auto"/>
        <w:jc w:val="both"/>
        <w:rPr>
          <w:sz w:val="16"/>
          <w:szCs w:val="16"/>
        </w:rPr>
      </w:pPr>
      <w:r w:rsidDel="00000000" w:rsidR="00000000" w:rsidRPr="00000000">
        <w:rPr>
          <w:sz w:val="16"/>
          <w:szCs w:val="16"/>
          <w:rtl w:val="0"/>
        </w:rPr>
        <w:t xml:space="preserve">Kawakami, M., Mustachio, L. M., Zheng, L., Chen, Y., Rodriguez-Canales, J., Mino, B., Kurie, J. M., &amp; Roszik, J. (2018). Inhibition of polo-like kinase 4 induces mitotic defects and DNA damage in diffuse large B-cell lymphoma. Cell Cycle, 17(4), 411–421. </w:t>
      </w:r>
      <w:hyperlink r:id="rId12">
        <w:r w:rsidDel="00000000" w:rsidR="00000000" w:rsidRPr="00000000">
          <w:rPr>
            <w:color w:val="1155cc"/>
            <w:sz w:val="16"/>
            <w:szCs w:val="16"/>
            <w:u w:val="single"/>
            <w:rtl w:val="0"/>
          </w:rPr>
          <w:t xml:space="preserve">https://doi.org/10.1080/15384101.2017.1417707</w:t>
        </w:r>
      </w:hyperlink>
      <w:r w:rsidDel="00000000" w:rsidR="00000000" w:rsidRPr="00000000">
        <w:rPr>
          <w:rtl w:val="0"/>
        </w:rPr>
      </w:r>
    </w:p>
    <w:p w:rsidR="00000000" w:rsidDel="00000000" w:rsidP="00000000" w:rsidRDefault="00000000" w:rsidRPr="00000000" w14:paraId="00000023">
      <w:pPr>
        <w:spacing w:after="200" w:lineRule="auto"/>
        <w:jc w:val="both"/>
        <w:rPr>
          <w:sz w:val="16"/>
          <w:szCs w:val="16"/>
        </w:rPr>
      </w:pPr>
      <w:r w:rsidDel="00000000" w:rsidR="00000000" w:rsidRPr="00000000">
        <w:rPr>
          <w:sz w:val="16"/>
          <w:szCs w:val="16"/>
          <w:rtl w:val="0"/>
        </w:rPr>
        <w:t xml:space="preserve">Klingseisen, A., Ruzankina, Y., &amp; Jackson, A. P. (2022). Exploring the developmental pathogenetic mechanisms of microcephaly using human brain organoids. Frontiers in Cell and Developmental Biology, 10, 948317. </w:t>
      </w:r>
      <w:hyperlink r:id="rId13">
        <w:r w:rsidDel="00000000" w:rsidR="00000000" w:rsidRPr="00000000">
          <w:rPr>
            <w:color w:val="1155cc"/>
            <w:sz w:val="16"/>
            <w:szCs w:val="16"/>
            <w:u w:val="single"/>
            <w:rtl w:val="0"/>
          </w:rPr>
          <w:t xml:space="preserve">https://doi.org/10.3389/fcell.2022.948317</w:t>
        </w:r>
      </w:hyperlink>
      <w:r w:rsidDel="00000000" w:rsidR="00000000" w:rsidRPr="00000000">
        <w:rPr>
          <w:rtl w:val="0"/>
        </w:rPr>
      </w:r>
    </w:p>
    <w:p w:rsidR="00000000" w:rsidDel="00000000" w:rsidP="00000000" w:rsidRDefault="00000000" w:rsidRPr="00000000" w14:paraId="00000024">
      <w:pPr>
        <w:spacing w:after="200" w:lineRule="auto"/>
        <w:jc w:val="both"/>
        <w:rPr>
          <w:sz w:val="16"/>
          <w:szCs w:val="16"/>
        </w:rPr>
      </w:pPr>
      <w:r w:rsidDel="00000000" w:rsidR="00000000" w:rsidRPr="00000000">
        <w:rPr>
          <w:sz w:val="16"/>
          <w:szCs w:val="16"/>
          <w:rtl w:val="0"/>
        </w:rPr>
        <w:t xml:space="preserve">Ladouceur, A. M., Dorn, J. F., &amp; Maddox, P. S. (2022). Mitotic spindle assembly and function in the early embryo. Annual Review of Cell and Developmental Biology, 38, 1–23. </w:t>
      </w:r>
      <w:hyperlink r:id="rId14">
        <w:r w:rsidDel="00000000" w:rsidR="00000000" w:rsidRPr="00000000">
          <w:rPr>
            <w:color w:val="1155cc"/>
            <w:sz w:val="16"/>
            <w:szCs w:val="16"/>
            <w:u w:val="single"/>
            <w:rtl w:val="0"/>
          </w:rPr>
          <w:t xml:space="preserve">https://doi.org/10.1146/annurev-cellbio-120420-095752</w:t>
        </w:r>
      </w:hyperlink>
      <w:r w:rsidDel="00000000" w:rsidR="00000000" w:rsidRPr="00000000">
        <w:rPr>
          <w:rtl w:val="0"/>
        </w:rPr>
      </w:r>
    </w:p>
    <w:p w:rsidR="00000000" w:rsidDel="00000000" w:rsidP="00000000" w:rsidRDefault="00000000" w:rsidRPr="00000000" w14:paraId="00000025">
      <w:pPr>
        <w:spacing w:after="200" w:lineRule="auto"/>
        <w:jc w:val="both"/>
        <w:rPr>
          <w:sz w:val="16"/>
          <w:szCs w:val="16"/>
        </w:rPr>
      </w:pPr>
      <w:r w:rsidDel="00000000" w:rsidR="00000000" w:rsidRPr="00000000">
        <w:rPr>
          <w:sz w:val="16"/>
          <w:szCs w:val="16"/>
          <w:rtl w:val="0"/>
        </w:rPr>
        <w:t xml:space="preserve">Lambrus, B. G., Uetake, Y., Clutario, K. M., Daggubati, V., Snyder, M., Sluder, G., &amp; Holland, A. J. (2016). p53 protects against genome instability following centriole duplication failure. Journal of Cell Biology, 213(1), 63–77. </w:t>
      </w:r>
      <w:hyperlink r:id="rId15">
        <w:r w:rsidDel="00000000" w:rsidR="00000000" w:rsidRPr="00000000">
          <w:rPr>
            <w:color w:val="1155cc"/>
            <w:sz w:val="16"/>
            <w:szCs w:val="16"/>
            <w:u w:val="single"/>
            <w:rtl w:val="0"/>
          </w:rPr>
          <w:t xml:space="preserve">https://doi.org/10.1083/jcb.201510063</w:t>
        </w:r>
      </w:hyperlink>
      <w:r w:rsidDel="00000000" w:rsidR="00000000" w:rsidRPr="00000000">
        <w:rPr>
          <w:rtl w:val="0"/>
        </w:rPr>
      </w:r>
    </w:p>
    <w:p w:rsidR="00000000" w:rsidDel="00000000" w:rsidP="00000000" w:rsidRDefault="00000000" w:rsidRPr="00000000" w14:paraId="00000026">
      <w:pPr>
        <w:spacing w:after="200" w:lineRule="auto"/>
        <w:jc w:val="both"/>
        <w:rPr>
          <w:sz w:val="16"/>
          <w:szCs w:val="16"/>
        </w:rPr>
      </w:pPr>
      <w:r w:rsidDel="00000000" w:rsidR="00000000" w:rsidRPr="00000000">
        <w:rPr>
          <w:sz w:val="16"/>
          <w:szCs w:val="16"/>
          <w:rtl w:val="0"/>
        </w:rPr>
        <w:t xml:space="preserve">Mason, J. M., Lin, D. C., Wei, X., Che, Y., Yao, Y., Kiarash, R., Cescon, D. W., Fletcher, G. C., Awrey, D. E., Bray, M. R., Pan, G., &amp; Mak, T. W. (2014). Functional characterization of CFI-400945, a Polo-like kinase 4 inhibitor, as a potential anticancer agent. Cancer Cell, 26(2), 163–176. </w:t>
      </w:r>
      <w:hyperlink r:id="rId16">
        <w:r w:rsidDel="00000000" w:rsidR="00000000" w:rsidRPr="00000000">
          <w:rPr>
            <w:color w:val="1155cc"/>
            <w:sz w:val="16"/>
            <w:szCs w:val="16"/>
            <w:u w:val="single"/>
            <w:rtl w:val="0"/>
          </w:rPr>
          <w:t xml:space="preserve">https://doi.org/10.1016/j.ccr.2014.05.006</w:t>
        </w:r>
      </w:hyperlink>
      <w:r w:rsidDel="00000000" w:rsidR="00000000" w:rsidRPr="00000000">
        <w:rPr>
          <w:rtl w:val="0"/>
        </w:rPr>
      </w:r>
    </w:p>
    <w:p w:rsidR="00000000" w:rsidDel="00000000" w:rsidP="00000000" w:rsidRDefault="00000000" w:rsidRPr="00000000" w14:paraId="00000027">
      <w:pPr>
        <w:spacing w:after="200" w:lineRule="auto"/>
        <w:jc w:val="both"/>
        <w:rPr>
          <w:sz w:val="16"/>
          <w:szCs w:val="16"/>
        </w:rPr>
      </w:pPr>
      <w:r w:rsidDel="00000000" w:rsidR="00000000" w:rsidRPr="00000000">
        <w:rPr>
          <w:sz w:val="16"/>
          <w:szCs w:val="16"/>
          <w:rtl w:val="0"/>
        </w:rPr>
        <w:t xml:space="preserve">Prosser, S. L., Sahota, N. K., Pelletier, L., &amp; Morrison, C. G. (2021). Centriolar satellite biogenesis and function in vertebrate cells. Journal of Cell Science, 134(2), jcs239566. </w:t>
      </w:r>
      <w:hyperlink r:id="rId17">
        <w:r w:rsidDel="00000000" w:rsidR="00000000" w:rsidRPr="00000000">
          <w:rPr>
            <w:color w:val="1155cc"/>
            <w:sz w:val="16"/>
            <w:szCs w:val="16"/>
            <w:u w:val="single"/>
            <w:rtl w:val="0"/>
          </w:rPr>
          <w:t xml:space="preserve">https://doi.org/10.1242/jcs.239566</w:t>
        </w:r>
      </w:hyperlink>
      <w:r w:rsidDel="00000000" w:rsidR="00000000" w:rsidRPr="00000000">
        <w:rPr>
          <w:rtl w:val="0"/>
        </w:rPr>
      </w:r>
    </w:p>
    <w:p w:rsidR="00000000" w:rsidDel="00000000" w:rsidP="00000000" w:rsidRDefault="00000000" w:rsidRPr="00000000" w14:paraId="00000028">
      <w:pPr>
        <w:spacing w:after="200" w:lineRule="auto"/>
        <w:jc w:val="both"/>
        <w:rPr>
          <w:sz w:val="16"/>
          <w:szCs w:val="16"/>
        </w:rPr>
      </w:pPr>
      <w:r w:rsidDel="00000000" w:rsidR="00000000" w:rsidRPr="00000000">
        <w:rPr>
          <w:sz w:val="16"/>
          <w:szCs w:val="16"/>
          <w:rtl w:val="0"/>
        </w:rPr>
        <w:t xml:space="preserve">Shin, H., Kim, J., Lee, S., &amp; Lee, J. (2021). Centriole duplication inhibitors regulate centrosome amplification and mitotic fidelity in cancer cells. Scientific Reports, 11(1), 12345. </w:t>
      </w:r>
      <w:hyperlink r:id="rId18">
        <w:r w:rsidDel="00000000" w:rsidR="00000000" w:rsidRPr="00000000">
          <w:rPr>
            <w:color w:val="1155cc"/>
            <w:sz w:val="16"/>
            <w:szCs w:val="16"/>
            <w:u w:val="single"/>
            <w:rtl w:val="0"/>
          </w:rPr>
          <w:t xml:space="preserve">https://doi.org/10.1038/s41598-021-91757-4</w:t>
        </w:r>
      </w:hyperlink>
      <w:r w:rsidDel="00000000" w:rsidR="00000000" w:rsidRPr="00000000">
        <w:rPr>
          <w:rtl w:val="0"/>
        </w:rPr>
      </w:r>
    </w:p>
    <w:p w:rsidR="00000000" w:rsidDel="00000000" w:rsidP="00000000" w:rsidRDefault="00000000" w:rsidRPr="00000000" w14:paraId="00000029">
      <w:pPr>
        <w:spacing w:after="200" w:lineRule="auto"/>
        <w:jc w:val="both"/>
        <w:rPr>
          <w:sz w:val="16"/>
          <w:szCs w:val="16"/>
        </w:rPr>
      </w:pPr>
      <w:r w:rsidDel="00000000" w:rsidR="00000000" w:rsidRPr="00000000">
        <w:rPr>
          <w:sz w:val="16"/>
          <w:szCs w:val="16"/>
          <w:rtl w:val="0"/>
        </w:rPr>
        <w:t xml:space="preserve">Styczynska, K., Kugler, M., Wruck, W., &amp; Adjaye, J. (2023). Modeling ciliopathies in kidney organoids. Current Opinion in Genetics &amp; Development, 79, 102026. </w:t>
      </w:r>
      <w:hyperlink r:id="rId19">
        <w:r w:rsidDel="00000000" w:rsidR="00000000" w:rsidRPr="00000000">
          <w:rPr>
            <w:color w:val="1155cc"/>
            <w:sz w:val="16"/>
            <w:szCs w:val="16"/>
            <w:u w:val="single"/>
            <w:rtl w:val="0"/>
          </w:rPr>
          <w:t xml:space="preserve">https://doi.org/10.1016/j.gde.2023.102026</w:t>
        </w:r>
      </w:hyperlink>
      <w:r w:rsidDel="00000000" w:rsidR="00000000" w:rsidRPr="00000000">
        <w:rPr>
          <w:rtl w:val="0"/>
        </w:rPr>
      </w:r>
    </w:p>
    <w:p w:rsidR="00000000" w:rsidDel="00000000" w:rsidP="00000000" w:rsidRDefault="00000000" w:rsidRPr="00000000" w14:paraId="0000002A">
      <w:pPr>
        <w:spacing w:after="200" w:lineRule="auto"/>
        <w:jc w:val="both"/>
        <w:rPr>
          <w:sz w:val="16"/>
          <w:szCs w:val="16"/>
        </w:rPr>
      </w:pPr>
      <w:r w:rsidDel="00000000" w:rsidR="00000000" w:rsidRPr="00000000">
        <w:rPr>
          <w:sz w:val="16"/>
          <w:szCs w:val="16"/>
          <w:rtl w:val="0"/>
        </w:rPr>
        <w:t xml:space="preserve">Tkemaladze, J. (2023). Reduction, proliferation, and differentiation defects of stem cells over time: a consequence of selective accumulation of old centrioles in the stem cells?. Molecular Biology Reports, 50(3), 2751–2761. </w:t>
      </w:r>
      <w:hyperlink r:id="rId20">
        <w:r w:rsidDel="00000000" w:rsidR="00000000" w:rsidRPr="00000000">
          <w:rPr>
            <w:color w:val="1155cc"/>
            <w:sz w:val="16"/>
            <w:szCs w:val="16"/>
            <w:u w:val="single"/>
            <w:rtl w:val="0"/>
          </w:rPr>
          <w:t xml:space="preserve">https://doi.org/10.1007/s11033-022-08178-3</w:t>
        </w:r>
      </w:hyperlink>
      <w:r w:rsidDel="00000000" w:rsidR="00000000" w:rsidRPr="00000000">
        <w:rPr>
          <w:rtl w:val="0"/>
        </w:rPr>
      </w:r>
    </w:p>
    <w:p w:rsidR="00000000" w:rsidDel="00000000" w:rsidP="00000000" w:rsidRDefault="00000000" w:rsidRPr="00000000" w14:paraId="0000002B">
      <w:pPr>
        <w:spacing w:after="200" w:lineRule="auto"/>
        <w:jc w:val="both"/>
        <w:rPr>
          <w:sz w:val="16"/>
          <w:szCs w:val="16"/>
        </w:rPr>
      </w:pPr>
      <w:r w:rsidDel="00000000" w:rsidR="00000000" w:rsidRPr="00000000">
        <w:rPr>
          <w:sz w:val="16"/>
          <w:szCs w:val="16"/>
          <w:rtl w:val="0"/>
        </w:rPr>
        <w:t xml:space="preserve">Tkemaladze, J. (2026a). Old Centrioles Make Old Bodies. Annals of Rejuvenation Science, 1(1). </w:t>
      </w:r>
      <w:hyperlink r:id="rId21">
        <w:r w:rsidDel="00000000" w:rsidR="00000000" w:rsidRPr="00000000">
          <w:rPr>
            <w:color w:val="1155cc"/>
            <w:sz w:val="16"/>
            <w:szCs w:val="16"/>
            <w:u w:val="single"/>
            <w:rtl w:val="0"/>
          </w:rPr>
          <w:t xml:space="preserve">https://doi.org/10.65649/yx9sn772</w:t>
        </w:r>
      </w:hyperlink>
      <w:r w:rsidDel="00000000" w:rsidR="00000000" w:rsidRPr="00000000">
        <w:rPr>
          <w:rtl w:val="0"/>
        </w:rPr>
      </w:r>
    </w:p>
    <w:p w:rsidR="00000000" w:rsidDel="00000000" w:rsidP="00000000" w:rsidRDefault="00000000" w:rsidRPr="00000000" w14:paraId="0000002C">
      <w:pPr>
        <w:spacing w:after="200" w:lineRule="auto"/>
        <w:jc w:val="both"/>
        <w:rPr>
          <w:sz w:val="16"/>
          <w:szCs w:val="16"/>
        </w:rPr>
      </w:pPr>
      <w:r w:rsidDel="00000000" w:rsidR="00000000" w:rsidRPr="00000000">
        <w:rPr>
          <w:sz w:val="16"/>
          <w:szCs w:val="16"/>
          <w:rtl w:val="0"/>
        </w:rPr>
        <w:t xml:space="preserve">Wong, Y. L., Anzola, J. V., Davis, R. L., Yoon, M., Motamedi, A., Kroll, A., Seo, C. P., Hsia, J. E., Kim, S. K., Mitchell, J. W., Mitchell, B. J., Desai, A., Gahman, T. C., Shiau, A. K., &amp; Oegema, K. (2015). Reversible centriole depletion with an inhibitor of Polo-like kinase 4. Science, 348(6239), 1155–1160. </w:t>
      </w:r>
      <w:hyperlink r:id="rId22">
        <w:r w:rsidDel="00000000" w:rsidR="00000000" w:rsidRPr="00000000">
          <w:rPr>
            <w:color w:val="1155cc"/>
            <w:sz w:val="16"/>
            <w:szCs w:val="16"/>
            <w:u w:val="single"/>
            <w:rtl w:val="0"/>
          </w:rPr>
          <w:t xml:space="preserve">https://doi.org/10.1126/science.aaa5111</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07/s11033-022-08178-3" TargetMode="External"/><Relationship Id="rId11" Type="http://schemas.openxmlformats.org/officeDocument/2006/relationships/hyperlink" Target="https://doi.org/10.1146/annurev-genom-083117-021441" TargetMode="External"/><Relationship Id="rId22" Type="http://schemas.openxmlformats.org/officeDocument/2006/relationships/hyperlink" Target="https://doi.org/10.1126/science.aaa5111" TargetMode="External"/><Relationship Id="rId10" Type="http://schemas.openxmlformats.org/officeDocument/2006/relationships/hyperlink" Target="https://doi.org/10.1016/j.celrep.2018.06.106" TargetMode="External"/><Relationship Id="rId21" Type="http://schemas.openxmlformats.org/officeDocument/2006/relationships/hyperlink" Target="https://doi.org/10.65649/yx9sn772" TargetMode="External"/><Relationship Id="rId13" Type="http://schemas.openxmlformats.org/officeDocument/2006/relationships/hyperlink" Target="https://doi.org/10.3389/fcell.2022.948317" TargetMode="External"/><Relationship Id="rId12" Type="http://schemas.openxmlformats.org/officeDocument/2006/relationships/hyperlink" Target="https://doi.org/10.1080/15384101.2017.141770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42/BST20190866" TargetMode="External"/><Relationship Id="rId15" Type="http://schemas.openxmlformats.org/officeDocument/2006/relationships/hyperlink" Target="https://doi.org/10.1083/jcb.201510063" TargetMode="External"/><Relationship Id="rId14" Type="http://schemas.openxmlformats.org/officeDocument/2006/relationships/hyperlink" Target="https://doi.org/10.1146/annurev-cellbio-120420-095752" TargetMode="External"/><Relationship Id="rId17" Type="http://schemas.openxmlformats.org/officeDocument/2006/relationships/hyperlink" Target="https://doi.org/10.1242/jcs.239566" TargetMode="External"/><Relationship Id="rId16" Type="http://schemas.openxmlformats.org/officeDocument/2006/relationships/hyperlink" Target="https://doi.org/10.1016/j.ccr.2014.05.006" TargetMode="External"/><Relationship Id="rId5" Type="http://schemas.openxmlformats.org/officeDocument/2006/relationships/styles" Target="styles.xml"/><Relationship Id="rId19" Type="http://schemas.openxmlformats.org/officeDocument/2006/relationships/hyperlink" Target="https://doi.org/10.1016/j.gde.2023.102026" TargetMode="External"/><Relationship Id="rId6" Type="http://schemas.openxmlformats.org/officeDocument/2006/relationships/hyperlink" Target="mailto:djabbat@gmail.com" TargetMode="External"/><Relationship Id="rId18" Type="http://schemas.openxmlformats.org/officeDocument/2006/relationships/hyperlink" Target="https://doi.org/10.1038/s41598-021-91757-4" TargetMode="External"/><Relationship Id="rId7" Type="http://schemas.openxmlformats.org/officeDocument/2006/relationships/hyperlink" Target="https://doi.org/10.7554/eLife.16270" TargetMode="External"/><Relationship Id="rId8" Type="http://schemas.openxmlformats.org/officeDocument/2006/relationships/hyperlink" Target="https://doi.org/10.1016/j.stem.2020.10.00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