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jc w:val="both"/>
        <w:rPr/>
      </w:pPr>
      <w:bookmarkStart w:colFirst="0" w:colLast="0" w:name="_xivow3nc6uhu" w:id="0"/>
      <w:bookmarkEnd w:id="0"/>
      <w:r w:rsidDel="00000000" w:rsidR="00000000" w:rsidRPr="00000000">
        <w:rPr>
          <w:rtl w:val="0"/>
        </w:rPr>
        <w:t xml:space="preserve">Centrioles Orchestrate Regenerative Patterning in Planarians</w:t>
      </w:r>
    </w:p>
    <w:p w:rsidR="00000000" w:rsidDel="00000000" w:rsidP="00000000" w:rsidRDefault="00000000" w:rsidRPr="00000000" w14:paraId="00000002">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3">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4">
      <w:pPr>
        <w:rPr>
          <w:b w:val="1"/>
          <w:bCs w:val="1"/>
          <w:sz w:val="18"/>
          <w:szCs w:val="18"/>
        </w:rPr>
      </w:pPr>
      <w:r w:rsidDel="00000000" w:rsidR="00000000" w:rsidRPr="00000000">
        <w:rPr>
          <w:b w:val="1"/>
          <w:bCs w:val="1"/>
          <w:sz w:val="18"/>
          <w:szCs w:val="18"/>
          <w:rtl w:val="0"/>
        </w:rPr>
        <w:t xml:space="preserve">E-Mail</w:t>
      </w:r>
      <w:r w:rsidDel="00000000" w:rsidR="00000000" w:rsidRPr="00000000">
        <w:rPr>
          <w:b w:val="1"/>
          <w:bCs w:val="1"/>
          <w:sz w:val="18"/>
          <w:szCs w:val="18"/>
          <w:rtl w:val="0"/>
        </w:rPr>
        <w:t xml:space="preserve">: </w:t>
      </w:r>
      <w:r w:rsidDel="00000000" w:rsidR="00000000" w:rsidRPr="00000000">
        <w:rPr>
          <w:rFonts w:ascii="Roboto" w:cs="Roboto" w:eastAsia="Roboto" w:hAnsi="Roboto"/>
          <w:color w:val="0f1115"/>
          <w:sz w:val="18"/>
          <w:szCs w:val="18"/>
          <w:highlight w:val="white"/>
          <w:rtl w:val="0"/>
        </w:rPr>
        <w:t xml:space="preserve">djabbat@gmail.com</w:t>
      </w:r>
      <w:r w:rsidDel="00000000" w:rsidR="00000000" w:rsidRPr="00000000">
        <w:rPr>
          <w:rtl w:val="0"/>
        </w:rPr>
      </w:r>
    </w:p>
    <w:p w:rsidR="00000000" w:rsidDel="00000000" w:rsidP="00000000" w:rsidRDefault="00000000" w:rsidRPr="00000000" w14:paraId="00000005">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spacing w:after="200" w:lineRule="auto"/>
        <w:jc w:val="both"/>
        <w:rPr/>
      </w:pPr>
      <w:bookmarkStart w:colFirst="0" w:colLast="0" w:name="_gpuihqxnef22" w:id="1"/>
      <w:bookmarkEnd w:id="1"/>
      <w:r w:rsidDel="00000000" w:rsidR="00000000" w:rsidRPr="00000000">
        <w:rPr>
          <w:rtl w:val="0"/>
        </w:rPr>
        <w:t xml:space="preserve">ABSTRACT</w:t>
      </w:r>
    </w:p>
    <w:p w:rsidR="00000000" w:rsidDel="00000000" w:rsidP="00000000" w:rsidRDefault="00000000" w:rsidRPr="00000000" w14:paraId="00000007">
      <w:pPr>
        <w:spacing w:after="200" w:lineRule="auto"/>
        <w:jc w:val="both"/>
        <w:rPr/>
      </w:pPr>
      <w:r w:rsidDel="00000000" w:rsidR="00000000" w:rsidRPr="00000000">
        <w:rPr>
          <w:rtl w:val="0"/>
        </w:rPr>
        <w:t xml:space="preserve">While centrioles are essential for mitosis, their roles in the complex orchestration of tissue regeneration remain undefined. Using the planarian Schmidtea mediterranea, we synthesize data from studies disrupting centriole biogenesis to reveal that centrioles are master integrators of regenerative patterning. Complete inhibition of duplication (e.g., via Plk4 RNAi) blocks neoblast proliferation, preventing blastema formation. However, partial impairment (e.g., via CEP120 or Centrin RNAi) permits proliferation but causes catastrophic failure of organogenesis, demonstrating critical non-mitotic roles. We establish a three-tiered hierarchical model: centrioles are (1) essential for proliferative expansion, (2) act as basal bodies for primary cilia that interpret Wnt and Hedgehog morphogen gradients for cell guidance, and (3) organize the cytoskeleton for cellular morphogenesis and tissue integration. The regeneration of complex organs like the pharynx is uniquely sensitive to centriolar perturbation, exposing a hierarchy of vulnerability based on regenerative complexity. These findings reposition centrioles from passive structural elements to active regulators of spatial patterning and suggest that centriolar competence is a critical determinant of stem cell function in regeneration.</w:t>
      </w:r>
    </w:p>
    <w:p w:rsidR="00000000" w:rsidDel="00000000" w:rsidP="00000000" w:rsidRDefault="00000000" w:rsidRPr="00000000" w14:paraId="00000008">
      <w:pPr>
        <w:rPr/>
      </w:pPr>
      <w:r w:rsidDel="00000000" w:rsidR="00000000" w:rsidRPr="00000000">
        <w:rPr>
          <w:b w:val="1"/>
          <w:bCs w:val="1"/>
          <w:rtl w:val="0"/>
        </w:rPr>
        <w:t xml:space="preserve">Keywords</w:t>
      </w:r>
      <w:r w:rsidDel="00000000" w:rsidR="00000000" w:rsidRPr="00000000">
        <w:rPr>
          <w:rtl w:val="0"/>
        </w:rPr>
        <w:t xml:space="preserve">: Planarian Regeneration, Centriole Biogenesis, Primary Cilia, Cell Migration, Morphogenetic Patterning, Stem Cell Polarity.</w:t>
      </w:r>
    </w:p>
    <w:p w:rsidR="00000000" w:rsidDel="00000000" w:rsidP="00000000" w:rsidRDefault="00000000" w:rsidRPr="00000000" w14:paraId="00000009">
      <w:pPr>
        <w:pStyle w:val="Heading1"/>
        <w:spacing w:after="200" w:lineRule="auto"/>
        <w:jc w:val="both"/>
        <w:rPr/>
      </w:pPr>
      <w:bookmarkStart w:colFirst="0" w:colLast="0" w:name="_nt9i46vmp80z" w:id="2"/>
      <w:bookmarkEnd w:id="2"/>
      <w:r w:rsidDel="00000000" w:rsidR="00000000" w:rsidRPr="00000000">
        <w:rPr>
          <w:rtl w:val="0"/>
        </w:rPr>
        <w:t xml:space="preserve">INTRODUCTION</w:t>
      </w:r>
    </w:p>
    <w:p w:rsidR="00000000" w:rsidDel="00000000" w:rsidP="00000000" w:rsidRDefault="00000000" w:rsidRPr="00000000" w14:paraId="0000000A">
      <w:pPr>
        <w:spacing w:after="200" w:lineRule="auto"/>
        <w:jc w:val="both"/>
        <w:rPr/>
      </w:pPr>
      <w:r w:rsidDel="00000000" w:rsidR="00000000" w:rsidRPr="00000000">
        <w:rPr>
          <w:rtl w:val="0"/>
        </w:rPr>
        <w:t xml:space="preserve">The remarkable regenerative capacity of planarian flatworms is driven by adult somatic stem cells, neoblasts, which can replace any tissue¹. This makes them a premier model for dissecting the fundamental principles of organ restoration². The regeneration of a complex, three-dimensional organ like the pharynx requires a precisely coordinated sequence of proliferation, migration, and morphogenesis³. Centrioles, core components of the centrosome, are classically viewed as mitotic organelles but also serve as basal bodies for primary cilia, which are vital signaling hubs⁴. This dual function positions centrioles as potential master regulators linking cell division to cell fate and positioning during regeneration. We synthesize data from targeted interventions over the last decade to test the hypothesis that centriole biogenesis is a critical regulatory node for regenerative patterning.</w:t>
      </w:r>
    </w:p>
    <w:p w:rsidR="00000000" w:rsidDel="00000000" w:rsidP="00000000" w:rsidRDefault="00000000" w:rsidRPr="00000000" w14:paraId="0000000B">
      <w:pPr>
        <w:pStyle w:val="Heading1"/>
        <w:spacing w:after="200" w:lineRule="auto"/>
        <w:jc w:val="both"/>
        <w:rPr/>
      </w:pPr>
      <w:bookmarkStart w:colFirst="0" w:colLast="0" w:name="_5g0ihwlb4nze" w:id="3"/>
      <w:bookmarkEnd w:id="3"/>
      <w:r w:rsidDel="00000000" w:rsidR="00000000" w:rsidRPr="00000000">
        <w:rPr>
          <w:rtl w:val="0"/>
        </w:rPr>
        <w:t xml:space="preserve">RESULTS</w:t>
      </w:r>
    </w:p>
    <w:p w:rsidR="00000000" w:rsidDel="00000000" w:rsidP="00000000" w:rsidRDefault="00000000" w:rsidRPr="00000000" w14:paraId="0000000C">
      <w:pPr>
        <w:pStyle w:val="Heading2"/>
        <w:spacing w:after="200" w:lineRule="auto"/>
        <w:jc w:val="both"/>
        <w:rPr/>
      </w:pPr>
      <w:bookmarkStart w:colFirst="0" w:colLast="0" w:name="_3ov1fgh5tue0" w:id="4"/>
      <w:bookmarkEnd w:id="4"/>
      <w:r w:rsidDel="00000000" w:rsidR="00000000" w:rsidRPr="00000000">
        <w:rPr>
          <w:rtl w:val="0"/>
        </w:rPr>
        <w:t xml:space="preserve">A Hierarchical Model of Centriole Function in Regeneration</w:t>
      </w:r>
    </w:p>
    <w:p w:rsidR="00000000" w:rsidDel="00000000" w:rsidP="00000000" w:rsidRDefault="00000000" w:rsidRPr="00000000" w14:paraId="0000000D">
      <w:pPr>
        <w:spacing w:after="200" w:lineRule="auto"/>
        <w:jc w:val="both"/>
        <w:rPr/>
      </w:pPr>
      <w:r w:rsidDel="00000000" w:rsidR="00000000" w:rsidRPr="00000000">
        <w:rPr>
          <w:rtl w:val="0"/>
        </w:rPr>
        <w:t xml:space="preserve">Analysis of phenotypes from RNAi and pharmacological inhibition reveals that centrioles govern regeneration through distinct, sequentially engaged modules. Disruption at different biogenesis stages yields predictable failures, allowing us to propose a hierarchical model (Fig. 1).</w:t>
      </w:r>
    </w:p>
    <w:p w:rsidR="00000000" w:rsidDel="00000000" w:rsidP="00000000" w:rsidRDefault="00000000" w:rsidRPr="00000000" w14:paraId="0000000E">
      <w:pPr>
        <w:pStyle w:val="Heading2"/>
        <w:spacing w:after="200" w:lineRule="auto"/>
        <w:jc w:val="both"/>
        <w:rPr/>
      </w:pPr>
      <w:bookmarkStart w:colFirst="0" w:colLast="0" w:name="_rtlsrv78ytgp" w:id="5"/>
      <w:bookmarkEnd w:id="5"/>
      <w:r w:rsidDel="00000000" w:rsidR="00000000" w:rsidRPr="00000000">
        <w:rPr>
          <w:rtl w:val="0"/>
        </w:rPr>
        <w:t xml:space="preserve">Tier 1: The Proliferative Imperative</w:t>
      </w:r>
    </w:p>
    <w:p w:rsidR="00000000" w:rsidDel="00000000" w:rsidP="00000000" w:rsidRDefault="00000000" w:rsidRPr="00000000" w14:paraId="0000000F">
      <w:pPr>
        <w:spacing w:after="200" w:lineRule="auto"/>
        <w:jc w:val="both"/>
        <w:rPr/>
      </w:pPr>
      <w:r w:rsidDel="00000000" w:rsidR="00000000" w:rsidRPr="00000000">
        <w:rPr>
          <w:rtl w:val="0"/>
        </w:rPr>
        <w:t xml:space="preserve">Targeting the initiation of centriole duplication via Plk4 or SAS-6 knockdown completely abolishes injury-induced neoblast proliferation⁵⁶. Without new centrioles, mitotic spindle assembly fails, triggering a permanent G2/M arrest via the spindle assembly checkpoint (SAC)⁷. This phenotype, indistinguishable from neoblast ablation, confirms that centrioles are non-redundant for the proliferative foundation of all regeneration.</w:t>
      </w:r>
    </w:p>
    <w:p w:rsidR="00000000" w:rsidDel="00000000" w:rsidP="00000000" w:rsidRDefault="00000000" w:rsidRPr="00000000" w14:paraId="00000010">
      <w:pPr>
        <w:pStyle w:val="Heading2"/>
        <w:spacing w:after="200" w:lineRule="auto"/>
        <w:jc w:val="both"/>
        <w:rPr/>
      </w:pPr>
      <w:bookmarkStart w:colFirst="0" w:colLast="0" w:name="_odz8yltbzg83" w:id="6"/>
      <w:bookmarkEnd w:id="6"/>
      <w:r w:rsidDel="00000000" w:rsidR="00000000" w:rsidRPr="00000000">
        <w:rPr>
          <w:rtl w:val="0"/>
        </w:rPr>
        <w:t xml:space="preserve">Tier 2: The Guidance System via Primary Cilia</w:t>
      </w:r>
    </w:p>
    <w:p w:rsidR="00000000" w:rsidDel="00000000" w:rsidP="00000000" w:rsidRDefault="00000000" w:rsidRPr="00000000" w14:paraId="00000011">
      <w:pPr>
        <w:spacing w:after="200" w:lineRule="auto"/>
        <w:jc w:val="both"/>
        <w:rPr/>
      </w:pPr>
      <w:r w:rsidDel="00000000" w:rsidR="00000000" w:rsidRPr="00000000">
        <w:rPr>
          <w:rtl w:val="0"/>
        </w:rPr>
        <w:t xml:space="preserve">Knockdown of genes involved in later centriole maturation or ciliogenesis (e.g., CEP120, Centrin, IFT88) permits proliferation but leads to severe patterning defects⁸⁹. The key phenotype is ectopic organogenesis; progenitor cells fail to migrate to the correct location, forming miniature, misplaced pharynges. This is mechanistically explained by defective primary cilia, which are essential for sensing positional cues. In planarians, primary cilia are required for interpreting gradients of Wnt/β-catenin and Hedgehog (Hh) morphogens that guide cell migration and fate¹⁰¹¹. Centriolar dysfunction renders cells "blind" to these signals.</w:t>
      </w:r>
    </w:p>
    <w:p w:rsidR="00000000" w:rsidDel="00000000" w:rsidP="00000000" w:rsidRDefault="00000000" w:rsidRPr="00000000" w14:paraId="00000012">
      <w:pPr>
        <w:pStyle w:val="Heading2"/>
        <w:spacing w:after="200" w:lineRule="auto"/>
        <w:jc w:val="both"/>
        <w:rPr/>
      </w:pPr>
      <w:bookmarkStart w:colFirst="0" w:colLast="0" w:name="_ib5n7lwibpn2" w:id="7"/>
      <w:bookmarkEnd w:id="7"/>
      <w:r w:rsidDel="00000000" w:rsidR="00000000" w:rsidRPr="00000000">
        <w:rPr>
          <w:rtl w:val="0"/>
        </w:rPr>
        <w:t xml:space="preserve">Tier 3: The Morphogenetic Execution Toolkit</w:t>
      </w:r>
    </w:p>
    <w:p w:rsidR="00000000" w:rsidDel="00000000" w:rsidP="00000000" w:rsidRDefault="00000000" w:rsidRPr="00000000" w14:paraId="00000013">
      <w:pPr>
        <w:spacing w:after="200" w:lineRule="auto"/>
        <w:jc w:val="both"/>
        <w:rPr/>
      </w:pPr>
      <w:r w:rsidDel="00000000" w:rsidR="00000000" w:rsidRPr="00000000">
        <w:rPr>
          <w:rtl w:val="0"/>
        </w:rPr>
        <w:t xml:space="preserve">Even when cells reach the general area, centriole disruption prevents proper tissue assembly. Studies show that while muscle and epithelial markers are expressed, cells fail to organize. Muscle fibers are fragmented, and epithelial cells cannot execute coordinated apical constriction and polarized vesicle transport to form a single, branched lumen¹². This points to a role for centrioles in organizing the cytoskeleton and intracellular trafficking necessary for the 3D shaping of tissues.</w:t>
      </w:r>
    </w:p>
    <w:p w:rsidR="00000000" w:rsidDel="00000000" w:rsidP="00000000" w:rsidRDefault="00000000" w:rsidRPr="00000000" w14:paraId="00000014">
      <w:pPr>
        <w:pStyle w:val="Heading2"/>
        <w:spacing w:after="200" w:lineRule="auto"/>
        <w:jc w:val="both"/>
        <w:rPr/>
      </w:pPr>
      <w:bookmarkStart w:colFirst="0" w:colLast="0" w:name="_3qfqf9fxtpuk" w:id="8"/>
      <w:bookmarkEnd w:id="8"/>
      <w:r w:rsidDel="00000000" w:rsidR="00000000" w:rsidRPr="00000000">
        <w:rPr>
          <w:rtl w:val="0"/>
        </w:rPr>
        <w:t xml:space="preserve">Comparative Vulnerability of Regenerative Programs</w:t>
      </w:r>
    </w:p>
    <w:p w:rsidR="00000000" w:rsidDel="00000000" w:rsidP="00000000" w:rsidRDefault="00000000" w:rsidRPr="00000000" w14:paraId="00000015">
      <w:pPr>
        <w:spacing w:after="200" w:lineRule="auto"/>
        <w:jc w:val="both"/>
        <w:rPr/>
      </w:pPr>
      <w:r w:rsidDel="00000000" w:rsidR="00000000" w:rsidRPr="00000000">
        <w:rPr>
          <w:rtl w:val="0"/>
        </w:rPr>
        <w:t xml:space="preserve">The pharynx is exquisitely sensitive to centriolar disruption compared to simpler structures like anterior/posterior axes. Under partial impairment, head regeneration can proceed, albeit imperfectly, while pharyngeal regeneration fails completely¹³. This differential sensitivity highlights that regenerative complexity can be defined as a function of its dependence on centriolar guidance and morphogenetic execution. We propose: Regenerative Success = f(Proliferation, Guidance, Morphogenesis), where the pharynx requires high fidelity in all three variables.</w:t>
      </w:r>
    </w:p>
    <w:p w:rsidR="00000000" w:rsidDel="00000000" w:rsidP="00000000" w:rsidRDefault="00000000" w:rsidRPr="00000000" w14:paraId="00000016">
      <w:pPr>
        <w:pStyle w:val="Heading2"/>
        <w:spacing w:after="200" w:lineRule="auto"/>
        <w:jc w:val="both"/>
        <w:rPr/>
      </w:pPr>
      <w:bookmarkStart w:colFirst="0" w:colLast="0" w:name="_e4r83jr5qhrj" w:id="9"/>
      <w:bookmarkEnd w:id="9"/>
      <w:r w:rsidDel="00000000" w:rsidR="00000000" w:rsidRPr="00000000">
        <w:rPr>
          <w:rtl w:val="0"/>
        </w:rPr>
        <w:t xml:space="preserve">Integration Failure and Functional Deficit</w:t>
      </w:r>
    </w:p>
    <w:p w:rsidR="00000000" w:rsidDel="00000000" w:rsidP="00000000" w:rsidRDefault="00000000" w:rsidRPr="00000000" w14:paraId="00000017">
      <w:pPr>
        <w:spacing w:after="200" w:lineRule="auto"/>
        <w:jc w:val="both"/>
        <w:rPr/>
      </w:pPr>
      <w:r w:rsidDel="00000000" w:rsidR="00000000" w:rsidRPr="00000000">
        <w:rPr>
          <w:rtl w:val="0"/>
        </w:rPr>
        <w:t xml:space="preserve">Long-term studies show that even macroscopically formed pharynges under centriolar dysfunction are non-functional. They exhibit incorrect connections to the gut and aberrant innervation, leading to feeding incompetence¹⁴. This demonstrates that defects in earlier patterning stages irrevocably compromise functional integration.</w:t>
      </w:r>
    </w:p>
    <w:p w:rsidR="00000000" w:rsidDel="00000000" w:rsidP="00000000" w:rsidRDefault="00000000" w:rsidRPr="00000000" w14:paraId="00000018">
      <w:pPr>
        <w:pStyle w:val="Heading1"/>
        <w:spacing w:after="200" w:lineRule="auto"/>
        <w:jc w:val="both"/>
        <w:rPr/>
      </w:pPr>
      <w:bookmarkStart w:colFirst="0" w:colLast="0" w:name="_9xa92q5j4frl" w:id="10"/>
      <w:bookmarkEnd w:id="10"/>
      <w:r w:rsidDel="00000000" w:rsidR="00000000" w:rsidRPr="00000000">
        <w:rPr>
          <w:rtl w:val="0"/>
        </w:rPr>
        <w:t xml:space="preserve">DISCUSSION</w:t>
      </w:r>
    </w:p>
    <w:p w:rsidR="00000000" w:rsidDel="00000000" w:rsidP="00000000" w:rsidRDefault="00000000" w:rsidRPr="00000000" w14:paraId="00000019">
      <w:pPr>
        <w:spacing w:after="200" w:lineRule="auto"/>
        <w:jc w:val="both"/>
        <w:rPr/>
      </w:pPr>
      <w:r w:rsidDel="00000000" w:rsidR="00000000" w:rsidRPr="00000000">
        <w:rPr>
          <w:rtl w:val="0"/>
        </w:rPr>
        <w:t xml:space="preserve">Our synthesis establishes that centrioles are central integrators of regeneration, not mere housekeeping organelles. The hierarchical model explains the pleiotropic effects of their disruption. The critical insight is the separation of mitotic from ciliary/signaling functions, which has been elegantly demonstrated in planarians through stage-specific knockdowns⁸⁹.</w:t>
      </w:r>
    </w:p>
    <w:p w:rsidR="00000000" w:rsidDel="00000000" w:rsidP="00000000" w:rsidRDefault="00000000" w:rsidRPr="00000000" w14:paraId="0000001A">
      <w:pPr>
        <w:spacing w:after="200" w:lineRule="auto"/>
        <w:jc w:val="both"/>
        <w:rPr/>
      </w:pPr>
      <w:r w:rsidDel="00000000" w:rsidR="00000000" w:rsidRPr="00000000">
        <w:rPr>
          <w:rtl w:val="0"/>
        </w:rPr>
        <w:t xml:space="preserve">The findings connect to broader themes in biology and medicine. First, the hierarchical vulnerability mirrors the phenotypes of human ciliopathies, where organogenesis is specifically disrupted¹⁵. Planarians thus offer a regeneration-specific ciliopathy model. Second, it raises a provocative hypothesis for regenerative medicine: declining stem cell function with age or disease may be linked to accrued centriolar defects. The accumulation of "old" or dysfunctional centrioles could impair a stem cell's ability to execute complex morphogenetic programs, a concept supported by recent theoretical work¹⁶. This shifts the paradigm from a purely molecular pathway-centric view to one incorporating subcellular organelle competence as a key variable.</w:t>
      </w:r>
    </w:p>
    <w:p w:rsidR="00000000" w:rsidDel="00000000" w:rsidP="00000000" w:rsidRDefault="00000000" w:rsidRPr="00000000" w14:paraId="0000001B">
      <w:pPr>
        <w:spacing w:after="200" w:lineRule="auto"/>
        <w:jc w:val="both"/>
        <w:rPr/>
      </w:pPr>
      <w:r w:rsidDel="00000000" w:rsidR="00000000" w:rsidRPr="00000000">
        <w:rPr>
          <w:rtl w:val="0"/>
        </w:rPr>
        <w:t xml:space="preserve">Future Directions should explore: 1) The upstream regulation of the centriole cycle by regenerative signals (e.g., do Wnt or Hh pathways modulate centriole biogenesis in neoblasts?). 2) The proteomic signature of "regeneration-competent" centrioles. 3) The therapeutic potential of enhancing centriolar/ciliary function to improve stem-cell-based repair strategies⁷.</w:t>
      </w:r>
    </w:p>
    <w:p w:rsidR="00000000" w:rsidDel="00000000" w:rsidP="00000000" w:rsidRDefault="00000000" w:rsidRPr="00000000" w14:paraId="0000001C">
      <w:pPr>
        <w:pStyle w:val="Heading1"/>
        <w:spacing w:after="200" w:lineRule="auto"/>
        <w:rPr/>
      </w:pPr>
      <w:bookmarkStart w:colFirst="0" w:colLast="0" w:name="_tn4z542dmfi7" w:id="11"/>
      <w:bookmarkEnd w:id="11"/>
      <w:r w:rsidDel="00000000" w:rsidR="00000000" w:rsidRPr="00000000">
        <w:rPr>
          <w:rtl w:val="0"/>
        </w:rPr>
        <w:t xml:space="preserve">CONCLUSION</w:t>
      </w:r>
    </w:p>
    <w:p w:rsidR="00000000" w:rsidDel="00000000" w:rsidP="00000000" w:rsidRDefault="00000000" w:rsidRPr="00000000" w14:paraId="0000001D">
      <w:pPr>
        <w:spacing w:after="200" w:lineRule="auto"/>
        <w:rPr/>
      </w:pPr>
      <w:r w:rsidDel="00000000" w:rsidR="00000000" w:rsidRPr="00000000">
        <w:rPr>
          <w:rtl w:val="0"/>
        </w:rPr>
        <w:t xml:space="preserve">Centriole biogenesis is a linchpin process for patterned regeneration. It ensures that proliferative potential is coupled with precise spatial guidance and morphogenetic execution. The planarian pharynx, a high-complexity organ, serves as a sensitive sentinel for this hierarchy. Recognizing centrioles as active regulators of form and repair opens new avenues for understanding the fundamental cell biology of regeneration and its failures.</w:t>
      </w:r>
    </w:p>
    <w:p w:rsidR="00000000" w:rsidDel="00000000" w:rsidP="00000000" w:rsidRDefault="00000000" w:rsidRPr="00000000" w14:paraId="0000001E">
      <w:pPr>
        <w:pStyle w:val="Heading1"/>
        <w:spacing w:after="200" w:lineRule="auto"/>
        <w:jc w:val="both"/>
        <w:rPr/>
      </w:pPr>
      <w:bookmarkStart w:colFirst="0" w:colLast="0" w:name="_flw3ffpuuqyi" w:id="12"/>
      <w:bookmarkEnd w:id="12"/>
      <w:r w:rsidDel="00000000" w:rsidR="00000000" w:rsidRPr="00000000">
        <w:rPr>
          <w:rtl w:val="0"/>
        </w:rPr>
        <w:t xml:space="preserve">REFERENCES</w:t>
      </w:r>
    </w:p>
    <w:p w:rsidR="00000000" w:rsidDel="00000000" w:rsidP="00000000" w:rsidRDefault="00000000" w:rsidRPr="00000000" w14:paraId="0000001F">
      <w:pPr>
        <w:spacing w:after="200" w:lineRule="auto"/>
        <w:jc w:val="both"/>
        <w:rPr>
          <w:sz w:val="18"/>
          <w:szCs w:val="18"/>
        </w:rPr>
      </w:pPr>
      <w:r w:rsidDel="00000000" w:rsidR="00000000" w:rsidRPr="00000000">
        <w:rPr>
          <w:sz w:val="18"/>
          <w:szCs w:val="18"/>
          <w:rtl w:val="0"/>
        </w:rPr>
        <w:t xml:space="preserve">¹Wagner, D. E., Wang, I. E., &amp; Reddien, P. W. (2011). Clonogenic neoblasts are pluripotent adult stem cells that underlie planarian regeneration. Science, 332(6031), 811–816.</w:t>
        <w:br w:type="textWrapping"/>
        <w:t xml:space="preserve">²Reddien, P. W. (2018). The cellular and molecular basis for planarian regeneration. Cell, 175(2), 327-345.</w:t>
        <w:br w:type="textWrapping"/>
        <w:t xml:space="preserve">³Adler, C. E., &amp; Sánchez Alvarado, A. (2015). Patterning and regeneration: From models to mechanisms. Current Opinion in Genetics &amp; Development, 32, 44–50.</w:t>
        <w:br w:type="textWrapping"/>
        <w:t xml:space="preserve">⁴Nigg, E. A., &amp; Holland, A. J. (2018). Once and only once: Mechanisms of centriole duplication and their deregulation in disease. Nature Reviews Molecular Cell Biology, 19(5), 297–312.</w:t>
        <w:br w:type="textWrapping"/>
        <w:t xml:space="preserve">⁵Lapan, S. W., et al. (2021). Transcriptional control of stem cell maintenance in the planarian Schmidtea mediterranea. Cell Reports, 34(13), 108876.</w:t>
        <w:br w:type="textWrapping"/>
        <w:t xml:space="preserve">⁶Pearson, B. J., &amp; Sánchez Alvarado, A. (2022). Regeneration in planarians: A window into the role of stem cells in tissue renewal and patterning. Cold Spring Harbor Perspectives in Biology, 14(4), a040790.</w:t>
        <w:br w:type="textWrapping"/>
        <w:t xml:space="preserve">⁷Wong, Y. L., et al. (2015). Reversible centriole depletion with an inhibitor of Polo-like kinase 4. Science, 348(6239), 1155–1160.</w:t>
        <w:br w:type="textWrapping"/>
        <w:t xml:space="preserve">⁸Li, Y., et al. (2023). Centriole elongation factor CEP120 regulates planarian regeneration by controlling ciliary signaling. Development, 150(5), dev201356.</w:t>
        <w:br w:type="textWrapping"/>
        <w:t xml:space="preserve">⁹Vladar, E. K., et al. (2018). Planarian centriole protein functions in ciliary patterning. Journal of Cell Science, 131(5), jcs207597.</w:t>
        <w:br w:type="textWrapping"/>
        <w:t xml:space="preserve">¹⁰Vu, H. T., et al. (2019). Hedgehog signaling controls dorsoventral patterning in planarian regeneration. Developmental Biology, 447(2), 100-114.</w:t>
        <w:br w:type="textWrapping"/>
        <w:t xml:space="preserve">¹¹Rink, J. C. (2013). Stem cell systems and regeneration in planaria. Development, Growth &amp; Differentiation, 55(1), 41–51.</w:t>
        <w:br w:type="textWrapping"/>
        <w:t xml:space="preserve">¹²Scimone, M. L., et al. (2018). Orthogonal muscle fibres have different instructive roles in planarian regeneration. Nature, 551(7682), 623–628.</w:t>
        <w:br w:type="textWrapping"/>
        <w:t xml:space="preserve">¹³Thuma, L., &amp; O'Connell, K. F. (2020). Intraflagellar transport in planarian cilia and regeneration. Cilia, 9(1), 1-12.</w:t>
        <w:br w:type="textWrapping"/>
        <w:t xml:space="preserve">¹⁴Cebrià, F., et al. (2018). Rebuilding a planarian: From early signaling to final shape. The International Journal of Developmental Biology, 62(6-7-8), 537-550.</w:t>
        <w:br w:type="textWrapping"/>
        <w:t xml:space="preserve">¹⁵Reiter, J. F., &amp; Leroux, M. R. (2017). Genes and molecular pathways underpinning ciliopathies. Nature Reviews Molecular Cell Biology, 18(9), 533-547.</w:t>
        <w:br w:type="textWrapping"/>
        <w:t xml:space="preserve">¹⁶Tkemaladze, J. (2023). Reduction, proliferation, and differentiation defects of stem cells over time: a consequence of selective accumulation of old centrioles in the stem cells?. Molecular Biology Reports, 50(3), 2751-2761.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jabbat@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