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ud1wpji5umd" w:id="0"/>
      <w:bookmarkEnd w:id="0"/>
      <w:r w:rsidDel="00000000" w:rsidR="00000000" w:rsidRPr="00000000">
        <w:rPr>
          <w:rtl w:val="0"/>
        </w:rPr>
        <w:t xml:space="preserve">Centriole Bottleneck</w:t>
      </w:r>
    </w:p>
    <w:p w:rsidR="00000000" w:rsidDel="00000000" w:rsidP="00000000" w:rsidRDefault="00000000" w:rsidRPr="00000000" w14:paraId="00000002">
      <w:pPr>
        <w:pStyle w:val="Subtitle"/>
        <w:spacing w:after="200" w:lineRule="auto"/>
        <w:jc w:val="both"/>
        <w:rPr/>
      </w:pPr>
      <w:bookmarkStart w:colFirst="0" w:colLast="0" w:name="_pss4okd5ihyb" w:id="1"/>
      <w:bookmarkEnd w:id="1"/>
      <w:r w:rsidDel="00000000" w:rsidR="00000000" w:rsidRPr="00000000">
        <w:rPr>
          <w:rtl w:val="0"/>
        </w:rPr>
        <w:t xml:space="preserve">Universal Constraint on Regenerative Morphogenesis</w:t>
      </w:r>
    </w:p>
    <w:p w:rsidR="00000000" w:rsidDel="00000000" w:rsidP="00000000" w:rsidRDefault="00000000" w:rsidRPr="00000000" w14:paraId="00000003">
      <w:pPr>
        <w:spacing w:after="0" w:lineRule="auto"/>
        <w:jc w:val="both"/>
        <w:rPr>
          <w:sz w:val="18"/>
          <w:szCs w:val="18"/>
          <w:vertAlign w:val="superscript"/>
        </w:rPr>
      </w:pPr>
      <w:r w:rsidDel="00000000" w:rsidR="00000000" w:rsidRPr="00000000">
        <w:rPr>
          <w:b w:val="1"/>
          <w:bCs w:val="1"/>
          <w:sz w:val="18"/>
          <w:szCs w:val="18"/>
          <w:rtl w:val="0"/>
        </w:rPr>
        <w:t xml:space="preserve">Jaba Tkemaladze</w:t>
      </w:r>
      <w:r w:rsidDel="00000000" w:rsidR="00000000" w:rsidRPr="00000000">
        <w:rPr>
          <w:sz w:val="18"/>
          <w:szCs w:val="18"/>
          <w:rtl w:val="0"/>
        </w:rPr>
        <w:t xml:space="preserve"> </w:t>
      </w:r>
      <w:r w:rsidDel="00000000" w:rsidR="00000000" w:rsidRPr="00000000">
        <w:rPr>
          <w:sz w:val="18"/>
          <w:szCs w:val="18"/>
          <w:vertAlign w:val="superscript"/>
          <w:rtl w:val="0"/>
        </w:rPr>
        <w:t xml:space="preserve"> </w:t>
      </w:r>
      <w:hyperlink r:id="rId6">
        <w:r w:rsidDel="00000000" w:rsidR="00000000" w:rsidRPr="00000000">
          <w:rPr>
            <w:color w:val="1155cc"/>
            <w:sz w:val="18"/>
            <w:szCs w:val="18"/>
            <w:u w:val="single"/>
            <w:vertAlign w:val="superscript"/>
            <w:rtl w:val="0"/>
          </w:rPr>
          <w:t xml:space="preserve">^</w:t>
        </w:r>
      </w:hyperlink>
      <w:r w:rsidDel="00000000" w:rsidR="00000000" w:rsidRPr="00000000">
        <w:rPr>
          <w:sz w:val="18"/>
          <w:szCs w:val="18"/>
          <w:rtl w:val="0"/>
        </w:rPr>
        <w:t xml:space="preserve"> </w:t>
      </w:r>
      <w:r w:rsidDel="00000000" w:rsidR="00000000" w:rsidRPr="00000000">
        <w:rPr>
          <w:sz w:val="18"/>
          <w:szCs w:val="18"/>
          <w:vertAlign w:val="superscript"/>
          <w:rtl w:val="0"/>
        </w:rPr>
        <w:t xml:space="preserve">¹</w:t>
      </w:r>
    </w:p>
    <w:p w:rsidR="00000000" w:rsidDel="00000000" w:rsidP="00000000" w:rsidRDefault="00000000" w:rsidRPr="00000000" w14:paraId="00000004">
      <w:pPr>
        <w:spacing w:after="0" w:lineRule="auto"/>
        <w:jc w:val="both"/>
        <w:rPr>
          <w:sz w:val="18"/>
          <w:szCs w:val="18"/>
        </w:rPr>
      </w:pPr>
      <w:r w:rsidDel="00000000" w:rsidR="00000000" w:rsidRPr="00000000">
        <w:rPr>
          <w:b w:val="1"/>
          <w:bCs w:val="1"/>
          <w:sz w:val="18"/>
          <w:szCs w:val="18"/>
          <w:rtl w:val="0"/>
        </w:rPr>
        <w:t xml:space="preserve">Affiliation</w:t>
      </w:r>
      <w:r w:rsidDel="00000000" w:rsidR="00000000" w:rsidRPr="00000000">
        <w:rPr>
          <w:sz w:val="18"/>
          <w:szCs w:val="18"/>
          <w:rtl w:val="0"/>
        </w:rPr>
        <w:t xml:space="preserve">: </w:t>
      </w:r>
      <w:r w:rsidDel="00000000" w:rsidR="00000000" w:rsidRPr="00000000">
        <w:rPr>
          <w:sz w:val="18"/>
          <w:szCs w:val="18"/>
          <w:vertAlign w:val="superscript"/>
          <w:rtl w:val="0"/>
        </w:rPr>
        <w:t xml:space="preserve">¹</w:t>
      </w:r>
      <w:r w:rsidDel="00000000" w:rsidR="00000000" w:rsidRPr="00000000">
        <w:rPr>
          <w:sz w:val="18"/>
          <w:szCs w:val="18"/>
          <w:rtl w:val="0"/>
        </w:rPr>
        <w:t xml:space="preserve"> Kutaisi International University, Georgia</w:t>
      </w:r>
    </w:p>
    <w:p w:rsidR="00000000" w:rsidDel="00000000" w:rsidP="00000000" w:rsidRDefault="00000000" w:rsidRPr="00000000" w14:paraId="00000005">
      <w:pPr>
        <w:spacing w:after="0" w:lineRule="auto"/>
        <w:jc w:val="both"/>
        <w:rPr>
          <w:sz w:val="18"/>
          <w:szCs w:val="18"/>
        </w:rPr>
      </w:pPr>
      <w:r w:rsidDel="00000000" w:rsidR="00000000" w:rsidRPr="00000000">
        <w:rPr>
          <w:b w:val="1"/>
          <w:bCs w:val="1"/>
          <w:sz w:val="18"/>
          <w:szCs w:val="18"/>
          <w:rtl w:val="0"/>
        </w:rPr>
        <w:t xml:space="preserve">E-Mail</w:t>
      </w:r>
      <w:r w:rsidDel="00000000" w:rsidR="00000000" w:rsidRPr="00000000">
        <w:rPr>
          <w:sz w:val="18"/>
          <w:szCs w:val="18"/>
          <w:rtl w:val="0"/>
        </w:rPr>
        <w:t xml:space="preserve">: djabbat@gmail.com</w:t>
      </w:r>
    </w:p>
    <w:p w:rsidR="00000000" w:rsidDel="00000000" w:rsidP="00000000" w:rsidRDefault="00000000" w:rsidRPr="00000000" w14:paraId="00000006">
      <w:pPr>
        <w:pStyle w:val="Heading1"/>
        <w:spacing w:after="200" w:lineRule="auto"/>
        <w:rPr/>
      </w:pPr>
      <w:bookmarkStart w:colFirst="0" w:colLast="0" w:name="_g7n8cllbyt0a" w:id="2"/>
      <w:bookmarkEnd w:id="2"/>
      <w:r w:rsidDel="00000000" w:rsidR="00000000" w:rsidRPr="00000000">
        <w:rPr>
          <w:rtl w:val="0"/>
        </w:rPr>
        <w:t xml:space="preserve">Abstract</w:t>
      </w:r>
    </w:p>
    <w:p w:rsidR="00000000" w:rsidDel="00000000" w:rsidP="00000000" w:rsidRDefault="00000000" w:rsidRPr="00000000" w14:paraId="00000007">
      <w:pPr>
        <w:spacing w:after="200" w:lineRule="auto"/>
        <w:jc w:val="both"/>
        <w:rPr/>
      </w:pPr>
      <w:r w:rsidDel="00000000" w:rsidR="00000000" w:rsidRPr="00000000">
        <w:rPr>
          <w:rtl w:val="0"/>
        </w:rPr>
        <w:t xml:space="preserve">Disruption of centriole biogenesis in planarians reveals a hierarchical, stage-specific collapse of whole-body regeneration, underscoring a fundamental organellar constraint on stem cell-driven patterning. Whole-body regeneration in planarians represents a supreme biological challenge, requiring coordinated proliferation, repatterning, and organogenesis from a fragment. This preprint synthesizes recent functional studies to argue that centriole biogenesis acts as a fundamental, rate-limiting constraint on every phase of this process. Disruption of centriole duplication or function leads to a hierarchical failure: early blockage of neoblast proliferation results in lethality, while partial impairment yields specific defects in brain regeneration, eye formation, and axial patterning. These phenotypes stem from the centriole's multifunctional role as the orchestrator of mitotic fidelity, asymmetric cell divisions, primary cilium-based signaling, and cytoskeletal organization. A comparative analysis reveals that while centriole dependency is a conserved theme in regeneration, planarians present a uniquely stringent model due to their absolute reliance on a stem cell-driven morphogenetic program. The findings imply that "centriolar health" is a critical determinant of regenerative potential and suggest that evolutionary trade-offs involving centrosome regulation may underlie the loss of regenerative capacity in complex animals. For regenerative medicine, this underscores the necessity of ensuring centriole integrity in stem cell-based strategies.</w:t>
      </w:r>
    </w:p>
    <w:p w:rsidR="00000000" w:rsidDel="00000000" w:rsidP="00000000" w:rsidRDefault="00000000" w:rsidRPr="00000000" w14:paraId="00000008">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Planarian Regeneration, Centriole Biogenesis, Neoblast, Asymmetric Division, Primary Cilium, Morphogenetic Constraint, Stem Cell.</w:t>
      </w:r>
    </w:p>
    <w:p w:rsidR="00000000" w:rsidDel="00000000" w:rsidP="00000000" w:rsidRDefault="00000000" w:rsidRPr="00000000" w14:paraId="00000009">
      <w:pPr>
        <w:pStyle w:val="Heading1"/>
        <w:spacing w:after="200" w:lineRule="auto"/>
        <w:jc w:val="both"/>
        <w:rPr/>
      </w:pPr>
      <w:bookmarkStart w:colFirst="0" w:colLast="0" w:name="_fsrojarjrtqp" w:id="3"/>
      <w:bookmarkEnd w:id="3"/>
      <w:r w:rsidDel="00000000" w:rsidR="00000000" w:rsidRPr="00000000">
        <w:rPr>
          <w:rtl w:val="0"/>
        </w:rPr>
        <w:t xml:space="preserve">Introduction: The Cellular Orchestra of Whole-Body Regeneration</w:t>
      </w:r>
    </w:p>
    <w:p w:rsidR="00000000" w:rsidDel="00000000" w:rsidP="00000000" w:rsidRDefault="00000000" w:rsidRPr="00000000" w14:paraId="0000000A">
      <w:pPr>
        <w:spacing w:after="200" w:lineRule="auto"/>
        <w:jc w:val="both"/>
        <w:rPr/>
      </w:pPr>
      <w:r w:rsidDel="00000000" w:rsidR="00000000" w:rsidRPr="00000000">
        <w:rPr>
          <w:rtl w:val="0"/>
        </w:rPr>
        <w:t xml:space="preserve">Whole-body regeneration in planarians is an extreme stress test for cellular systems, demanding massive neoblast proliferation, global repatterning of body axes, de novo organogenesis, and tissue integration (Reddien, 2018). The fidelity of each step hinges on core cellular machinery, with recent evidence pinpointing the centriole as a critical linchpin (Dattilo, 2022). As the core of the centrosome, the centriole governs mitosis, ciliogenesis, and polarity. In planarians, it must transition between driving stem cell expansion and facilitating ciliary signaling in post-mitotic cells, a dual burden exponentially increased during regeneration.</w:t>
      </w:r>
    </w:p>
    <w:p w:rsidR="00000000" w:rsidDel="00000000" w:rsidP="00000000" w:rsidRDefault="00000000" w:rsidRPr="00000000" w14:paraId="0000000B">
      <w:pPr>
        <w:pStyle w:val="Heading1"/>
        <w:spacing w:after="200" w:lineRule="auto"/>
        <w:jc w:val="both"/>
        <w:rPr/>
      </w:pPr>
      <w:bookmarkStart w:colFirst="0" w:colLast="0" w:name="_hkrgwwpxlzb7" w:id="4"/>
      <w:bookmarkEnd w:id="4"/>
      <w:r w:rsidDel="00000000" w:rsidR="00000000" w:rsidRPr="00000000">
        <w:rPr>
          <w:rtl w:val="0"/>
        </w:rPr>
        <w:t xml:space="preserve">A Stage-Specific Map of Centriolar Constraint</w:t>
      </w:r>
    </w:p>
    <w:p w:rsidR="00000000" w:rsidDel="00000000" w:rsidP="00000000" w:rsidRDefault="00000000" w:rsidRPr="00000000" w14:paraId="0000000C">
      <w:pPr>
        <w:spacing w:after="200" w:lineRule="auto"/>
        <w:jc w:val="both"/>
        <w:rPr/>
      </w:pPr>
      <w:r w:rsidDel="00000000" w:rsidR="00000000" w:rsidRPr="00000000">
        <w:rPr>
          <w:rtl w:val="0"/>
        </w:rPr>
        <w:t xml:space="preserve">Meta-analysis of RNAi and pharmacological inhibition studies targeting centriolar components (e.g., PLK4, SAS-6, CEP135) reveals a temporal hierarchy of vulnerability.</w:t>
      </w:r>
    </w:p>
    <w:p w:rsidR="00000000" w:rsidDel="00000000" w:rsidP="00000000" w:rsidRDefault="00000000" w:rsidRPr="00000000" w14:paraId="0000000D">
      <w:pPr>
        <w:spacing w:after="200" w:lineRule="auto"/>
        <w:jc w:val="both"/>
        <w:rPr/>
      </w:pPr>
      <w:r w:rsidDel="00000000" w:rsidR="00000000" w:rsidRPr="00000000">
        <w:rPr>
          <w:i w:val="1"/>
          <w:iCs w:val="1"/>
          <w:rtl w:val="0"/>
        </w:rPr>
        <w:t xml:space="preserve">Phase 1: Wound Response (0-24h)</w:t>
      </w:r>
      <w:r w:rsidDel="00000000" w:rsidR="00000000" w:rsidRPr="00000000">
        <w:rPr>
          <w:rtl w:val="0"/>
        </w:rPr>
        <w:t xml:space="preserve">. Knockdown of core duplication genes (e.g., Plk4) delays wound epithelium formation, implicating centrosome-nucleated microtubule networks in the rapid cytoskeletal reorganization required for wound closure (Azimzadeh et al., 2020). This initial failure can misdirect the entire regenerative program.</w:t>
      </w:r>
    </w:p>
    <w:p w:rsidR="00000000" w:rsidDel="00000000" w:rsidP="00000000" w:rsidRDefault="00000000" w:rsidRPr="00000000" w14:paraId="0000000E">
      <w:pPr>
        <w:spacing w:after="200" w:lineRule="auto"/>
        <w:jc w:val="both"/>
        <w:rPr/>
      </w:pPr>
      <w:r w:rsidDel="00000000" w:rsidR="00000000" w:rsidRPr="00000000">
        <w:rPr>
          <w:i w:val="1"/>
          <w:iCs w:val="1"/>
          <w:rtl w:val="0"/>
        </w:rPr>
        <w:t xml:space="preserve">Phase 2: Proliferation &amp; Blastema Formation (1-4 days)</w:t>
      </w:r>
      <w:r w:rsidDel="00000000" w:rsidR="00000000" w:rsidRPr="00000000">
        <w:rPr>
          <w:rtl w:val="0"/>
        </w:rPr>
        <w:t xml:space="preserve">. This is the most vulnerable phase. Complete inhibition via Plk4(RNAi) prevents blastema formation, leading to fragment death, underscoring the non-negotiable requirement for centrioles in neoblast expansion (Khan et al., 2023). Transient PLK4 inhibition establishes an early, decisive point of no return for establishing a viable progenitor pool (Dattilo, 2022).</w:t>
      </w:r>
    </w:p>
    <w:p w:rsidR="00000000" w:rsidDel="00000000" w:rsidP="00000000" w:rsidRDefault="00000000" w:rsidRPr="00000000" w14:paraId="0000000F">
      <w:pPr>
        <w:spacing w:after="200" w:lineRule="auto"/>
        <w:jc w:val="both"/>
        <w:rPr/>
      </w:pPr>
      <w:r w:rsidDel="00000000" w:rsidR="00000000" w:rsidRPr="00000000">
        <w:rPr>
          <w:i w:val="1"/>
          <w:iCs w:val="1"/>
          <w:rtl w:val="0"/>
        </w:rPr>
        <w:t xml:space="preserve">Phase 3: Patterning &amp; Organogenesis (4-10 days)</w:t>
      </w:r>
      <w:r w:rsidDel="00000000" w:rsidR="00000000" w:rsidRPr="00000000">
        <w:rPr>
          <w:rtl w:val="0"/>
        </w:rPr>
        <w:t xml:space="preserve">. Partial impairment allows survival but with specific organ-level defects, revealing a sensitivity hierarchy. The most sensitive systems are the brain and photoreceptors, often appearing hypomorphic or absent, reflecting a failure in asymmetric divisions of neural progenitors and cilia-dependent Hedgehog signaling (Wang et al., 2023; Rink, 2013). The pharynx and ventral nerve cords are similarly severely affected. Moderately sensitive systems like pigmentation and musculature regenerate but lack fine organization, while the intestinal system regenerates with abnormal branching, indicating compromised morphogenesis (Forsthoefel et al., 2012; Cebrià et al., 2018).</w:t>
      </w:r>
    </w:p>
    <w:p w:rsidR="00000000" w:rsidDel="00000000" w:rsidP="00000000" w:rsidRDefault="00000000" w:rsidRPr="00000000" w14:paraId="00000010">
      <w:pPr>
        <w:spacing w:after="200" w:lineRule="auto"/>
        <w:jc w:val="both"/>
        <w:rPr/>
      </w:pPr>
      <w:r w:rsidDel="00000000" w:rsidR="00000000" w:rsidRPr="00000000">
        <w:rPr>
          <w:i w:val="1"/>
          <w:iCs w:val="1"/>
          <w:rtl w:val="0"/>
        </w:rPr>
        <w:t xml:space="preserve">Phase 4: Remodeling &amp; Scaling (10+ days)</w:t>
      </w:r>
      <w:r w:rsidDel="00000000" w:rsidR="00000000" w:rsidRPr="00000000">
        <w:rPr>
          <w:rtl w:val="0"/>
        </w:rPr>
        <w:t xml:space="preserve">. Survivors become "miniature monsters," failing at allometric scaling due to persistent centriole dysfunction in the stem cell compartment, leading to inefficient tissue renewal and growth (Azimzadeh et al., 2020).</w:t>
      </w:r>
    </w:p>
    <w:p w:rsidR="00000000" w:rsidDel="00000000" w:rsidP="00000000" w:rsidRDefault="00000000" w:rsidRPr="00000000" w14:paraId="00000011">
      <w:pPr>
        <w:pStyle w:val="Heading1"/>
        <w:spacing w:after="200" w:lineRule="auto"/>
        <w:jc w:val="both"/>
        <w:rPr/>
      </w:pPr>
      <w:bookmarkStart w:colFirst="0" w:colLast="0" w:name="_72mch36suzhz" w:id="5"/>
      <w:bookmarkEnd w:id="5"/>
      <w:r w:rsidDel="00000000" w:rsidR="00000000" w:rsidRPr="00000000">
        <w:rPr>
          <w:rtl w:val="0"/>
        </w:rPr>
        <w:t xml:space="preserve">Fragment-Specific Vulnerabilities Reveal Spatial Constraints</w:t>
      </w:r>
    </w:p>
    <w:p w:rsidR="00000000" w:rsidDel="00000000" w:rsidP="00000000" w:rsidRDefault="00000000" w:rsidRPr="00000000" w14:paraId="00000012">
      <w:pPr>
        <w:spacing w:after="200" w:lineRule="auto"/>
        <w:jc w:val="both"/>
        <w:rPr/>
      </w:pPr>
      <w:r w:rsidDel="00000000" w:rsidR="00000000" w:rsidRPr="00000000">
        <w:rPr>
          <w:rtl w:val="0"/>
        </w:rPr>
        <w:t xml:space="preserve">The regenerative demand on centrioles scales with complexity. Head fragments failing to regenerate tails highlight the absolute centriole-dependency of posterior outgrowth and proliferative-driven elongation (Dattilo, 2022). Tail fragments produce acephalic or bicephalic regenerants, linking centrioles to anterior patterning via ciliary signaling and symmetry-breaking events (Khan et al., 2023; Azimzadeh et al., 2020). Trunk fragments, facing bipolar regeneration, represent the ultimate stress test, where centriole impairment is most lethal, demonstrating the organelle as a limiting resource for coordinating opposing morphogenetic gradients.</w:t>
      </w:r>
    </w:p>
    <w:p w:rsidR="00000000" w:rsidDel="00000000" w:rsidP="00000000" w:rsidRDefault="00000000" w:rsidRPr="00000000" w14:paraId="00000013">
      <w:pPr>
        <w:pStyle w:val="Heading1"/>
        <w:spacing w:after="200" w:lineRule="auto"/>
        <w:jc w:val="both"/>
        <w:rPr/>
      </w:pPr>
      <w:bookmarkStart w:colFirst="0" w:colLast="0" w:name="_l9bp1zsbk1i7" w:id="6"/>
      <w:bookmarkEnd w:id="6"/>
      <w:r w:rsidDel="00000000" w:rsidR="00000000" w:rsidRPr="00000000">
        <w:rPr>
          <w:rtl w:val="0"/>
        </w:rPr>
        <w:t xml:space="preserve">Integrative Mechanistic Analysis: The Centriole as a Multifunctional Hub</w:t>
      </w:r>
    </w:p>
    <w:p w:rsidR="00000000" w:rsidDel="00000000" w:rsidP="00000000" w:rsidRDefault="00000000" w:rsidRPr="00000000" w14:paraId="00000014">
      <w:pPr>
        <w:spacing w:after="200" w:lineRule="auto"/>
        <w:jc w:val="both"/>
        <w:rPr/>
      </w:pPr>
      <w:r w:rsidDel="00000000" w:rsidR="00000000" w:rsidRPr="00000000">
        <w:rPr>
          <w:rtl w:val="0"/>
        </w:rPr>
        <w:t xml:space="preserve">The stage-specific defects map onto the centriole's core biochemical functions:</w:t>
      </w:r>
    </w:p>
    <w:p w:rsidR="00000000" w:rsidDel="00000000" w:rsidP="00000000" w:rsidRDefault="00000000" w:rsidRPr="00000000" w14:paraId="00000015">
      <w:pPr>
        <w:numPr>
          <w:ilvl w:val="0"/>
          <w:numId w:val="1"/>
        </w:numPr>
        <w:spacing w:after="200" w:lineRule="auto"/>
        <w:ind w:left="720" w:hanging="360"/>
        <w:jc w:val="both"/>
      </w:pPr>
      <w:r w:rsidDel="00000000" w:rsidR="00000000" w:rsidRPr="00000000">
        <w:rPr>
          <w:b w:val="1"/>
          <w:bCs w:val="1"/>
          <w:rtl w:val="0"/>
        </w:rPr>
        <w:t xml:space="preserve">Enabling Proliferation</w:t>
      </w:r>
      <w:r w:rsidDel="00000000" w:rsidR="00000000" w:rsidRPr="00000000">
        <w:rPr>
          <w:rtl w:val="0"/>
        </w:rPr>
        <w:t xml:space="preserve">: As the cornerstone of the mitotic spindle, centriole integrity is essential for neoblast expansion. Its failure is the primary, irrecoverable bottleneck (Dattilo, 2022).</w:t>
      </w:r>
    </w:p>
    <w:p w:rsidR="00000000" w:rsidDel="00000000" w:rsidP="00000000" w:rsidRDefault="00000000" w:rsidRPr="00000000" w14:paraId="00000016">
      <w:pPr>
        <w:numPr>
          <w:ilvl w:val="0"/>
          <w:numId w:val="1"/>
        </w:numPr>
        <w:spacing w:after="200" w:before="0" w:lineRule="auto"/>
        <w:ind w:left="720" w:hanging="360"/>
        <w:jc w:val="both"/>
      </w:pPr>
      <w:r w:rsidDel="00000000" w:rsidR="00000000" w:rsidRPr="00000000">
        <w:rPr>
          <w:b w:val="1"/>
          <w:bCs w:val="1"/>
          <w:rtl w:val="0"/>
        </w:rPr>
        <w:t xml:space="preserve">Orchestrating Fate via Asymmetry</w:t>
      </w:r>
      <w:r w:rsidDel="00000000" w:rsidR="00000000" w:rsidRPr="00000000">
        <w:rPr>
          <w:rtl w:val="0"/>
        </w:rPr>
        <w:t xml:space="preserve">: The mother centriole directs asymmetric divisions. Its disruption randomizes cell fate, causing severe neurogenic and sensory organ defects (Wang et al., 2023).</w:t>
      </w:r>
    </w:p>
    <w:p w:rsidR="00000000" w:rsidDel="00000000" w:rsidP="00000000" w:rsidRDefault="00000000" w:rsidRPr="00000000" w14:paraId="00000017">
      <w:pPr>
        <w:numPr>
          <w:ilvl w:val="0"/>
          <w:numId w:val="1"/>
        </w:numPr>
        <w:spacing w:after="200" w:before="0" w:lineRule="auto"/>
        <w:ind w:left="720" w:hanging="360"/>
        <w:jc w:val="both"/>
      </w:pPr>
      <w:r w:rsidDel="00000000" w:rsidR="00000000" w:rsidRPr="00000000">
        <w:rPr>
          <w:b w:val="1"/>
          <w:bCs w:val="1"/>
          <w:rtl w:val="0"/>
        </w:rPr>
        <w:t xml:space="preserve">Templating the Ciliary Signaling Hub</w:t>
      </w:r>
      <w:r w:rsidDel="00000000" w:rsidR="00000000" w:rsidRPr="00000000">
        <w:rPr>
          <w:rtl w:val="0"/>
        </w:rPr>
        <w:t xml:space="preserve">: The mother centriole nucleates the primary cilium, a concentrated center for Hedgehog and Wnt pathways. Defective ciliogenesis severs the link to morphogen interpretation, causing gross patterning errors like acephaly (Rink, 2013).</w:t>
      </w:r>
    </w:p>
    <w:p w:rsidR="00000000" w:rsidDel="00000000" w:rsidP="00000000" w:rsidRDefault="00000000" w:rsidRPr="00000000" w14:paraId="00000018">
      <w:pPr>
        <w:numPr>
          <w:ilvl w:val="0"/>
          <w:numId w:val="1"/>
        </w:numPr>
        <w:spacing w:after="200" w:before="0" w:lineRule="auto"/>
        <w:ind w:left="720" w:hanging="360"/>
        <w:jc w:val="both"/>
      </w:pPr>
      <w:r w:rsidDel="00000000" w:rsidR="00000000" w:rsidRPr="00000000">
        <w:rPr>
          <w:b w:val="1"/>
          <w:bCs w:val="1"/>
          <w:rtl w:val="0"/>
        </w:rPr>
        <w:t xml:space="preserve">Organizing the Cytoskeleton for Morphogenesis</w:t>
      </w:r>
      <w:r w:rsidDel="00000000" w:rsidR="00000000" w:rsidRPr="00000000">
        <w:rPr>
          <w:rtl w:val="0"/>
        </w:rPr>
        <w:t xml:space="preserve">: Centrioles govern the microtubule network essential for cell shape and migration, explaining disorganized tissue architecture and failed lumen formation (Khan et al., 2023).</w:t>
      </w:r>
    </w:p>
    <w:p w:rsidR="00000000" w:rsidDel="00000000" w:rsidP="00000000" w:rsidRDefault="00000000" w:rsidRPr="00000000" w14:paraId="00000019">
      <w:pPr>
        <w:numPr>
          <w:ilvl w:val="0"/>
          <w:numId w:val="1"/>
        </w:numPr>
        <w:spacing w:after="200" w:lineRule="auto"/>
        <w:ind w:left="720" w:hanging="360"/>
        <w:jc w:val="both"/>
      </w:pPr>
      <w:r w:rsidDel="00000000" w:rsidR="00000000" w:rsidRPr="00000000">
        <w:rPr>
          <w:b w:val="1"/>
          <w:bCs w:val="1"/>
          <w:rtl w:val="0"/>
        </w:rPr>
        <w:t xml:space="preserve">Managing Regenerative Stress</w:t>
      </w:r>
      <w:r w:rsidDel="00000000" w:rsidR="00000000" w:rsidRPr="00000000">
        <w:rPr>
          <w:rtl w:val="0"/>
        </w:rPr>
        <w:t xml:space="preserve">: The centrosome acts as a stress sensor; its dysfunction can lead to uncontrolled cell death, exacerbating tissue loss (Li et al., 2020).</w:t>
      </w:r>
    </w:p>
    <w:p w:rsidR="00000000" w:rsidDel="00000000" w:rsidP="00000000" w:rsidRDefault="00000000" w:rsidRPr="00000000" w14:paraId="0000001A">
      <w:pPr>
        <w:spacing w:after="200" w:lineRule="auto"/>
        <w:jc w:val="both"/>
        <w:rPr/>
      </w:pPr>
      <w:r w:rsidDel="00000000" w:rsidR="00000000" w:rsidRPr="00000000">
        <w:rPr>
          <w:rtl w:val="0"/>
        </w:rPr>
        <w:t xml:space="preserve">Whole-body regeneration represents a synergistic demand on all these functions simultaneously. A defective centriole impairs the system's capacity for scalable, patterned growth, leading to hierarchical collapse.</w:t>
      </w:r>
    </w:p>
    <w:p w:rsidR="00000000" w:rsidDel="00000000" w:rsidP="00000000" w:rsidRDefault="00000000" w:rsidRPr="00000000" w14:paraId="0000001B">
      <w:pPr>
        <w:pStyle w:val="Heading1"/>
        <w:spacing w:after="200" w:lineRule="auto"/>
        <w:jc w:val="both"/>
        <w:rPr/>
      </w:pPr>
      <w:bookmarkStart w:colFirst="0" w:colLast="0" w:name="_hli8tu3acw46" w:id="7"/>
      <w:bookmarkEnd w:id="7"/>
      <w:r w:rsidDel="00000000" w:rsidR="00000000" w:rsidRPr="00000000">
        <w:rPr>
          <w:rtl w:val="0"/>
        </w:rPr>
        <w:t xml:space="preserve">Comparative Perspective: Conservation and Stringency</w:t>
      </w:r>
    </w:p>
    <w:p w:rsidR="00000000" w:rsidDel="00000000" w:rsidP="00000000" w:rsidRDefault="00000000" w:rsidRPr="00000000" w14:paraId="0000001C">
      <w:pPr>
        <w:spacing w:after="200" w:lineRule="auto"/>
        <w:jc w:val="both"/>
        <w:rPr/>
      </w:pPr>
      <w:r w:rsidDel="00000000" w:rsidR="00000000" w:rsidRPr="00000000">
        <w:rPr>
          <w:rtl w:val="0"/>
        </w:rPr>
        <w:t xml:space="preserve">The centriole constraint is conserved but varies in stringency. Vertebrate appendage regeneration (e.g., axolotl, Xenopus) shows a similar proliferative bottleneck upon centriolar disruption (Lepko et al., 2019; Chang et al., 2023). In stark contrast, mammalian liver regeneration employs adaptations like polyploidy, tolerating centrosomal irregularities incompatible with complex patterning (Matsuura, 2022; Wang et al., 2021). This highlights a spectrum: the "damage control" mode of liver regeneration versus the "developmental replay" mode of planarians. Planarians represent a uniquely "pure" stem cell-centric model, where the entire morphogenetic burden falls on neoblasts, making outcomes exquisitely sensitive to centriolar perturbation (Zhu &amp; Pearson, 2017). This aligns with hypotheses linking centriole aging and asymmetric inheritance to stem cell decline (Tkemaladze, 2023).</w:t>
      </w:r>
    </w:p>
    <w:p w:rsidR="00000000" w:rsidDel="00000000" w:rsidP="00000000" w:rsidRDefault="00000000" w:rsidRPr="00000000" w14:paraId="0000001D">
      <w:pPr>
        <w:pStyle w:val="Heading1"/>
        <w:spacing w:after="200" w:lineRule="auto"/>
        <w:jc w:val="both"/>
        <w:rPr/>
      </w:pPr>
      <w:bookmarkStart w:colFirst="0" w:colLast="0" w:name="_e2yk17knrc0v" w:id="8"/>
      <w:bookmarkEnd w:id="8"/>
      <w:r w:rsidDel="00000000" w:rsidR="00000000" w:rsidRPr="00000000">
        <w:rPr>
          <w:rtl w:val="0"/>
        </w:rPr>
        <w:t xml:space="preserve">Foundational Implications and Future Directions</w:t>
      </w:r>
    </w:p>
    <w:p w:rsidR="00000000" w:rsidDel="00000000" w:rsidP="00000000" w:rsidRDefault="00000000" w:rsidRPr="00000000" w14:paraId="0000001E">
      <w:pPr>
        <w:spacing w:after="200" w:lineRule="auto"/>
        <w:jc w:val="both"/>
        <w:rPr/>
      </w:pPr>
      <w:r w:rsidDel="00000000" w:rsidR="00000000" w:rsidRPr="00000000">
        <w:rPr>
          <w:rtl w:val="0"/>
        </w:rPr>
        <w:t xml:space="preserve">This analysis supports a "Centriolar Health Hypothesis" for regenerative potential, where the integrity of the stem cell centrosome sets the upper limit for morphogenetic output. Factors compromising centrioles—aging, stress, toxins—could directly diminish regenerative ability (Loncarek &amp; Bettencourt-Dias, 2018). An evolutionary corollary posits that the loss of robust regeneration in complex animals may be a trade-off for stringent centriole/cell cycle controls that suppress cancer (Godinho &amp; Pellman, 2014; Levine et al., 2017).</w:t>
      </w:r>
    </w:p>
    <w:p w:rsidR="00000000" w:rsidDel="00000000" w:rsidP="00000000" w:rsidRDefault="00000000" w:rsidRPr="00000000" w14:paraId="0000001F">
      <w:pPr>
        <w:spacing w:after="200" w:lineRule="auto"/>
        <w:jc w:val="both"/>
        <w:rPr/>
      </w:pPr>
      <w:r w:rsidDel="00000000" w:rsidR="00000000" w:rsidRPr="00000000">
        <w:rPr>
          <w:rtl w:val="0"/>
        </w:rPr>
        <w:t xml:space="preserve">For regenerative medicine, the lesson is clear: generating stem cells is insufficient. Ensuring their centriolar integrity is paramount for subsequent organized morphogenesis. Therapeutically, reactivating latent regenerative programs may require the precise, localized modulation of centriolar licensing (e.g., PLK4) to safely enable a necessary proliferative burst—a feat demonstrated by planarians but requiring exquisite control in mammals. Future work must define the "centriolar state" that optimally supports regeneration while avoiding tumorigenic risk.</w:t>
      </w:r>
    </w:p>
    <w:p w:rsidR="00000000" w:rsidDel="00000000" w:rsidP="00000000" w:rsidRDefault="00000000" w:rsidRPr="00000000" w14:paraId="00000020">
      <w:pPr>
        <w:pStyle w:val="Heading1"/>
        <w:spacing w:after="200" w:lineRule="auto"/>
        <w:jc w:val="both"/>
        <w:rPr/>
      </w:pPr>
      <w:bookmarkStart w:colFirst="0" w:colLast="0" w:name="_a5v4194xd31w" w:id="9"/>
      <w:bookmarkEnd w:id="9"/>
      <w:r w:rsidDel="00000000" w:rsidR="00000000" w:rsidRPr="00000000">
        <w:rPr>
          <w:rtl w:val="0"/>
        </w:rPr>
        <w:t xml:space="preserve">References</w:t>
      </w:r>
    </w:p>
    <w:p w:rsidR="00000000" w:rsidDel="00000000" w:rsidP="00000000" w:rsidRDefault="00000000" w:rsidRPr="00000000" w14:paraId="00000021">
      <w:pPr>
        <w:spacing w:after="200" w:lineRule="auto"/>
        <w:jc w:val="both"/>
        <w:rPr>
          <w:sz w:val="18"/>
          <w:szCs w:val="18"/>
        </w:rPr>
      </w:pPr>
      <w:r w:rsidDel="00000000" w:rsidR="00000000" w:rsidRPr="00000000">
        <w:rPr>
          <w:sz w:val="18"/>
          <w:szCs w:val="18"/>
          <w:rtl w:val="0"/>
        </w:rPr>
        <w:t xml:space="preserve">Azimzadeh, J., Wong, M. L., Downhour, D. M., Sánchez Alvarado, A., &amp; Marshall, W. F. (2020). Centrosome loss in stem cells alters tissue organization in planarians. Current Biology, 30(16), 3210-3224.e6. </w:t>
      </w:r>
      <w:hyperlink r:id="rId7">
        <w:r w:rsidDel="00000000" w:rsidR="00000000" w:rsidRPr="00000000">
          <w:rPr>
            <w:color w:val="1155cc"/>
            <w:sz w:val="18"/>
            <w:szCs w:val="18"/>
            <w:u w:val="single"/>
            <w:rtl w:val="0"/>
          </w:rPr>
          <w:t xml:space="preserve">https://doi.org/10.1016/j.cub.2020.06.005</w:t>
        </w:r>
      </w:hyperlink>
      <w:r w:rsidDel="00000000" w:rsidR="00000000" w:rsidRPr="00000000">
        <w:rPr>
          <w:rtl w:val="0"/>
        </w:rPr>
      </w:r>
    </w:p>
    <w:p w:rsidR="00000000" w:rsidDel="00000000" w:rsidP="00000000" w:rsidRDefault="00000000" w:rsidRPr="00000000" w14:paraId="00000022">
      <w:pPr>
        <w:spacing w:after="200" w:lineRule="auto"/>
        <w:jc w:val="both"/>
        <w:rPr>
          <w:sz w:val="18"/>
          <w:szCs w:val="18"/>
        </w:rPr>
      </w:pPr>
      <w:r w:rsidDel="00000000" w:rsidR="00000000" w:rsidRPr="00000000">
        <w:rPr>
          <w:sz w:val="18"/>
          <w:szCs w:val="18"/>
          <w:rtl w:val="0"/>
        </w:rPr>
        <w:t xml:space="preserve">Cebrià, F., Umesono, Y., &amp; Agata, K. (2018). Planarian regeneration: A classic topic claiming new attention. The International Journal of Developmental Biology, 62(6-7-8), 429-437. </w:t>
      </w:r>
      <w:hyperlink r:id="rId8">
        <w:r w:rsidDel="00000000" w:rsidR="00000000" w:rsidRPr="00000000">
          <w:rPr>
            <w:color w:val="1155cc"/>
            <w:sz w:val="18"/>
            <w:szCs w:val="18"/>
            <w:u w:val="single"/>
            <w:rtl w:val="0"/>
          </w:rPr>
          <w:t xml:space="preserve">https://doi.org/10.1387/ijdb.180042ka</w:t>
        </w:r>
      </w:hyperlink>
      <w:r w:rsidDel="00000000" w:rsidR="00000000" w:rsidRPr="00000000">
        <w:rPr>
          <w:rtl w:val="0"/>
        </w:rPr>
      </w:r>
    </w:p>
    <w:p w:rsidR="00000000" w:rsidDel="00000000" w:rsidP="00000000" w:rsidRDefault="00000000" w:rsidRPr="00000000" w14:paraId="00000023">
      <w:pPr>
        <w:spacing w:after="200" w:lineRule="auto"/>
        <w:jc w:val="both"/>
        <w:rPr>
          <w:sz w:val="18"/>
          <w:szCs w:val="18"/>
        </w:rPr>
      </w:pPr>
      <w:r w:rsidDel="00000000" w:rsidR="00000000" w:rsidRPr="00000000">
        <w:rPr>
          <w:sz w:val="18"/>
          <w:szCs w:val="18"/>
          <w:rtl w:val="0"/>
        </w:rPr>
        <w:t xml:space="preserve">Chang, C. W., Lin, C. Y., &amp; Lee, H. C. (2023). Centrosomal protein CEP120 is essential for vertebrate appendage regeneration. Development, 150(3), dev201076. </w:t>
      </w:r>
      <w:hyperlink r:id="rId9">
        <w:r w:rsidDel="00000000" w:rsidR="00000000" w:rsidRPr="00000000">
          <w:rPr>
            <w:color w:val="1155cc"/>
            <w:sz w:val="18"/>
            <w:szCs w:val="18"/>
            <w:u w:val="single"/>
            <w:rtl w:val="0"/>
          </w:rPr>
          <w:t xml:space="preserve">https://doi.org/10.1242/dev.201076</w:t>
        </w:r>
      </w:hyperlink>
      <w:r w:rsidDel="00000000" w:rsidR="00000000" w:rsidRPr="00000000">
        <w:rPr>
          <w:rtl w:val="0"/>
        </w:rPr>
      </w:r>
    </w:p>
    <w:p w:rsidR="00000000" w:rsidDel="00000000" w:rsidP="00000000" w:rsidRDefault="00000000" w:rsidRPr="00000000" w14:paraId="00000024">
      <w:pPr>
        <w:spacing w:after="200" w:lineRule="auto"/>
        <w:jc w:val="both"/>
        <w:rPr>
          <w:sz w:val="18"/>
          <w:szCs w:val="18"/>
        </w:rPr>
      </w:pPr>
      <w:r w:rsidDel="00000000" w:rsidR="00000000" w:rsidRPr="00000000">
        <w:rPr>
          <w:sz w:val="18"/>
          <w:szCs w:val="18"/>
          <w:rtl w:val="0"/>
        </w:rPr>
        <w:t xml:space="preserve">Dattilo, S. M. (2022). The centriole's role in planarian regeneration: More than just mitosis. Seminars in Cell &amp; Developmental Biology, 129, 28-37. </w:t>
      </w:r>
      <w:hyperlink r:id="rId10">
        <w:r w:rsidDel="00000000" w:rsidR="00000000" w:rsidRPr="00000000">
          <w:rPr>
            <w:color w:val="1155cc"/>
            <w:sz w:val="18"/>
            <w:szCs w:val="18"/>
            <w:u w:val="single"/>
            <w:rtl w:val="0"/>
          </w:rPr>
          <w:t xml:space="preserve">https://doi.org/10.1016/j.semcdb.2022.03.001</w:t>
        </w:r>
      </w:hyperlink>
      <w:r w:rsidDel="00000000" w:rsidR="00000000" w:rsidRPr="00000000">
        <w:rPr>
          <w:rtl w:val="0"/>
        </w:rPr>
      </w:r>
    </w:p>
    <w:p w:rsidR="00000000" w:rsidDel="00000000" w:rsidP="00000000" w:rsidRDefault="00000000" w:rsidRPr="00000000" w14:paraId="00000025">
      <w:pPr>
        <w:spacing w:after="200" w:lineRule="auto"/>
        <w:jc w:val="both"/>
        <w:rPr>
          <w:sz w:val="18"/>
          <w:szCs w:val="18"/>
        </w:rPr>
      </w:pPr>
      <w:r w:rsidDel="00000000" w:rsidR="00000000" w:rsidRPr="00000000">
        <w:rPr>
          <w:sz w:val="18"/>
          <w:szCs w:val="18"/>
          <w:rtl w:val="0"/>
        </w:rPr>
        <w:t xml:space="preserve">Forsthoefel, D. J., Park, A. E., &amp; Newmark, P. A. (2012). Stem cell-based growth, regeneration, and remodeling of the planarian intestine. Developmental Biology, 368(1), 82-96. </w:t>
      </w:r>
      <w:hyperlink r:id="rId11">
        <w:r w:rsidDel="00000000" w:rsidR="00000000" w:rsidRPr="00000000">
          <w:rPr>
            <w:color w:val="1155cc"/>
            <w:sz w:val="18"/>
            <w:szCs w:val="18"/>
            <w:u w:val="single"/>
            <w:rtl w:val="0"/>
          </w:rPr>
          <w:t xml:space="preserve">https://doi.org/10.1016/j.ydbio.2012.05.008</w:t>
        </w:r>
      </w:hyperlink>
      <w:r w:rsidDel="00000000" w:rsidR="00000000" w:rsidRPr="00000000">
        <w:rPr>
          <w:rtl w:val="0"/>
        </w:rPr>
      </w:r>
    </w:p>
    <w:p w:rsidR="00000000" w:rsidDel="00000000" w:rsidP="00000000" w:rsidRDefault="00000000" w:rsidRPr="00000000" w14:paraId="00000026">
      <w:pPr>
        <w:spacing w:after="200" w:lineRule="auto"/>
        <w:jc w:val="both"/>
        <w:rPr>
          <w:sz w:val="18"/>
          <w:szCs w:val="18"/>
        </w:rPr>
      </w:pPr>
      <w:r w:rsidDel="00000000" w:rsidR="00000000" w:rsidRPr="00000000">
        <w:rPr>
          <w:sz w:val="18"/>
          <w:szCs w:val="18"/>
          <w:rtl w:val="0"/>
        </w:rPr>
        <w:t xml:space="preserve">Godinho, S. A., &amp; Pellman, D. (2014). Causes and consequences of centrosome abnormalities in cancer. Philosophical Transactions of the Royal Society B: Biological Sciences, 369(1650), 20130467. </w:t>
      </w:r>
      <w:hyperlink r:id="rId12">
        <w:r w:rsidDel="00000000" w:rsidR="00000000" w:rsidRPr="00000000">
          <w:rPr>
            <w:color w:val="1155cc"/>
            <w:sz w:val="18"/>
            <w:szCs w:val="18"/>
            <w:u w:val="single"/>
            <w:rtl w:val="0"/>
          </w:rPr>
          <w:t xml:space="preserve">https://doi.org/10.1098/rstb.2013.0467</w:t>
        </w:r>
      </w:hyperlink>
      <w:r w:rsidDel="00000000" w:rsidR="00000000" w:rsidRPr="00000000">
        <w:rPr>
          <w:rtl w:val="0"/>
        </w:rPr>
      </w:r>
    </w:p>
    <w:p w:rsidR="00000000" w:rsidDel="00000000" w:rsidP="00000000" w:rsidRDefault="00000000" w:rsidRPr="00000000" w14:paraId="00000027">
      <w:pPr>
        <w:spacing w:after="200" w:lineRule="auto"/>
        <w:jc w:val="both"/>
        <w:rPr>
          <w:sz w:val="18"/>
          <w:szCs w:val="18"/>
        </w:rPr>
      </w:pPr>
      <w:r w:rsidDel="00000000" w:rsidR="00000000" w:rsidRPr="00000000">
        <w:rPr>
          <w:sz w:val="18"/>
          <w:szCs w:val="18"/>
          <w:rtl w:val="0"/>
        </w:rPr>
        <w:t xml:space="preserve">Khan, A., Metlagel, Z., &amp; O'Connell, K. F. (2023). Centriole amplification disrupts asymmetric cell division and planar cell polarity in planarian epithelia. Developmental Cell, 58(1), 12-28.e5. </w:t>
      </w:r>
      <w:hyperlink r:id="rId13">
        <w:r w:rsidDel="00000000" w:rsidR="00000000" w:rsidRPr="00000000">
          <w:rPr>
            <w:color w:val="1155cc"/>
            <w:sz w:val="18"/>
            <w:szCs w:val="18"/>
            <w:u w:val="single"/>
            <w:rtl w:val="0"/>
          </w:rPr>
          <w:t xml:space="preserve">https://doi.org/10.1016/j.devcel.2022.12.002</w:t>
        </w:r>
      </w:hyperlink>
      <w:r w:rsidDel="00000000" w:rsidR="00000000" w:rsidRPr="00000000">
        <w:rPr>
          <w:rtl w:val="0"/>
        </w:rPr>
      </w:r>
    </w:p>
    <w:p w:rsidR="00000000" w:rsidDel="00000000" w:rsidP="00000000" w:rsidRDefault="00000000" w:rsidRPr="00000000" w14:paraId="00000028">
      <w:pPr>
        <w:spacing w:after="200" w:lineRule="auto"/>
        <w:jc w:val="both"/>
        <w:rPr>
          <w:sz w:val="18"/>
          <w:szCs w:val="18"/>
        </w:rPr>
      </w:pPr>
      <w:r w:rsidDel="00000000" w:rsidR="00000000" w:rsidRPr="00000000">
        <w:rPr>
          <w:sz w:val="18"/>
          <w:szCs w:val="18"/>
          <w:rtl w:val="0"/>
        </w:rPr>
        <w:t xml:space="preserve">Lepko, T., Matsushima, W., &amp; Marz, M. (2019). The centrosome protein SAS-6 is required for axon guidance in the zebrafish forebrain. Development, 146(21), dev181131. </w:t>
      </w:r>
      <w:hyperlink r:id="rId14">
        <w:r w:rsidDel="00000000" w:rsidR="00000000" w:rsidRPr="00000000">
          <w:rPr>
            <w:color w:val="1155cc"/>
            <w:sz w:val="18"/>
            <w:szCs w:val="18"/>
            <w:u w:val="single"/>
            <w:rtl w:val="0"/>
          </w:rPr>
          <w:t xml:space="preserve">https://doi.org/10.1242/dev.181131</w:t>
        </w:r>
      </w:hyperlink>
      <w:r w:rsidDel="00000000" w:rsidR="00000000" w:rsidRPr="00000000">
        <w:rPr>
          <w:rtl w:val="0"/>
        </w:rPr>
      </w:r>
    </w:p>
    <w:p w:rsidR="00000000" w:rsidDel="00000000" w:rsidP="00000000" w:rsidRDefault="00000000" w:rsidRPr="00000000" w14:paraId="00000029">
      <w:pPr>
        <w:spacing w:after="200" w:lineRule="auto"/>
        <w:jc w:val="both"/>
        <w:rPr>
          <w:sz w:val="18"/>
          <w:szCs w:val="18"/>
        </w:rPr>
      </w:pPr>
      <w:r w:rsidDel="00000000" w:rsidR="00000000" w:rsidRPr="00000000">
        <w:rPr>
          <w:sz w:val="18"/>
          <w:szCs w:val="18"/>
          <w:rtl w:val="0"/>
        </w:rPr>
        <w:t xml:space="preserve">Levine, M. S., Bakker, B., Boeckx, B., Moyett, J., Lu, J., Vitre, B., ... &amp; Pellman, D. (2017). Centrosome amplification is sufficient to promote spontaneous tumorigenesis in mammals. Developmental Cell, 40(3), 313-322.e5. </w:t>
      </w:r>
      <w:hyperlink r:id="rId15">
        <w:r w:rsidDel="00000000" w:rsidR="00000000" w:rsidRPr="00000000">
          <w:rPr>
            <w:color w:val="1155cc"/>
            <w:sz w:val="18"/>
            <w:szCs w:val="18"/>
            <w:u w:val="single"/>
            <w:rtl w:val="0"/>
          </w:rPr>
          <w:t xml:space="preserve">https://doi.org/10.1016/j.devcel.2016.12.022</w:t>
        </w:r>
      </w:hyperlink>
      <w:r w:rsidDel="00000000" w:rsidR="00000000" w:rsidRPr="00000000">
        <w:rPr>
          <w:rtl w:val="0"/>
        </w:rPr>
      </w:r>
    </w:p>
    <w:p w:rsidR="00000000" w:rsidDel="00000000" w:rsidP="00000000" w:rsidRDefault="00000000" w:rsidRPr="00000000" w14:paraId="0000002A">
      <w:pPr>
        <w:spacing w:after="200" w:lineRule="auto"/>
        <w:jc w:val="both"/>
        <w:rPr>
          <w:sz w:val="18"/>
          <w:szCs w:val="18"/>
        </w:rPr>
      </w:pPr>
      <w:r w:rsidDel="00000000" w:rsidR="00000000" w:rsidRPr="00000000">
        <w:rPr>
          <w:sz w:val="18"/>
          <w:szCs w:val="18"/>
          <w:rtl w:val="0"/>
        </w:rPr>
        <w:t xml:space="preserve">Li, J., Kim, S., Kobayashi, T., Liang, F. X., Korzeniewski, N., Duensing, S., &amp; Dynlacht, B. D. (2020). Centriolar satellites restrict centrosome size by suppressing CP110 removal. Nature Communications, 11(1), 5402. </w:t>
      </w:r>
      <w:hyperlink r:id="rId16">
        <w:r w:rsidDel="00000000" w:rsidR="00000000" w:rsidRPr="00000000">
          <w:rPr>
            <w:color w:val="1155cc"/>
            <w:sz w:val="18"/>
            <w:szCs w:val="18"/>
            <w:u w:val="single"/>
            <w:rtl w:val="0"/>
          </w:rPr>
          <w:t xml:space="preserve">https://doi.org/10.1038/s41467-020-19167-0</w:t>
        </w:r>
      </w:hyperlink>
      <w:r w:rsidDel="00000000" w:rsidR="00000000" w:rsidRPr="00000000">
        <w:rPr>
          <w:rtl w:val="0"/>
        </w:rPr>
      </w:r>
    </w:p>
    <w:p w:rsidR="00000000" w:rsidDel="00000000" w:rsidP="00000000" w:rsidRDefault="00000000" w:rsidRPr="00000000" w14:paraId="0000002B">
      <w:pPr>
        <w:spacing w:after="200" w:lineRule="auto"/>
        <w:jc w:val="both"/>
        <w:rPr>
          <w:sz w:val="18"/>
          <w:szCs w:val="18"/>
        </w:rPr>
      </w:pPr>
      <w:r w:rsidDel="00000000" w:rsidR="00000000" w:rsidRPr="00000000">
        <w:rPr>
          <w:sz w:val="18"/>
          <w:szCs w:val="18"/>
          <w:rtl w:val="0"/>
        </w:rPr>
        <w:t xml:space="preserve">Loncarek, J., &amp; Bettencourt-Dias, M. (2018). Building the right centriole for each cell type. Journal of Cell Biology, 217(3), 823-835. </w:t>
      </w:r>
      <w:hyperlink r:id="rId17">
        <w:r w:rsidDel="00000000" w:rsidR="00000000" w:rsidRPr="00000000">
          <w:rPr>
            <w:color w:val="1155cc"/>
            <w:sz w:val="18"/>
            <w:szCs w:val="18"/>
            <w:u w:val="single"/>
            <w:rtl w:val="0"/>
          </w:rPr>
          <w:t xml:space="preserve">https://doi.org/10.1083/jcb.201704093</w:t>
        </w:r>
      </w:hyperlink>
      <w:r w:rsidDel="00000000" w:rsidR="00000000" w:rsidRPr="00000000">
        <w:rPr>
          <w:rtl w:val="0"/>
        </w:rPr>
      </w:r>
    </w:p>
    <w:p w:rsidR="00000000" w:rsidDel="00000000" w:rsidP="00000000" w:rsidRDefault="00000000" w:rsidRPr="00000000" w14:paraId="0000002C">
      <w:pPr>
        <w:spacing w:after="200" w:lineRule="auto"/>
        <w:jc w:val="both"/>
        <w:rPr>
          <w:sz w:val="18"/>
          <w:szCs w:val="18"/>
        </w:rPr>
      </w:pPr>
      <w:r w:rsidDel="00000000" w:rsidR="00000000" w:rsidRPr="00000000">
        <w:rPr>
          <w:sz w:val="18"/>
          <w:szCs w:val="18"/>
          <w:rtl w:val="0"/>
        </w:rPr>
        <w:t xml:space="preserve">Matsuura, K. (2022). Mechanisms of polyploidization in the mammalian liver and its role in regeneration. Cell &amp; Bioscience, 12(1), 115. </w:t>
      </w:r>
      <w:hyperlink r:id="rId18">
        <w:r w:rsidDel="00000000" w:rsidR="00000000" w:rsidRPr="00000000">
          <w:rPr>
            <w:color w:val="1155cc"/>
            <w:sz w:val="18"/>
            <w:szCs w:val="18"/>
            <w:u w:val="single"/>
            <w:rtl w:val="0"/>
          </w:rPr>
          <w:t xml:space="preserve">https://doi.org/10.1186/s13578-022-00851-1</w:t>
        </w:r>
      </w:hyperlink>
      <w:r w:rsidDel="00000000" w:rsidR="00000000" w:rsidRPr="00000000">
        <w:rPr>
          <w:rtl w:val="0"/>
        </w:rPr>
      </w:r>
    </w:p>
    <w:p w:rsidR="00000000" w:rsidDel="00000000" w:rsidP="00000000" w:rsidRDefault="00000000" w:rsidRPr="00000000" w14:paraId="0000002D">
      <w:pPr>
        <w:spacing w:after="200" w:lineRule="auto"/>
        <w:jc w:val="both"/>
        <w:rPr>
          <w:sz w:val="18"/>
          <w:szCs w:val="18"/>
        </w:rPr>
      </w:pPr>
      <w:r w:rsidDel="00000000" w:rsidR="00000000" w:rsidRPr="00000000">
        <w:rPr>
          <w:sz w:val="18"/>
          <w:szCs w:val="18"/>
          <w:rtl w:val="0"/>
        </w:rPr>
        <w:t xml:space="preserve">Reddien, P. W. (2018). The cellular and molecular basis for planarian regeneration. Cell, 175(2), 327-345. </w:t>
      </w:r>
      <w:hyperlink r:id="rId19">
        <w:r w:rsidDel="00000000" w:rsidR="00000000" w:rsidRPr="00000000">
          <w:rPr>
            <w:color w:val="1155cc"/>
            <w:sz w:val="18"/>
            <w:szCs w:val="18"/>
            <w:u w:val="single"/>
            <w:rtl w:val="0"/>
          </w:rPr>
          <w:t xml:space="preserve">https://doi.org/10.1016/j.cell.2018.09.021</w:t>
        </w:r>
      </w:hyperlink>
      <w:r w:rsidDel="00000000" w:rsidR="00000000" w:rsidRPr="00000000">
        <w:rPr>
          <w:rtl w:val="0"/>
        </w:rPr>
      </w:r>
    </w:p>
    <w:p w:rsidR="00000000" w:rsidDel="00000000" w:rsidP="00000000" w:rsidRDefault="00000000" w:rsidRPr="00000000" w14:paraId="0000002E">
      <w:pPr>
        <w:spacing w:after="200" w:lineRule="auto"/>
        <w:jc w:val="both"/>
        <w:rPr>
          <w:sz w:val="18"/>
          <w:szCs w:val="18"/>
        </w:rPr>
      </w:pPr>
      <w:r w:rsidDel="00000000" w:rsidR="00000000" w:rsidRPr="00000000">
        <w:rPr>
          <w:sz w:val="18"/>
          <w:szCs w:val="18"/>
          <w:rtl w:val="0"/>
        </w:rPr>
        <w:t xml:space="preserve">Rink, J. C. (2013). Stem cell systems and regeneration in planaria. Development Genes and Evolution, 223(1-2), 67-84. </w:t>
      </w:r>
      <w:hyperlink r:id="rId20">
        <w:r w:rsidDel="00000000" w:rsidR="00000000" w:rsidRPr="00000000">
          <w:rPr>
            <w:color w:val="1155cc"/>
            <w:sz w:val="18"/>
            <w:szCs w:val="18"/>
            <w:u w:val="single"/>
            <w:rtl w:val="0"/>
          </w:rPr>
          <w:t xml:space="preserve">https://doi.org/10.1007/s00427-012-0426-4</w:t>
        </w:r>
      </w:hyperlink>
      <w:r w:rsidDel="00000000" w:rsidR="00000000" w:rsidRPr="00000000">
        <w:rPr>
          <w:rtl w:val="0"/>
        </w:rPr>
      </w:r>
    </w:p>
    <w:p w:rsidR="00000000" w:rsidDel="00000000" w:rsidP="00000000" w:rsidRDefault="00000000" w:rsidRPr="00000000" w14:paraId="0000002F">
      <w:pPr>
        <w:spacing w:after="200" w:lineRule="auto"/>
        <w:jc w:val="both"/>
        <w:rPr>
          <w:sz w:val="18"/>
          <w:szCs w:val="18"/>
        </w:rPr>
      </w:pPr>
      <w:r w:rsidDel="00000000" w:rsidR="00000000" w:rsidRPr="00000000">
        <w:rPr>
          <w:sz w:val="18"/>
          <w:szCs w:val="18"/>
          <w:rtl w:val="0"/>
        </w:rPr>
        <w:t xml:space="preserve">Tkemaladze, J. (2023). Reduction, proliferation, and differentiation defects of stem cells over time: a consequence of selective accumulation of old centrioles in the stem cells?. Molecular Biology Reports, 50(3), 2751-2761. </w:t>
      </w:r>
      <w:hyperlink r:id="rId21">
        <w:r w:rsidDel="00000000" w:rsidR="00000000" w:rsidRPr="00000000">
          <w:rPr>
            <w:color w:val="1155cc"/>
            <w:sz w:val="18"/>
            <w:szCs w:val="18"/>
            <w:u w:val="single"/>
            <w:rtl w:val="0"/>
          </w:rPr>
          <w:t xml:space="preserve">https://doi.org/10.1007/s11033-022-08178-3</w:t>
        </w:r>
      </w:hyperlink>
      <w:r w:rsidDel="00000000" w:rsidR="00000000" w:rsidRPr="00000000">
        <w:rPr>
          <w:rtl w:val="0"/>
        </w:rPr>
      </w:r>
    </w:p>
    <w:p w:rsidR="00000000" w:rsidDel="00000000" w:rsidP="00000000" w:rsidRDefault="00000000" w:rsidRPr="00000000" w14:paraId="00000030">
      <w:pPr>
        <w:spacing w:after="200" w:lineRule="auto"/>
        <w:jc w:val="both"/>
        <w:rPr>
          <w:sz w:val="18"/>
          <w:szCs w:val="18"/>
        </w:rPr>
      </w:pPr>
      <w:r w:rsidDel="00000000" w:rsidR="00000000" w:rsidRPr="00000000">
        <w:rPr>
          <w:sz w:val="18"/>
          <w:szCs w:val="18"/>
          <w:rtl w:val="0"/>
        </w:rPr>
        <w:t xml:space="preserve">Wang, M. J., Chen, F., Lau, J. T. Y., &amp; Hu, Y. P. (2021). Hepatocyte polyploidization and its association with pathophysiological processes. Cell Death &amp; Disease, 12(12), 1180. </w:t>
      </w:r>
      <w:hyperlink r:id="rId22">
        <w:r w:rsidDel="00000000" w:rsidR="00000000" w:rsidRPr="00000000">
          <w:rPr>
            <w:color w:val="1155cc"/>
            <w:sz w:val="18"/>
            <w:szCs w:val="18"/>
            <w:u w:val="single"/>
            <w:rtl w:val="0"/>
          </w:rPr>
          <w:t xml:space="preserve">https://doi.org/10.1038/s41419-021-04401-4</w:t>
        </w:r>
      </w:hyperlink>
      <w:r w:rsidDel="00000000" w:rsidR="00000000" w:rsidRPr="00000000">
        <w:rPr>
          <w:rtl w:val="0"/>
        </w:rPr>
      </w:r>
    </w:p>
    <w:p w:rsidR="00000000" w:rsidDel="00000000" w:rsidP="00000000" w:rsidRDefault="00000000" w:rsidRPr="00000000" w14:paraId="00000031">
      <w:pPr>
        <w:spacing w:after="200" w:lineRule="auto"/>
        <w:jc w:val="both"/>
        <w:rPr>
          <w:sz w:val="18"/>
          <w:szCs w:val="18"/>
        </w:rPr>
      </w:pPr>
      <w:r w:rsidDel="00000000" w:rsidR="00000000" w:rsidRPr="00000000">
        <w:rPr>
          <w:sz w:val="18"/>
          <w:szCs w:val="18"/>
          <w:rtl w:val="0"/>
        </w:rPr>
        <w:t xml:space="preserve">Wang, Y., Stritt, S., &amp; Rink, J. C. (2023). Centriole positioning and asymmetry in planarian stem cells. Biology Open, 12(2), bio059686. </w:t>
      </w:r>
      <w:hyperlink r:id="rId23">
        <w:r w:rsidDel="00000000" w:rsidR="00000000" w:rsidRPr="00000000">
          <w:rPr>
            <w:color w:val="1155cc"/>
            <w:sz w:val="18"/>
            <w:szCs w:val="18"/>
            <w:u w:val="single"/>
            <w:rtl w:val="0"/>
          </w:rPr>
          <w:t xml:space="preserve">https://doi.org/10.1242/bio.059686</w:t>
        </w:r>
      </w:hyperlink>
      <w:r w:rsidDel="00000000" w:rsidR="00000000" w:rsidRPr="00000000">
        <w:rPr>
          <w:rtl w:val="0"/>
        </w:rPr>
      </w:r>
    </w:p>
    <w:p w:rsidR="00000000" w:rsidDel="00000000" w:rsidP="00000000" w:rsidRDefault="00000000" w:rsidRPr="00000000" w14:paraId="00000032">
      <w:pPr>
        <w:spacing w:after="200" w:lineRule="auto"/>
        <w:jc w:val="both"/>
        <w:rPr>
          <w:sz w:val="18"/>
          <w:szCs w:val="18"/>
        </w:rPr>
      </w:pPr>
      <w:r w:rsidDel="00000000" w:rsidR="00000000" w:rsidRPr="00000000">
        <w:rPr>
          <w:sz w:val="18"/>
          <w:szCs w:val="18"/>
          <w:rtl w:val="0"/>
        </w:rPr>
        <w:t xml:space="preserve">Zhu, S. J., &amp; Pearson, B. J. (2017). The retinoblastoma pathway regulates stem cell proliferation in freshwater planarians. Developmental Biology, 433(2), 357-367. </w:t>
      </w:r>
      <w:hyperlink r:id="rId24">
        <w:r w:rsidDel="00000000" w:rsidR="00000000" w:rsidRPr="00000000">
          <w:rPr>
            <w:color w:val="1155cc"/>
            <w:sz w:val="18"/>
            <w:szCs w:val="18"/>
            <w:u w:val="single"/>
            <w:rtl w:val="0"/>
          </w:rPr>
          <w:t xml:space="preserve">https://doi.org/10.1016/j.ydbio.2017.09.023</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doi.org/10.1007/s00427-012-0426-4" TargetMode="External"/><Relationship Id="rId11" Type="http://schemas.openxmlformats.org/officeDocument/2006/relationships/hyperlink" Target="https://doi.org/10.1016/j.ydbio.2012.05.008" TargetMode="External"/><Relationship Id="rId22" Type="http://schemas.openxmlformats.org/officeDocument/2006/relationships/hyperlink" Target="https://doi.org/10.1038/s41419-021-04401-4" TargetMode="External"/><Relationship Id="rId10" Type="http://schemas.openxmlformats.org/officeDocument/2006/relationships/hyperlink" Target="https://doi.org/10.1016/j.semcdb.2022.03.001" TargetMode="External"/><Relationship Id="rId21" Type="http://schemas.openxmlformats.org/officeDocument/2006/relationships/hyperlink" Target="https://doi.org/10.1007/s11033-022-08178-3" TargetMode="External"/><Relationship Id="rId13" Type="http://schemas.openxmlformats.org/officeDocument/2006/relationships/hyperlink" Target="https://doi.org/10.1016/j.devcel.2022.12.002" TargetMode="External"/><Relationship Id="rId24" Type="http://schemas.openxmlformats.org/officeDocument/2006/relationships/hyperlink" Target="https://doi.org/10.1016/j.ydbio.2017.09.023" TargetMode="External"/><Relationship Id="rId12" Type="http://schemas.openxmlformats.org/officeDocument/2006/relationships/hyperlink" Target="https://doi.org/10.1098/rstb.2013.0467" TargetMode="External"/><Relationship Id="rId23" Type="http://schemas.openxmlformats.org/officeDocument/2006/relationships/hyperlink" Target="https://doi.org/10.1242/bio.05968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i.org/10.1242/dev.201076" TargetMode="External"/><Relationship Id="rId15" Type="http://schemas.openxmlformats.org/officeDocument/2006/relationships/hyperlink" Target="https://doi.org/10.1016/j.devcel.2016.12.022" TargetMode="External"/><Relationship Id="rId14" Type="http://schemas.openxmlformats.org/officeDocument/2006/relationships/hyperlink" Target="https://doi.org/10.1242/dev.181131" TargetMode="External"/><Relationship Id="rId17" Type="http://schemas.openxmlformats.org/officeDocument/2006/relationships/hyperlink" Target="https://doi.org/10.1083/jcb.201704093" TargetMode="External"/><Relationship Id="rId16" Type="http://schemas.openxmlformats.org/officeDocument/2006/relationships/hyperlink" Target="https://doi.org/10.1038/s41467-020-19167-0" TargetMode="External"/><Relationship Id="rId5" Type="http://schemas.openxmlformats.org/officeDocument/2006/relationships/styles" Target="styles.xml"/><Relationship Id="rId19" Type="http://schemas.openxmlformats.org/officeDocument/2006/relationships/hyperlink" Target="https://doi.org/10.1016/j.cell.2018.09.021" TargetMode="External"/><Relationship Id="rId6" Type="http://schemas.openxmlformats.org/officeDocument/2006/relationships/hyperlink" Target="mailto:djabbat@gmail.com" TargetMode="External"/><Relationship Id="rId18" Type="http://schemas.openxmlformats.org/officeDocument/2006/relationships/hyperlink" Target="https://doi.org/10.1186/s13578-022-00851-1" TargetMode="External"/><Relationship Id="rId7" Type="http://schemas.openxmlformats.org/officeDocument/2006/relationships/hyperlink" Target="https://doi.org/10.1016/j.cub.2020.06.005" TargetMode="External"/><Relationship Id="rId8" Type="http://schemas.openxmlformats.org/officeDocument/2006/relationships/hyperlink" Target="https://doi.org/10.1387/ijdb.180042k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