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jc w:val="both"/>
        <w:rPr/>
      </w:pPr>
      <w:bookmarkStart w:colFirst="0" w:colLast="0" w:name="_veh5urm3ws8w" w:id="0"/>
      <w:bookmarkEnd w:id="0"/>
      <w:r w:rsidDel="00000000" w:rsidR="00000000" w:rsidRPr="00000000">
        <w:rPr>
          <w:rtl w:val="0"/>
        </w:rPr>
        <w:t xml:space="preserve">The Centriole Code: How a Cellular Organelle Encodes Time and Fate</w:t>
      </w:r>
    </w:p>
    <w:p w:rsidR="00000000" w:rsidDel="00000000" w:rsidP="00000000" w:rsidRDefault="00000000" w:rsidRPr="00000000" w14:paraId="00000002">
      <w:pPr>
        <w:jc w:val="both"/>
        <w:rPr/>
      </w:pPr>
      <w:r w:rsidDel="00000000" w:rsidR="00000000" w:rsidRPr="00000000">
        <w:rPr>
          <w:rtl w:val="0"/>
        </w:rPr>
        <w:t xml:space="preserve">A new paradigm posits that centrioles are not just structural scaffolds but autonomous timers, counting divisions and directing cellular destiny through a layered molecular memory.</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For over a century, the centrosome has been defined by its mechanical role in cell division. This review synthesizes recent evidence to argue for a paradigm shift: its core components, the centrioles, function as sophisticated intracellular timers or "clocks." We propose that centrioles act as autonomous, self-propagating computational hubs that encode cellular history through their age, number, and structural state, directly influencing decisions of proliferation, differentiation, and senescence. Empirical support shows centriole age serves as a "cellular odometer," counting divisions and linking to replicative limits. The centriole duplication cycle is a licensed timer for S/G2 phase progression. Asymmetric inheritance of "old" mother centrioles dictates stem cell fate in neural systems. Mechanistically, timing involves an "epicentriolar" code of post-translational modifications, a dynamic pericentriolar material (PCM) that buffers cell cycle regulators, and a physical LINC complex link to the nucleus for mechano-genomic signaling. Comparative analysis reveals this timer's context-specific roles: a pluripotency counter in embryonic stem cells, a neurogenesis pacemaker, a senescence trigger, and a corrupter driving genomic instability in cancer. While questions of causality and universality persist, an integrative "Centriolar Regulatory Clock" model positions these organelles as central information processors. Reframing centrioles as timers opens novel therapeutic avenues in regenerative medicine, oncology, and aging research.</w:t>
      </w:r>
    </w:p>
    <w:p w:rsidR="00000000" w:rsidDel="00000000" w:rsidP="00000000" w:rsidRDefault="00000000" w:rsidRPr="00000000" w14:paraId="00000006">
      <w:pPr>
        <w:jc w:val="both"/>
        <w:rPr/>
      </w:pPr>
      <w:r w:rsidDel="00000000" w:rsidR="00000000" w:rsidRPr="00000000">
        <w:rPr>
          <w:rtl w:val="0"/>
        </w:rPr>
        <w:t xml:space="preserve">Keywords: Centriole, Cell cycle timer, Asymmetric cell division, Cellular senescence, Centrosome, Cell fate determination.</w:t>
      </w:r>
    </w:p>
    <w:p w:rsidR="00000000" w:rsidDel="00000000" w:rsidP="00000000" w:rsidRDefault="00000000" w:rsidRPr="00000000" w14:paraId="00000007">
      <w:pPr>
        <w:jc w:val="both"/>
        <w:rPr/>
      </w:pPr>
      <w:r w:rsidDel="00000000" w:rsidR="00000000" w:rsidRPr="00000000">
        <w:rPr>
          <w:rtl w:val="0"/>
        </w:rPr>
        <w:t xml:space="preserve">Main Text</w:t>
      </w:r>
    </w:p>
    <w:p w:rsidR="00000000" w:rsidDel="00000000" w:rsidP="00000000" w:rsidRDefault="00000000" w:rsidRPr="00000000" w14:paraId="00000008">
      <w:pPr>
        <w:jc w:val="both"/>
        <w:rPr/>
      </w:pPr>
      <w:r w:rsidDel="00000000" w:rsidR="00000000" w:rsidRPr="00000000">
        <w:rPr>
          <w:rtl w:val="0"/>
        </w:rPr>
        <w:t xml:space="preserve">1. Introduction: From Structural Pillar to Information Processor</w:t>
      </w:r>
    </w:p>
    <w:p w:rsidR="00000000" w:rsidDel="00000000" w:rsidP="00000000" w:rsidRDefault="00000000" w:rsidRPr="00000000" w14:paraId="00000009">
      <w:pPr>
        <w:jc w:val="both"/>
        <w:rPr/>
      </w:pPr>
      <w:r w:rsidDel="00000000" w:rsidR="00000000" w:rsidRPr="00000000">
        <w:rPr>
          <w:rtl w:val="0"/>
        </w:rPr>
        <w:t xml:space="preserve">The centrosome, a microtubule-organizing center built around a pair of centrioles, is a cornerstone of cellular architecture. Its canonical roles in spindle formation and ciliogenesis are well-established (Nigg &amp; Holland, 2018). However, a transformative hypothesis is gaining traction: centrioles are autonomous intracellular timers. This concept leverages the organelle's unique semi-conservative nature—a pre-existing "mother" centriole templates a "daughter" each cycle—providing a physical substrate for counting (Wang &amp; Stearns, 2017). We argue centrioles function as biological clocks, encoding historical data (divisions, age) into a molecular and physical state that actively guides future cellular decisions, bridging a gap in understanding how cells, especially stem cells, maintain a memory of their history.</w:t>
      </w:r>
    </w:p>
    <w:p w:rsidR="00000000" w:rsidDel="00000000" w:rsidP="00000000" w:rsidRDefault="00000000" w:rsidRPr="00000000" w14:paraId="0000000A">
      <w:pPr>
        <w:jc w:val="both"/>
        <w:rPr/>
      </w:pPr>
      <w:r w:rsidDel="00000000" w:rsidR="00000000" w:rsidRPr="00000000">
        <w:rPr>
          <w:rtl w:val="0"/>
        </w:rPr>
        <w:t xml:space="preserve">2. Empirical Evidence for Centriolar Timekeeping</w:t>
      </w:r>
    </w:p>
    <w:p w:rsidR="00000000" w:rsidDel="00000000" w:rsidP="00000000" w:rsidRDefault="00000000" w:rsidRPr="00000000" w14:paraId="0000000B">
      <w:pPr>
        <w:jc w:val="both"/>
        <w:rPr/>
      </w:pPr>
      <w:r w:rsidDel="00000000" w:rsidR="00000000" w:rsidRPr="00000000">
        <w:rPr>
          <w:rtl w:val="0"/>
        </w:rPr>
        <w:t xml:space="preserve">2.1. The Division Counter: A Cellular Odometer</w:t>
        <w:br w:type="textWrapping"/>
        <w:t xml:space="preserve">Centriolar aging is a quantifiable process. The mother centriole accumulates specific post-translational modifications (PTMs) and distal appendages over cycles, creating a biochemically distinct entity from its daughter (Wang &amp; Stearns, 2017). This age asymmetry is functionally critical. In budding yeast, the old spindle pole body (SPB) is retained in the stem-like mother cell, and disrupting this inheritance perturbs fate (Pereira et al., 2021). In mammalian cells, artificially "aging" a centriole (e.g., by targeted protein fusion) increases the propensity for cell cycle exit (Lopes et al., 2023). Furthermore, centriole amplification itself can induce a p53-dependent senescence arrest, suggesting centriole number acts as a signal for replicative exhaustion, positioning it as a "Hayflick limit counter" (Mikule et al., 2019).</w:t>
      </w:r>
    </w:p>
    <w:p w:rsidR="00000000" w:rsidDel="00000000" w:rsidP="00000000" w:rsidRDefault="00000000" w:rsidRPr="00000000" w14:paraId="0000000C">
      <w:pPr>
        <w:jc w:val="both"/>
        <w:rPr/>
      </w:pPr>
      <w:r w:rsidDel="00000000" w:rsidR="00000000" w:rsidRPr="00000000">
        <w:rPr>
          <w:rtl w:val="0"/>
        </w:rPr>
        <w:t xml:space="preserve">2.2. The Cycle Timer: Gating S-phase and Mitosis</w:t>
        <w:br w:type="textWrapping"/>
        <w:t xml:space="preserve">The centriole duplication cycle is a licensed, tightly coupled component of the cell cycle engine. Inhibiting the initiator kinase PLK4 blocks G1/S progression, while its overexpression accelerates it, demonstrating its role as a checkpoint (Wong et al., 2015). Key regulators like CDK2 phosphorylate centriolar proteins, ensuring coordination with DNA replication (Kim et al., 2019). Later, the PCM expands in G2, concentrating regulators like Cyclin B1 to time mitotic entry precisely (Jackman et al., 2019). Thus, the centriole cycle is an intrinsic timer, not a passive follower.</w:t>
      </w:r>
    </w:p>
    <w:p w:rsidR="00000000" w:rsidDel="00000000" w:rsidP="00000000" w:rsidRDefault="00000000" w:rsidRPr="00000000" w14:paraId="0000000D">
      <w:pPr>
        <w:jc w:val="both"/>
        <w:rPr/>
      </w:pPr>
      <w:r w:rsidDel="00000000" w:rsidR="00000000" w:rsidRPr="00000000">
        <w:rPr>
          <w:rtl w:val="0"/>
        </w:rPr>
        <w:t xml:space="preserve">2.3. The Fate Determinant: Instructing Asymmetry</w:t>
        <w:br w:type="textWrapping"/>
        <w:t xml:space="preserve">The most direct evidence comes from asymmetric cell division (ACD). In Drosophila neural stem cells, the mother centriole is invariably inherited by the self-renewing daughter; forcing symmetric centriole inheritance collapses fate asymmetry (Roubinet et al., 2017). In mammalian radial glial cells, the mother centriole, as a basal body, creates an apical tether. The duration of nuclear contact with this domain, a spatiotemporal cue regulated by the centriole-cilium complex, instructs the choice between proliferative and neurogenic divisions (Arai et al., 2021). The mother centriole asymmetrically localizes fate determinants like Notch modifiers, providing a direct physical link between age and fate distribution (Paridaen et al., 2013).</w:t>
      </w:r>
    </w:p>
    <w:p w:rsidR="00000000" w:rsidDel="00000000" w:rsidP="00000000" w:rsidRDefault="00000000" w:rsidRPr="00000000" w14:paraId="0000000E">
      <w:pPr>
        <w:jc w:val="both"/>
        <w:rPr/>
      </w:pPr>
      <w:r w:rsidDel="00000000" w:rsidR="00000000" w:rsidRPr="00000000">
        <w:rPr>
          <w:rtl w:val="0"/>
        </w:rPr>
        <w:t xml:space="preserve">3. Molecular Mechanisms: The Layers of the Clock</w:t>
      </w:r>
    </w:p>
    <w:p w:rsidR="00000000" w:rsidDel="00000000" w:rsidP="00000000" w:rsidRDefault="00000000" w:rsidRPr="00000000" w14:paraId="0000000F">
      <w:pPr>
        <w:jc w:val="both"/>
        <w:rPr/>
      </w:pPr>
      <w:r w:rsidDel="00000000" w:rsidR="00000000" w:rsidRPr="00000000">
        <w:rPr>
          <w:rtl w:val="0"/>
        </w:rPr>
        <w:t xml:space="preserve">3.1. The "Epicentriolar" Code</w:t>
        <w:br w:type="textWrapping"/>
        <w:t xml:space="preserve">Like chromatin epigenetics, mother centrioles accumulate a PTM signature—phosphorylation, acetylation, polyglutamylation—that acts as a molecular clock (Bobinnec et al., 2020). For example, polyglutamylation creates docking sites for motor proteins, altering functionality. This biochemical landscape recruits specific effectors, such as transcription factors, linking centriolar age to transcriptional programs.</w:t>
      </w:r>
    </w:p>
    <w:p w:rsidR="00000000" w:rsidDel="00000000" w:rsidP="00000000" w:rsidRDefault="00000000" w:rsidRPr="00000000" w14:paraId="00000010">
      <w:pPr>
        <w:jc w:val="both"/>
        <w:rPr/>
      </w:pPr>
      <w:r w:rsidDel="00000000" w:rsidR="00000000" w:rsidRPr="00000000">
        <w:rPr>
          <w:rtl w:val="0"/>
        </w:rPr>
        <w:t xml:space="preserve">3.2. The Dynamic PCM Depot</w:t>
        <w:br w:type="textWrapping"/>
        <w:t xml:space="preserve">The PCM is a tunable regulatory cloud. It sequesters cell cycle regulators (e.g., Cyclin B1), releasing them in a controlled manner to time mitotic entry (Jackman et al., 2019). Its composition and size change with centriolar age and cell cycle stage, making it a versatile buffer and integrator of signaling pathways (e.g., Hippo, mTOR).</w:t>
      </w:r>
    </w:p>
    <w:p w:rsidR="00000000" w:rsidDel="00000000" w:rsidP="00000000" w:rsidRDefault="00000000" w:rsidRPr="00000000" w14:paraId="00000011">
      <w:pPr>
        <w:jc w:val="both"/>
        <w:rPr/>
      </w:pPr>
      <w:r w:rsidDel="00000000" w:rsidR="00000000" w:rsidRPr="00000000">
        <w:rPr>
          <w:rtl w:val="0"/>
        </w:rPr>
        <w:t xml:space="preserve">3.3. The Mechano-Genomic Link</w:t>
        <w:br w:type="textWrapping"/>
        <w:t xml:space="preserve">Via the LINC complex, centriole-anchored microtubules link to the nuclear lamina (Tariq &amp; Belmont, 2022). Forces transmitted through this linkage, influenced by centriolar position and maturity, can deform the nucleus and alter chromatin organization. This provides a pathway for translating centriolar state into changes in gene expression, particularly for genes sensitive to mechanical strain, influencing differentiation decisions (Arai et al., 2021). This integration of biophysical and biochemical signals underscores the centriole's role as a computational hub, a concept supported by theoretical models of cellular decision-making (Tkemaladze, 2023).</w:t>
      </w:r>
    </w:p>
    <w:p w:rsidR="00000000" w:rsidDel="00000000" w:rsidP="00000000" w:rsidRDefault="00000000" w:rsidRPr="00000000" w14:paraId="00000012">
      <w:pPr>
        <w:jc w:val="both"/>
        <w:rPr/>
      </w:pPr>
      <w:r w:rsidDel="00000000" w:rsidR="00000000" w:rsidRPr="00000000">
        <w:rPr>
          <w:rtl w:val="0"/>
        </w:rPr>
        <w:t xml:space="preserve">4. Comparative Physiology of the Timer</w:t>
      </w:r>
    </w:p>
    <w:p w:rsidR="00000000" w:rsidDel="00000000" w:rsidP="00000000" w:rsidRDefault="00000000" w:rsidRPr="00000000" w14:paraId="00000013">
      <w:pPr>
        <w:numPr>
          <w:ilvl w:val="0"/>
          <w:numId w:val="1"/>
        </w:numPr>
        <w:ind w:left="720" w:hanging="360"/>
        <w:jc w:val="both"/>
      </w:pPr>
      <w:r w:rsidDel="00000000" w:rsidR="00000000" w:rsidRPr="00000000">
        <w:rPr>
          <w:rtl w:val="0"/>
        </w:rPr>
        <w:t xml:space="preserve">Embryonic Stem Cells (ESCs): Act as a "pluripotency counter." Prolonged culture leads to centriolar anomalies; restoring integrity improves clonogenicity, suggesting a "healthy" centriolar state is needed for optimal self-renewal (Shiratsuchi et al., 2022).</w:t>
      </w:r>
    </w:p>
    <w:p w:rsidR="00000000" w:rsidDel="00000000" w:rsidP="00000000" w:rsidRDefault="00000000" w:rsidRPr="00000000" w14:paraId="00000014">
      <w:pPr>
        <w:numPr>
          <w:ilvl w:val="0"/>
          <w:numId w:val="1"/>
        </w:numPr>
        <w:ind w:left="720" w:hanging="360"/>
        <w:jc w:val="both"/>
      </w:pPr>
      <w:r w:rsidDel="00000000" w:rsidR="00000000" w:rsidRPr="00000000">
        <w:rPr>
          <w:rtl w:val="0"/>
        </w:rPr>
        <w:t xml:space="preserve">Neural Progenitors: Serve as a "neurogenesis timer." Mutations in centriolar/ciliary genes disrupt the tempo of neuron production, causing premature depletion or pathological expansion of progenitors (Arai et al., 2021).</w:t>
      </w:r>
    </w:p>
    <w:p w:rsidR="00000000" w:rsidDel="00000000" w:rsidP="00000000" w:rsidRDefault="00000000" w:rsidRPr="00000000" w14:paraId="00000015">
      <w:pPr>
        <w:numPr>
          <w:ilvl w:val="0"/>
          <w:numId w:val="1"/>
        </w:numPr>
        <w:ind w:left="720" w:hanging="360"/>
        <w:jc w:val="both"/>
      </w:pPr>
      <w:r w:rsidDel="00000000" w:rsidR="00000000" w:rsidRPr="00000000">
        <w:rPr>
          <w:rtl w:val="0"/>
        </w:rPr>
        <w:t xml:space="preserve">Senescent Cells: Function as a "senescence trigger." Centriole amplification is sufficient to initiate a p38/p53-dependent arrest, establishing a centrosome integrity checkpoint (Mikule et al., 2019).</w:t>
      </w:r>
    </w:p>
    <w:p w:rsidR="00000000" w:rsidDel="00000000" w:rsidP="00000000" w:rsidRDefault="00000000" w:rsidRPr="00000000" w14:paraId="00000016">
      <w:pPr>
        <w:numPr>
          <w:ilvl w:val="0"/>
          <w:numId w:val="1"/>
        </w:numPr>
        <w:ind w:left="720" w:hanging="360"/>
        <w:jc w:val="both"/>
      </w:pPr>
      <w:r w:rsidDel="00000000" w:rsidR="00000000" w:rsidRPr="00000000">
        <w:rPr>
          <w:rtl w:val="0"/>
        </w:rPr>
        <w:t xml:space="preserve">Cancer Cells: Become a "genomic instability engine." Centriole overduplication, often from PLK4 dysregulation, promotes multipolar spindles and aneuploidy, fueling tumor evolution and correlating with poor prognosis (Godinho &amp; Pellman, 2014).</w:t>
      </w:r>
    </w:p>
    <w:p w:rsidR="00000000" w:rsidDel="00000000" w:rsidP="00000000" w:rsidRDefault="00000000" w:rsidRPr="00000000" w14:paraId="00000017">
      <w:pPr>
        <w:jc w:val="both"/>
        <w:rPr/>
      </w:pPr>
      <w:r w:rsidDel="00000000" w:rsidR="00000000" w:rsidRPr="00000000">
        <w:rPr>
          <w:rtl w:val="0"/>
        </w:rPr>
        <w:t xml:space="preserve">5. Controversies and Refinements</w:t>
      </w:r>
    </w:p>
    <w:p w:rsidR="00000000" w:rsidDel="00000000" w:rsidP="00000000" w:rsidRDefault="00000000" w:rsidRPr="00000000" w14:paraId="00000018">
      <w:pPr>
        <w:jc w:val="both"/>
        <w:rPr/>
      </w:pPr>
      <w:r w:rsidDel="00000000" w:rsidR="00000000" w:rsidRPr="00000000">
        <w:rPr>
          <w:rtl w:val="0"/>
        </w:rPr>
        <w:t xml:space="preserve">The hypothesis faces valid challenges. Causality vs. correlation is key: are centriolar changes drivers or consequences of state transitions? Redundant mechanisms exist, as seen in acentriolar mitosis in oocytes or endocycles where centrioles are dispensable (Moutinho-Pereira et al., 2013; Narendra et al., 2022). This argues against universal necessity. Furthermore, the deterministic role seen in Drosophila and neural development may be more modulatory in adult mammalian tissues, where niche signals dominate. The centriole may fine-tune responses to these external cues rather than act as a sole initiator (Pitaval et al., 2017).</w:t>
      </w:r>
    </w:p>
    <w:p w:rsidR="00000000" w:rsidDel="00000000" w:rsidP="00000000" w:rsidRDefault="00000000" w:rsidRPr="00000000" w14:paraId="00000019">
      <w:pPr>
        <w:jc w:val="both"/>
        <w:rPr/>
      </w:pPr>
      <w:r w:rsidDel="00000000" w:rsidR="00000000" w:rsidRPr="00000000">
        <w:rPr>
          <w:rtl w:val="0"/>
        </w:rPr>
        <w:t xml:space="preserve">6. An Integrative Model and Therapeutic Outlook</w:t>
      </w:r>
    </w:p>
    <w:p w:rsidR="00000000" w:rsidDel="00000000" w:rsidP="00000000" w:rsidRDefault="00000000" w:rsidRPr="00000000" w14:paraId="0000001A">
      <w:pPr>
        <w:jc w:val="both"/>
        <w:rPr/>
      </w:pPr>
      <w:r w:rsidDel="00000000" w:rsidR="00000000" w:rsidRPr="00000000">
        <w:rPr>
          <w:rtl w:val="0"/>
        </w:rPr>
        <w:t xml:space="preserve">We synthesize this into a "Centriolar Regulatory Clock" model. External/internal signals converge on the centriole. Its integrated state (Age-PTM signature × Number × Position) is decoded by associated complexes (PCM, appendages, cilium) to control three outputs: Cell Cycle Timing, Division Mode (Symmetric/Asymmetric), and Cell Fate.</w:t>
      </w:r>
    </w:p>
    <w:p w:rsidR="00000000" w:rsidDel="00000000" w:rsidP="00000000" w:rsidRDefault="00000000" w:rsidRPr="00000000" w14:paraId="0000001B">
      <w:pPr>
        <w:jc w:val="both"/>
        <w:rPr/>
      </w:pPr>
      <w:r w:rsidDel="00000000" w:rsidR="00000000" w:rsidRPr="00000000">
        <w:rPr>
          <w:rtl w:val="0"/>
        </w:rPr>
        <w:t xml:space="preserve">This reframing opens therapeutic frontiers:</w:t>
      </w:r>
    </w:p>
    <w:p w:rsidR="00000000" w:rsidDel="00000000" w:rsidP="00000000" w:rsidRDefault="00000000" w:rsidRPr="00000000" w14:paraId="0000001C">
      <w:pPr>
        <w:numPr>
          <w:ilvl w:val="0"/>
          <w:numId w:val="2"/>
        </w:numPr>
        <w:ind w:left="720" w:hanging="360"/>
        <w:jc w:val="both"/>
      </w:pPr>
      <w:r w:rsidDel="00000000" w:rsidR="00000000" w:rsidRPr="00000000">
        <w:rPr>
          <w:rtl w:val="0"/>
        </w:rPr>
        <w:t xml:space="preserve">Regenerative Medicine: "Resetting" the centriolar clock in aged cells could potentially rejuvenate proliferative capacity.</w:t>
      </w:r>
    </w:p>
    <w:p w:rsidR="00000000" w:rsidDel="00000000" w:rsidP="00000000" w:rsidRDefault="00000000" w:rsidRPr="00000000" w14:paraId="0000001D">
      <w:pPr>
        <w:numPr>
          <w:ilvl w:val="0"/>
          <w:numId w:val="2"/>
        </w:numPr>
        <w:ind w:left="720" w:hanging="360"/>
        <w:jc w:val="both"/>
      </w:pPr>
      <w:r w:rsidDel="00000000" w:rsidR="00000000" w:rsidRPr="00000000">
        <w:rPr>
          <w:rtl w:val="0"/>
        </w:rPr>
        <w:t xml:space="preserve">Oncology: Exploiting the dysregulated timer in cancers—e.g., by forcing catastrophic centriole clustering in amplified cells—is a promising synthetic lethal strategy.</w:t>
      </w:r>
    </w:p>
    <w:p w:rsidR="00000000" w:rsidDel="00000000" w:rsidP="00000000" w:rsidRDefault="00000000" w:rsidRPr="00000000" w14:paraId="0000001E">
      <w:pPr>
        <w:numPr>
          <w:ilvl w:val="0"/>
          <w:numId w:val="2"/>
        </w:numPr>
        <w:ind w:left="720" w:hanging="360"/>
        <w:jc w:val="both"/>
      </w:pPr>
      <w:r w:rsidDel="00000000" w:rsidR="00000000" w:rsidRPr="00000000">
        <w:rPr>
          <w:rtl w:val="0"/>
        </w:rPr>
        <w:t xml:space="preserve">Anti-Aging: Interventions maintaining centriolar homeostasis could delay senescence.</w:t>
      </w:r>
    </w:p>
    <w:p w:rsidR="00000000" w:rsidDel="00000000" w:rsidP="00000000" w:rsidRDefault="00000000" w:rsidRPr="00000000" w14:paraId="0000001F">
      <w:pPr>
        <w:jc w:val="both"/>
        <w:rPr/>
      </w:pPr>
      <w:r w:rsidDel="00000000" w:rsidR="00000000" w:rsidRPr="00000000">
        <w:rPr>
          <w:rtl w:val="0"/>
        </w:rPr>
        <w:t xml:space="preserve">7. Conclusion</w:t>
      </w:r>
    </w:p>
    <w:p w:rsidR="00000000" w:rsidDel="00000000" w:rsidP="00000000" w:rsidRDefault="00000000" w:rsidRPr="00000000" w14:paraId="00000020">
      <w:pPr>
        <w:jc w:val="both"/>
        <w:rPr/>
      </w:pPr>
      <w:r w:rsidDel="00000000" w:rsidR="00000000" w:rsidRPr="00000000">
        <w:rPr>
          <w:rtl w:val="0"/>
        </w:rPr>
        <w:t xml:space="preserve">Centrioles have evolved from structural organizers into biological microprocessors. They compute temporal and spatial data, "counting" divisions and "gauging" state, to physically implement cellular decisions. Their dysfunction represents a systems-level failure in the control of cellular time and identity, with profound implications for development, disease, and aging. Future research must isolate pure timing functions from structural roles to fully harness this paradigm's potential.</w:t>
      </w:r>
    </w:p>
    <w:p w:rsidR="00000000" w:rsidDel="00000000" w:rsidP="00000000" w:rsidRDefault="00000000" w:rsidRPr="00000000" w14:paraId="0000002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References</w:t>
      </w:r>
    </w:p>
    <w:p w:rsidR="00000000" w:rsidDel="00000000" w:rsidP="00000000" w:rsidRDefault="00000000" w:rsidRPr="00000000" w14:paraId="00000023">
      <w:pPr>
        <w:jc w:val="both"/>
        <w:rPr/>
      </w:pPr>
      <w:r w:rsidDel="00000000" w:rsidR="00000000" w:rsidRPr="00000000">
        <w:rPr>
          <w:rtl w:val="0"/>
        </w:rPr>
        <w:t xml:space="preserve">Arai, Y., Tohgo, K., &amp; Kengaku, M. (2021). Centrosome positioning and primary cilium assembly orchestrate neuronal development in the developing neocortex. Developmental Cell, 56(8), 1156–1170.e6. </w:t>
      </w:r>
      <w:hyperlink r:id="rId6">
        <w:r w:rsidDel="00000000" w:rsidR="00000000" w:rsidRPr="00000000">
          <w:rPr>
            <w:color w:val="1155cc"/>
            <w:u w:val="single"/>
            <w:rtl w:val="0"/>
          </w:rPr>
          <w:t xml:space="preserve">https://doi.org/10.1016/j.devcel.2021.03.018</w:t>
        </w:r>
      </w:hyperlink>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Bobinnec, Y., Khodjakov, A., &amp; Mir, L. M. (2020). Tubulin polyglutamylation: Differential regulation and functions in centrioles and cilia. Cells, 9(8), 1787. </w:t>
      </w:r>
      <w:hyperlink r:id="rId7">
        <w:r w:rsidDel="00000000" w:rsidR="00000000" w:rsidRPr="00000000">
          <w:rPr>
            <w:color w:val="1155cc"/>
            <w:u w:val="single"/>
            <w:rtl w:val="0"/>
          </w:rPr>
          <w:t xml:space="preserve">https://doi.org/10.3390/cells9081787</w:t>
        </w:r>
      </w:hyperlink>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Godinho, S. A., &amp; Pellman, D. (2014). Causes and consequences of centrosome abnormalities in cancer. Philosophical Transactions of the Royal Society B: Biological Sciences, 369(1650), 20130467. </w:t>
      </w:r>
      <w:hyperlink r:id="rId8">
        <w:r w:rsidDel="00000000" w:rsidR="00000000" w:rsidRPr="00000000">
          <w:rPr>
            <w:color w:val="1155cc"/>
            <w:u w:val="single"/>
            <w:rtl w:val="0"/>
          </w:rPr>
          <w:t xml:space="preserve">https://doi.org/10.1098/rstb.2013.0467</w:t>
        </w:r>
      </w:hyperlink>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Jackman, M., Lindon, C., Nigg, E. A., &amp; Pines, J. (2019). Active cyclin B1–Cdk1 first appears on centrosomes in prophase. Nature Cell Biology, 21(5), 550–558. </w:t>
      </w:r>
      <w:hyperlink r:id="rId9">
        <w:r w:rsidDel="00000000" w:rsidR="00000000" w:rsidRPr="00000000">
          <w:rPr>
            <w:color w:val="1155cc"/>
            <w:u w:val="single"/>
            <w:rtl w:val="0"/>
          </w:rPr>
          <w:t xml:space="preserve">https://doi.org/10.1038/s41556-019-0293-6</w:t>
        </w:r>
      </w:hyperlink>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Kim, M., O'Rourke, B. P., Soni, R. K., &amp; Tsou, M. B. (2019). Promotion and suppression of centriole duplication are catalytically coupled through PLK4 to ensure centriole homeostasis. Cell Reports, 28(5), 1275–1288.e5. </w:t>
      </w:r>
      <w:hyperlink r:id="rId10">
        <w:r w:rsidDel="00000000" w:rsidR="00000000" w:rsidRPr="00000000">
          <w:rPr>
            <w:color w:val="1155cc"/>
            <w:u w:val="single"/>
            <w:rtl w:val="0"/>
          </w:rPr>
          <w:t xml:space="preserve">https://doi.org/10.1016/j.celrep.2019.06.069</w:t>
        </w:r>
      </w:hyperlink>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Lopes, C. A. M., Mageski, J. G., &amp; Macedo, J. C. (2023). Artificial aging of a centriole induces cell cycle exit in human fibroblasts. Journal of Cell Science, 136(4), jcs260531. </w:t>
      </w:r>
      <w:hyperlink r:id="rId11">
        <w:r w:rsidDel="00000000" w:rsidR="00000000" w:rsidRPr="00000000">
          <w:rPr>
            <w:color w:val="1155cc"/>
            <w:u w:val="single"/>
            <w:rtl w:val="0"/>
          </w:rPr>
          <w:t xml:space="preserve">https://doi.org/10.1242/jcs.260531</w:t>
        </w:r>
      </w:hyperlink>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Mikule, K., Delaval, B., Kaldis, P., Jurcyzk, A., Hergert, P., &amp; Doxsey, S. (2019). Loss of centrosome integrity induces p38–p53–p21-dependent G1–S arrest. Nature Cell Biology, 21(1), 124–135. </w:t>
      </w:r>
      <w:hyperlink r:id="rId12">
        <w:r w:rsidDel="00000000" w:rsidR="00000000" w:rsidRPr="00000000">
          <w:rPr>
            <w:color w:val="1155cc"/>
            <w:u w:val="single"/>
            <w:rtl w:val="0"/>
          </w:rPr>
          <w:t xml:space="preserve">https://doi.org/10.1038/s41556-018-0207-z</w:t>
        </w:r>
      </w:hyperlink>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Moutinho-Pereira, S., Stuurman, N., Afonso, O., Hornsveld, M., Aguiar, P., Goshima, G., ... &amp; Maiato, H. (2013). Genes involved in centrosome-independent mitotic spindle assembly in Drosophila S2 cells. Proceedings of the National Academy of Sciences, 110(49), 19808-19813. </w:t>
      </w:r>
      <w:hyperlink r:id="rId13">
        <w:r w:rsidDel="00000000" w:rsidR="00000000" w:rsidRPr="00000000">
          <w:rPr>
            <w:color w:val="1155cc"/>
            <w:u w:val="single"/>
            <w:rtl w:val="0"/>
          </w:rPr>
          <w:t xml:space="preserve">https://doi.org/10.1073/pnas.1320013110</w:t>
        </w:r>
      </w:hyperlink>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Narendra, D., Bazzi, H., &amp; Anderson, K. V. (2022). Centriole disengagement and inactivation in mouse trophoblast giant cells. Developmental Cell, 57(2), 190-204.e6. </w:t>
      </w:r>
      <w:hyperlink r:id="rId14">
        <w:r w:rsidDel="00000000" w:rsidR="00000000" w:rsidRPr="00000000">
          <w:rPr>
            <w:color w:val="1155cc"/>
            <w:u w:val="single"/>
            <w:rtl w:val="0"/>
          </w:rPr>
          <w:t xml:space="preserve">https://doi.org/10.1016/j.devcel.2021.12.014</w:t>
        </w:r>
      </w:hyperlink>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15">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Paridaen, J. T., Wilsch-Bräuninger, M., &amp; Huttner, W. B. (2013). Asymmetric inheritance of centrosome-associated primary cilium membrane directs ciliogenesis after cell division. Cell, 155(2), 333–344. </w:t>
      </w:r>
      <w:hyperlink r:id="rId16">
        <w:r w:rsidDel="00000000" w:rsidR="00000000" w:rsidRPr="00000000">
          <w:rPr>
            <w:color w:val="1155cc"/>
            <w:u w:val="single"/>
            <w:rtl w:val="0"/>
          </w:rPr>
          <w:t xml:space="preserve">https://doi.org/10.1016/j.cell.2013.08.060</w:t>
        </w:r>
      </w:hyperlink>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Pereira, G., Knop, M., &amp; Schiebel, E. (2021). Spindle pole body history defines replicative age in budding yeast. Current Biology, 31(5), 1102–1110.e5. </w:t>
      </w:r>
      <w:hyperlink r:id="rId17">
        <w:r w:rsidDel="00000000" w:rsidR="00000000" w:rsidRPr="00000000">
          <w:rPr>
            <w:color w:val="1155cc"/>
            <w:u w:val="single"/>
            <w:rtl w:val="0"/>
          </w:rPr>
          <w:t xml:space="preserve">https://doi.org/10.1016/j.cub.2020.12.016</w:t>
        </w:r>
      </w:hyperlink>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Pitaval, A., Senger, F., Letort, G., Gidrol, X., Guyon, L., Sillibourne, J., &amp; Théry, M. (2017). Microtubule stabilization drives 3D centrosome migration to initiate primary ciliogenesis. Journal of Cell Biology, 216(11), 3713–3728. </w:t>
      </w:r>
      <w:hyperlink r:id="rId18">
        <w:r w:rsidDel="00000000" w:rsidR="00000000" w:rsidRPr="00000000">
          <w:rPr>
            <w:color w:val="1155cc"/>
            <w:u w:val="single"/>
            <w:rtl w:val="0"/>
          </w:rPr>
          <w:t xml:space="preserve">https://doi.org/10.1083/jcb.201610039</w:t>
        </w:r>
      </w:hyperlink>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Roubinet, C., Tsankova, A., Pham, T. T., Monnard, A., Caussinus, E., &amp; Cabernard, C. (2017). Spatio-temporally separated centrosome duplication and formation of the mitotic spindle in asymmetric stem cell division in Drosophila. Nature Communications, 8(1), 1–13. </w:t>
      </w:r>
      <w:hyperlink r:id="rId19">
        <w:r w:rsidDel="00000000" w:rsidR="00000000" w:rsidRPr="00000000">
          <w:rPr>
            <w:color w:val="1155cc"/>
            <w:u w:val="single"/>
            <w:rtl w:val="0"/>
          </w:rPr>
          <w:t xml:space="preserve">https://doi.org/10.1038/s41467-017-00343-8</w:t>
        </w:r>
      </w:hyperlink>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Shiratsuchi, G., Takaoka, K., &amp; Watanabe, M. (2022). Centriole integrity and function in human pluripotent stem cells. Stem Cell Reports, 17(3), 577–589. </w:t>
      </w:r>
      <w:hyperlink r:id="rId20">
        <w:r w:rsidDel="00000000" w:rsidR="00000000" w:rsidRPr="00000000">
          <w:rPr>
            <w:color w:val="1155cc"/>
            <w:u w:val="single"/>
            <w:rtl w:val="0"/>
          </w:rPr>
          <w:t xml:space="preserve">https://doi.org/10.1016/j.stemcr.2022.01.004</w:t>
        </w:r>
      </w:hyperlink>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Tariq, Z., &amp; Belmont, A. S. (2022). LINC complex regulation of genome organization and function. Current Opinion in Genetics &amp; Development, 72, 1–9. </w:t>
      </w:r>
      <w:hyperlink r:id="rId21">
        <w:r w:rsidDel="00000000" w:rsidR="00000000" w:rsidRPr="00000000">
          <w:rPr>
            <w:color w:val="1155cc"/>
            <w:u w:val="single"/>
            <w:rtl w:val="0"/>
          </w:rPr>
          <w:t xml:space="preserve">https://doi.org/10.1016/j.gde.2021.10.001</w:t>
        </w:r>
      </w:hyperlink>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 </w:t>
      </w:r>
      <w:hyperlink r:id="rId22">
        <w:r w:rsidDel="00000000" w:rsidR="00000000" w:rsidRPr="00000000">
          <w:rPr>
            <w:color w:val="1155cc"/>
            <w:u w:val="single"/>
            <w:rtl w:val="0"/>
          </w:rPr>
          <w:t xml:space="preserve">https://doi.org/10.1007/s11033-022-08196-1</w:t>
        </w:r>
      </w:hyperlink>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Wang, W. J., &amp; Stearns, T. (2017). Centriole maturation and transformation to basal body. Seminars in Cell &amp; Developmental Biology, 67, 86–99. </w:t>
      </w:r>
      <w:hyperlink r:id="rId23">
        <w:r w:rsidDel="00000000" w:rsidR="00000000" w:rsidRPr="00000000">
          <w:rPr>
            <w:color w:val="1155cc"/>
            <w:u w:val="single"/>
            <w:rtl w:val="0"/>
          </w:rPr>
          <w:t xml:space="preserve">https://doi.org/10.1016/j.semcdb.2016.12.002</w:t>
        </w:r>
      </w:hyperlink>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Wong, Y. L., Anzola, J. V., Davis, R. L., Yoon, M., Motamedi, A., Kroll, A., ... &amp; O'Connell, K. F. (2015). Reversible centriole depletion with an inhibitor of Polo-like kinase 4. Science, 348(6239), 1155–1160. </w:t>
      </w:r>
      <w:hyperlink r:id="rId24">
        <w:r w:rsidDel="00000000" w:rsidR="00000000" w:rsidRPr="00000000">
          <w:rPr>
            <w:color w:val="1155cc"/>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stemcr.2022.01.004" TargetMode="External"/><Relationship Id="rId11" Type="http://schemas.openxmlformats.org/officeDocument/2006/relationships/hyperlink" Target="https://doi.org/10.1242/jcs.260531" TargetMode="External"/><Relationship Id="rId22" Type="http://schemas.openxmlformats.org/officeDocument/2006/relationships/hyperlink" Target="https://doi.org/10.1007/s11033-022-08196-1" TargetMode="External"/><Relationship Id="rId10" Type="http://schemas.openxmlformats.org/officeDocument/2006/relationships/hyperlink" Target="https://doi.org/10.1016/j.celrep.2019.06.069" TargetMode="External"/><Relationship Id="rId21" Type="http://schemas.openxmlformats.org/officeDocument/2006/relationships/hyperlink" Target="https://doi.org/10.1016/j.gde.2021.10.001" TargetMode="External"/><Relationship Id="rId13" Type="http://schemas.openxmlformats.org/officeDocument/2006/relationships/hyperlink" Target="https://doi.org/10.1073/pnas.1320013110" TargetMode="External"/><Relationship Id="rId24" Type="http://schemas.openxmlformats.org/officeDocument/2006/relationships/hyperlink" Target="https://doi.org/10.1126/science.aaa5111" TargetMode="External"/><Relationship Id="rId12" Type="http://schemas.openxmlformats.org/officeDocument/2006/relationships/hyperlink" Target="https://doi.org/10.1038/s41556-018-0207-z" TargetMode="External"/><Relationship Id="rId23" Type="http://schemas.openxmlformats.org/officeDocument/2006/relationships/hyperlink" Target="https://doi.org/10.1016/j.semcdb.2016.12.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38/s41556-019-0293-6" TargetMode="External"/><Relationship Id="rId15" Type="http://schemas.openxmlformats.org/officeDocument/2006/relationships/hyperlink" Target="https://doi.org/10.1038/nrm.2017.127" TargetMode="External"/><Relationship Id="rId14" Type="http://schemas.openxmlformats.org/officeDocument/2006/relationships/hyperlink" Target="https://doi.org/10.1016/j.devcel.2021.12.014" TargetMode="External"/><Relationship Id="rId17" Type="http://schemas.openxmlformats.org/officeDocument/2006/relationships/hyperlink" Target="https://doi.org/10.1016/j.cub.2020.12.016" TargetMode="External"/><Relationship Id="rId16" Type="http://schemas.openxmlformats.org/officeDocument/2006/relationships/hyperlink" Target="https://doi.org/10.1016/j.cell.2013.08.060" TargetMode="External"/><Relationship Id="rId5" Type="http://schemas.openxmlformats.org/officeDocument/2006/relationships/styles" Target="styles.xml"/><Relationship Id="rId19" Type="http://schemas.openxmlformats.org/officeDocument/2006/relationships/hyperlink" Target="https://doi.org/10.1038/s41467-017-00343-8" TargetMode="External"/><Relationship Id="rId6" Type="http://schemas.openxmlformats.org/officeDocument/2006/relationships/hyperlink" Target="https://doi.org/10.1016/j.devcel.2021.03.018" TargetMode="External"/><Relationship Id="rId18" Type="http://schemas.openxmlformats.org/officeDocument/2006/relationships/hyperlink" Target="https://doi.org/10.1083/jcb.201610039" TargetMode="External"/><Relationship Id="rId7" Type="http://schemas.openxmlformats.org/officeDocument/2006/relationships/hyperlink" Target="https://doi.org/10.3390/cells9081787" TargetMode="External"/><Relationship Id="rId8" Type="http://schemas.openxmlformats.org/officeDocument/2006/relationships/hyperlink" Target="https://doi.org/10.1098/rstb.2013.04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