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xd3c8xjii5ec" w:id="0"/>
      <w:bookmarkEnd w:id="0"/>
      <w:r w:rsidDel="00000000" w:rsidR="00000000" w:rsidRPr="00000000">
        <w:rPr>
          <w:rtl w:val="0"/>
        </w:rPr>
        <w:t xml:space="preserve">Structural and functional hierarchy between mother and daughter centrioles dictates polarity, division, and disease</w:t>
      </w:r>
    </w:p>
    <w:p w:rsidR="00000000" w:rsidDel="00000000" w:rsidP="00000000" w:rsidRDefault="00000000" w:rsidRPr="00000000" w14:paraId="00000002">
      <w:pPr>
        <w:spacing w:after="200" w:lineRule="auto"/>
        <w:jc w:val="both"/>
        <w:rPr/>
      </w:pPr>
      <w:r w:rsidDel="00000000" w:rsidR="00000000" w:rsidRPr="00000000">
        <w:rPr>
          <w:b w:val="1"/>
          <w:bCs w:val="1"/>
          <w:sz w:val="18"/>
          <w:szCs w:val="18"/>
          <w:rtl w:val="0"/>
        </w:rPr>
        <w:t xml:space="preserve">Author: </w:t>
      </w:r>
      <w:r w:rsidDel="00000000" w:rsidR="00000000" w:rsidRPr="00000000">
        <w:rPr>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highlight w:val="white"/>
          <w:vertAlign w:val="superscript"/>
          <w:rtl w:val="0"/>
        </w:rPr>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sz w:val="18"/>
          <w:szCs w:val="18"/>
          <w:highlight w:val="white"/>
          <w:rtl w:val="0"/>
        </w:rPr>
        <w:br w:type="textWrapping"/>
      </w: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3">
      <w:pPr>
        <w:pStyle w:val="Heading1"/>
        <w:spacing w:after="200" w:lineRule="auto"/>
        <w:jc w:val="both"/>
        <w:rPr/>
      </w:pPr>
      <w:bookmarkStart w:colFirst="0" w:colLast="0" w:name="_g3fcy1msqj33" w:id="1"/>
      <w:bookmarkEnd w:id="1"/>
      <w:r w:rsidDel="00000000" w:rsidR="00000000" w:rsidRPr="00000000">
        <w:rPr>
          <w:rtl w:val="0"/>
        </w:rPr>
        <w:t xml:space="preserve">Abstract</w:t>
      </w:r>
    </w:p>
    <w:p w:rsidR="00000000" w:rsidDel="00000000" w:rsidP="00000000" w:rsidRDefault="00000000" w:rsidRPr="00000000" w14:paraId="00000004">
      <w:pPr>
        <w:spacing w:after="200" w:lineRule="auto"/>
        <w:jc w:val="both"/>
        <w:rPr/>
      </w:pPr>
      <w:r w:rsidDel="00000000" w:rsidR="00000000" w:rsidRPr="00000000">
        <w:rPr>
          <w:rtl w:val="0"/>
        </w:rPr>
        <w:t xml:space="preserve">The centrosome, long considered a symmetrical entity, is fundamentally organized by the intrinsic non-equivalence of its core components: the mother and daughter centrioles. This review synthesizes a decade of evidence from super-resolution microscopy, comparative proteomics, and live-cell tracking to dismantle the old paradigm of centriole equivalence. We establish that these two organelles are distinct cellular compartments, differing in age, ultrastructure, molecular composition, function, and fate. The mother centriole, as a mature "Master" organelle, acts as the dominant microtubule-organizing center, the exclusive basal body for ciliogenesis, and a key signaling hub. The daughter centriole is a dynamic "Apprentice," undergoing a time-delayed biochemical maturation program under the mother’s instruction. This hierarchical asymmetry is not passive but is actively established through sequential kinase/ubiquitin signaling and specific post-translational modifications, such as tubulin polyglutamylation. We demonstrate how this Master-Apprentice dynamic is co-opted across cell types—from ciliary signaling in fibroblasts to fate determination in stem cells—and how its disruption is a direct pathogenic mechanism in ciliopathies, microcephaly, and cancer. Centriole asymmetry is therefore a foundational principle for generating cellular polarity and tissue architecture, whose deregulation leads to profound disease states.</w:t>
      </w:r>
    </w:p>
    <w:p w:rsidR="00000000" w:rsidDel="00000000" w:rsidP="00000000" w:rsidRDefault="00000000" w:rsidRPr="00000000" w14:paraId="00000005">
      <w:pPr>
        <w:jc w:val="both"/>
        <w:rPr/>
      </w:pPr>
      <w:r w:rsidDel="00000000" w:rsidR="00000000" w:rsidRPr="00000000">
        <w:rPr>
          <w:b w:val="1"/>
          <w:bCs w:val="1"/>
          <w:rtl w:val="0"/>
        </w:rPr>
        <w:t xml:space="preserve">Keywords: </w:t>
      </w:r>
      <w:r w:rsidDel="00000000" w:rsidR="00000000" w:rsidRPr="00000000">
        <w:rPr>
          <w:rtl w:val="0"/>
        </w:rPr>
        <w:t xml:space="preserve">Centrosome, Centriole Maturation, Cellular Polarity, Ciliopathies, Asymmetric Cell Division, Chromosomal Instability.</w:t>
      </w:r>
    </w:p>
    <w:p w:rsidR="00000000" w:rsidDel="00000000" w:rsidP="00000000" w:rsidRDefault="00000000" w:rsidRPr="00000000" w14:paraId="00000006">
      <w:pPr>
        <w:pStyle w:val="Heading1"/>
        <w:spacing w:after="200" w:lineRule="auto"/>
        <w:jc w:val="both"/>
        <w:rPr/>
      </w:pPr>
      <w:bookmarkStart w:colFirst="0" w:colLast="0" w:name="_5b0m6s5y4ub7" w:id="2"/>
      <w:bookmarkEnd w:id="2"/>
      <w:r w:rsidDel="00000000" w:rsidR="00000000" w:rsidRPr="00000000">
        <w:rPr>
          <w:rtl w:val="0"/>
        </w:rPr>
        <w:t xml:space="preserve">Introduction: From Symmetry to Hierarchy</w:t>
      </w:r>
    </w:p>
    <w:p w:rsidR="00000000" w:rsidDel="00000000" w:rsidP="00000000" w:rsidRDefault="00000000" w:rsidRPr="00000000" w14:paraId="00000007">
      <w:pPr>
        <w:spacing w:after="200" w:lineRule="auto"/>
        <w:jc w:val="both"/>
        <w:rPr/>
      </w:pPr>
      <w:r w:rsidDel="00000000" w:rsidR="00000000" w:rsidRPr="00000000">
        <w:rPr>
          <w:rtl w:val="0"/>
        </w:rPr>
        <w:t xml:space="preserve">The classic semi-conservative centriole duplication model posited functional symmetry between the templating mother and the newly formed daughter centriole (Allen, 1969; Vorobjev &amp; Chentsov, 1982). This view has been conclusively overturned. A synthesis of modern techniques reveals that mother and daughter centrioles are fundamentally different organelles, with their asymmetry serving as a cornerstone for cellular polarity, asymmetric division, and ciliogenesis (Bornens, 2012; Nigg &amp; Holland, 2018). This review integrates findings from 52 key studies to present a cohesive model of centriolar hierarchy and its broad biological implications.</w:t>
      </w:r>
    </w:p>
    <w:p w:rsidR="00000000" w:rsidDel="00000000" w:rsidP="00000000" w:rsidRDefault="00000000" w:rsidRPr="00000000" w14:paraId="00000008">
      <w:pPr>
        <w:pStyle w:val="Heading1"/>
        <w:spacing w:after="200" w:lineRule="auto"/>
        <w:rPr/>
      </w:pPr>
      <w:bookmarkStart w:colFirst="0" w:colLast="0" w:name="_hddonqy0y6q1" w:id="3"/>
      <w:bookmarkEnd w:id="3"/>
      <w:r w:rsidDel="00000000" w:rsidR="00000000" w:rsidRPr="00000000">
        <w:rPr>
          <w:rtl w:val="0"/>
        </w:rPr>
        <w:t xml:space="preserve">The Pillars of Evidence: Visualizing Asymmetry</w:t>
      </w:r>
    </w:p>
    <w:p w:rsidR="00000000" w:rsidDel="00000000" w:rsidP="00000000" w:rsidRDefault="00000000" w:rsidRPr="00000000" w14:paraId="00000009">
      <w:pPr>
        <w:spacing w:after="200" w:lineRule="auto"/>
        <w:jc w:val="both"/>
        <w:rPr/>
      </w:pPr>
      <w:r w:rsidDel="00000000" w:rsidR="00000000" w:rsidRPr="00000000">
        <w:rPr>
          <w:rtl w:val="0"/>
        </w:rPr>
        <w:t xml:space="preserve">The paradigm shift has been driven by four complementary methodological advances:</w:t>
      </w:r>
    </w:p>
    <w:p w:rsidR="00000000" w:rsidDel="00000000" w:rsidP="00000000" w:rsidRDefault="00000000" w:rsidRPr="00000000" w14:paraId="0000000A">
      <w:pPr>
        <w:numPr>
          <w:ilvl w:val="0"/>
          <w:numId w:val="4"/>
        </w:numPr>
        <w:spacing w:after="200" w:lineRule="auto"/>
        <w:ind w:left="720" w:hanging="360"/>
        <w:jc w:val="both"/>
      </w:pPr>
      <w:r w:rsidDel="00000000" w:rsidR="00000000" w:rsidRPr="00000000">
        <w:rPr>
          <w:b w:val="1"/>
          <w:bCs w:val="1"/>
          <w:rtl w:val="0"/>
        </w:rPr>
        <w:t xml:space="preserve">Super-Resolution Microscopy</w:t>
      </w:r>
      <w:r w:rsidDel="00000000" w:rsidR="00000000" w:rsidRPr="00000000">
        <w:rPr>
          <w:rtl w:val="0"/>
        </w:rPr>
        <w:t xml:space="preserve">: Techniques like STED and PALM microscopy, achieving resolutions below 50 nm, have directly visualized the exclusive localization of distal appendage proteins (e.g., CEP164, CEP83) to the mother centriole, providing nanoscale structural evidence of non-equivalence (Graser et al., 2007; Tanos et al., 2013).</w:t>
      </w:r>
    </w:p>
    <w:p w:rsidR="00000000" w:rsidDel="00000000" w:rsidP="00000000" w:rsidRDefault="00000000" w:rsidRPr="00000000" w14:paraId="0000000B">
      <w:pPr>
        <w:numPr>
          <w:ilvl w:val="0"/>
          <w:numId w:val="4"/>
        </w:numPr>
        <w:spacing w:after="200" w:before="0" w:lineRule="auto"/>
        <w:ind w:left="720" w:hanging="360"/>
        <w:jc w:val="both"/>
      </w:pPr>
      <w:r w:rsidDel="00000000" w:rsidR="00000000" w:rsidRPr="00000000">
        <w:rPr>
          <w:b w:val="1"/>
          <w:bCs w:val="1"/>
          <w:rtl w:val="0"/>
        </w:rPr>
        <w:t xml:space="preserve">Comparative Centriolar Proteomics</w:t>
      </w:r>
      <w:r w:rsidDel="00000000" w:rsidR="00000000" w:rsidRPr="00000000">
        <w:rPr>
          <w:rtl w:val="0"/>
        </w:rPr>
        <w:t xml:space="preserve">: Quantitative approaches like SILAC and proximity-dependent biotinylation (BioID) have catalogued hundreds of proteins with &gt;10-fold enrichment on the mother centriole, including ciliogenesis effectors, microtubule anchors, and signaling scaffolds (e.g., Ninein, CEP170, PDGFRα), defining a unique molecular identity (Jakobsen et al., 2011; Gupta et al., 2015).</w:t>
      </w:r>
    </w:p>
    <w:p w:rsidR="00000000" w:rsidDel="00000000" w:rsidP="00000000" w:rsidRDefault="00000000" w:rsidRPr="00000000" w14:paraId="0000000C">
      <w:pPr>
        <w:numPr>
          <w:ilvl w:val="0"/>
          <w:numId w:val="4"/>
        </w:numPr>
        <w:spacing w:after="200" w:before="0" w:lineRule="auto"/>
        <w:ind w:left="720" w:hanging="360"/>
        <w:jc w:val="both"/>
      </w:pPr>
      <w:r w:rsidDel="00000000" w:rsidR="00000000" w:rsidRPr="00000000">
        <w:rPr>
          <w:b w:val="1"/>
          <w:bCs w:val="1"/>
          <w:rtl w:val="0"/>
        </w:rPr>
        <w:t xml:space="preserve">Live-Cell Centriole Tracking</w:t>
      </w:r>
      <w:r w:rsidDel="00000000" w:rsidR="00000000" w:rsidRPr="00000000">
        <w:rPr>
          <w:rtl w:val="0"/>
        </w:rPr>
        <w:t xml:space="preserve">: Using photoconvertible fluorescent proteins, researchers have fate-mapped individual centrioles, proving that age dictates function. The older centriole retains mother identity and ciliogenesis competence, while the younger undergoes a canonical "temporal maturation" over one to two cell cycles (Wang et al., 2014; Anderson &amp; Stearns, 2009).</w:t>
      </w:r>
    </w:p>
    <w:p w:rsidR="00000000" w:rsidDel="00000000" w:rsidP="00000000" w:rsidRDefault="00000000" w:rsidRPr="00000000" w14:paraId="0000000D">
      <w:pPr>
        <w:numPr>
          <w:ilvl w:val="0"/>
          <w:numId w:val="4"/>
        </w:numPr>
        <w:spacing w:after="200" w:lineRule="auto"/>
        <w:ind w:left="720" w:hanging="360"/>
        <w:jc w:val="both"/>
      </w:pPr>
      <w:r w:rsidDel="00000000" w:rsidR="00000000" w:rsidRPr="00000000">
        <w:rPr>
          <w:b w:val="1"/>
          <w:bCs w:val="1"/>
          <w:rtl w:val="0"/>
        </w:rPr>
        <w:t xml:space="preserve">Functional Genetics</w:t>
      </w:r>
      <w:r w:rsidDel="00000000" w:rsidR="00000000" w:rsidRPr="00000000">
        <w:rPr>
          <w:rtl w:val="0"/>
        </w:rPr>
        <w:t xml:space="preserve">: CRISPR-Cas9 and RNAi screens have established causality, showing that loss of mother-specific proteins (e.g., distal appendage components) disrupts ciliogenesis without affecting duplication, directly linking molecular asymmetry to functional specialization (Goetz et al., 2012).</w:t>
      </w:r>
    </w:p>
    <w:p w:rsidR="00000000" w:rsidDel="00000000" w:rsidP="00000000" w:rsidRDefault="00000000" w:rsidRPr="00000000" w14:paraId="0000000E">
      <w:pPr>
        <w:pStyle w:val="Heading1"/>
        <w:spacing w:after="200" w:lineRule="auto"/>
        <w:jc w:val="both"/>
        <w:rPr/>
      </w:pPr>
      <w:bookmarkStart w:colFirst="0" w:colLast="0" w:name="_oggrammbenn0" w:id="4"/>
      <w:bookmarkEnd w:id="4"/>
      <w:r w:rsidDel="00000000" w:rsidR="00000000" w:rsidRPr="00000000">
        <w:rPr>
          <w:rtl w:val="0"/>
        </w:rPr>
        <w:t xml:space="preserve">The Multilayered Hierarchy of Non-Equivalence</w:t>
      </w:r>
    </w:p>
    <w:p w:rsidR="00000000" w:rsidDel="00000000" w:rsidP="00000000" w:rsidRDefault="00000000" w:rsidRPr="00000000" w14:paraId="0000000F">
      <w:pPr>
        <w:spacing w:after="200" w:lineRule="auto"/>
        <w:jc w:val="both"/>
        <w:rPr/>
      </w:pPr>
      <w:r w:rsidDel="00000000" w:rsidR="00000000" w:rsidRPr="00000000">
        <w:rPr>
          <w:rtl w:val="0"/>
        </w:rPr>
        <w:t xml:space="preserve">Asymmetry manifests at every level of organization:</w:t>
      </w:r>
    </w:p>
    <w:p w:rsidR="00000000" w:rsidDel="00000000" w:rsidP="00000000" w:rsidRDefault="00000000" w:rsidRPr="00000000" w14:paraId="00000010">
      <w:pPr>
        <w:numPr>
          <w:ilvl w:val="0"/>
          <w:numId w:val="3"/>
        </w:numPr>
        <w:spacing w:after="200" w:lineRule="auto"/>
        <w:ind w:left="720" w:hanging="360"/>
        <w:jc w:val="both"/>
      </w:pPr>
      <w:r w:rsidDel="00000000" w:rsidR="00000000" w:rsidRPr="00000000">
        <w:rPr>
          <w:b w:val="1"/>
          <w:bCs w:val="1"/>
          <w:rtl w:val="0"/>
        </w:rPr>
        <w:t xml:space="preserve">Structural</w:t>
      </w:r>
      <w:r w:rsidDel="00000000" w:rsidR="00000000" w:rsidRPr="00000000">
        <w:rPr>
          <w:rtl w:val="0"/>
        </w:rPr>
        <w:t xml:space="preserve">: The mother centriole possesses distal and subdistal appendages, which the daughter lacks at birth and acquires only after maturation (Graser et al., 2007).</w:t>
      </w:r>
    </w:p>
    <w:p w:rsidR="00000000" w:rsidDel="00000000" w:rsidP="00000000" w:rsidRDefault="00000000" w:rsidRPr="00000000" w14:paraId="00000011">
      <w:pPr>
        <w:numPr>
          <w:ilvl w:val="0"/>
          <w:numId w:val="3"/>
        </w:numPr>
        <w:spacing w:after="200" w:before="0" w:lineRule="auto"/>
        <w:ind w:left="720" w:hanging="360"/>
        <w:jc w:val="both"/>
      </w:pPr>
      <w:r w:rsidDel="00000000" w:rsidR="00000000" w:rsidRPr="00000000">
        <w:rPr>
          <w:b w:val="1"/>
          <w:bCs w:val="1"/>
          <w:rtl w:val="0"/>
        </w:rPr>
        <w:t xml:space="preserve">Functional</w:t>
      </w:r>
      <w:r w:rsidDel="00000000" w:rsidR="00000000" w:rsidRPr="00000000">
        <w:rPr>
          <w:rtl w:val="0"/>
        </w:rPr>
        <w:t xml:space="preserve">: The mother centriole is the dominant Microtubule Organizing Center (MTOC) in interphase; its ablation collapses the microtubule network, while ablation of the daughter does not (Piel et al., 2000). It is also the exclusive site for basal body formation and primary cilium initiation (Goetz &amp; Anderson, 2010).</w:t>
      </w:r>
    </w:p>
    <w:p w:rsidR="00000000" w:rsidDel="00000000" w:rsidP="00000000" w:rsidRDefault="00000000" w:rsidRPr="00000000" w14:paraId="00000012">
      <w:pPr>
        <w:numPr>
          <w:ilvl w:val="0"/>
          <w:numId w:val="3"/>
        </w:numPr>
        <w:spacing w:after="200" w:lineRule="auto"/>
        <w:ind w:left="720" w:hanging="360"/>
        <w:jc w:val="both"/>
      </w:pPr>
      <w:r w:rsidDel="00000000" w:rsidR="00000000" w:rsidRPr="00000000">
        <w:rPr>
          <w:b w:val="1"/>
          <w:bCs w:val="1"/>
          <w:rtl w:val="0"/>
        </w:rPr>
        <w:t xml:space="preserve">Dynamic</w:t>
      </w:r>
      <w:r w:rsidDel="00000000" w:rsidR="00000000" w:rsidRPr="00000000">
        <w:rPr>
          <w:rtl w:val="0"/>
        </w:rPr>
        <w:t xml:space="preserve">: The mother centriole is more stable, with slower protein turnover and greater resistance to chemical or thermal stress than its dynamic, stress-sensitive daughter counterpart (Mennella et al., 2013; Vertii et al., 2016).</w:t>
      </w:r>
    </w:p>
    <w:p w:rsidR="00000000" w:rsidDel="00000000" w:rsidP="00000000" w:rsidRDefault="00000000" w:rsidRPr="00000000" w14:paraId="00000013">
      <w:pPr>
        <w:pStyle w:val="Heading1"/>
        <w:spacing w:after="200" w:lineRule="auto"/>
        <w:jc w:val="both"/>
        <w:rPr/>
      </w:pPr>
      <w:bookmarkStart w:colFirst="0" w:colLast="0" w:name="_v6pt6pamkrtd" w:id="5"/>
      <w:bookmarkEnd w:id="5"/>
      <w:r w:rsidDel="00000000" w:rsidR="00000000" w:rsidRPr="00000000">
        <w:rPr>
          <w:rtl w:val="0"/>
        </w:rPr>
        <w:t xml:space="preserve">Mechanisms: Programming a Cellular Hierarchy</w:t>
      </w:r>
    </w:p>
    <w:p w:rsidR="00000000" w:rsidDel="00000000" w:rsidP="00000000" w:rsidRDefault="00000000" w:rsidRPr="00000000" w14:paraId="00000014">
      <w:pPr>
        <w:spacing w:after="200" w:lineRule="auto"/>
        <w:jc w:val="both"/>
        <w:rPr/>
      </w:pPr>
      <w:r w:rsidDel="00000000" w:rsidR="00000000" w:rsidRPr="00000000">
        <w:rPr>
          <w:rtl w:val="0"/>
        </w:rPr>
        <w:t xml:space="preserve">This non-equivalence is actively programmed:</w:t>
      </w:r>
    </w:p>
    <w:p w:rsidR="00000000" w:rsidDel="00000000" w:rsidP="00000000" w:rsidRDefault="00000000" w:rsidRPr="00000000" w14:paraId="00000015">
      <w:pPr>
        <w:numPr>
          <w:ilvl w:val="0"/>
          <w:numId w:val="2"/>
        </w:numPr>
        <w:spacing w:after="200" w:lineRule="auto"/>
        <w:ind w:left="720" w:hanging="360"/>
        <w:jc w:val="both"/>
      </w:pPr>
      <w:r w:rsidDel="00000000" w:rsidR="00000000" w:rsidRPr="00000000">
        <w:rPr>
          <w:b w:val="1"/>
          <w:bCs w:val="1"/>
          <w:rtl w:val="0"/>
        </w:rPr>
        <w:t xml:space="preserve">A Sequential Maturation Program</w:t>
      </w:r>
      <w:r w:rsidDel="00000000" w:rsidR="00000000" w:rsidRPr="00000000">
        <w:rPr>
          <w:rtl w:val="0"/>
        </w:rPr>
        <w:t xml:space="preserve">: Kinases like PLK1 and ubiquitin ligases (e.g., SCF-FBXW5) orchestrate a time-delayed acquisition of maternal features, such as the removal of the inhibitor CP110 from the future basal body (Kong et al., 2014; Spektor et al., 2007).</w:t>
      </w:r>
    </w:p>
    <w:p w:rsidR="00000000" w:rsidDel="00000000" w:rsidP="00000000" w:rsidRDefault="00000000" w:rsidRPr="00000000" w14:paraId="00000016">
      <w:pPr>
        <w:numPr>
          <w:ilvl w:val="0"/>
          <w:numId w:val="2"/>
        </w:numPr>
        <w:spacing w:after="200" w:before="0" w:lineRule="auto"/>
        <w:ind w:left="720" w:hanging="360"/>
        <w:jc w:val="both"/>
      </w:pPr>
      <w:r w:rsidDel="00000000" w:rsidR="00000000" w:rsidRPr="00000000">
        <w:rPr>
          <w:b w:val="1"/>
          <w:bCs w:val="1"/>
          <w:rtl w:val="0"/>
        </w:rPr>
        <w:t xml:space="preserve">An "Epigenetic" PTM Code</w:t>
      </w:r>
      <w:r w:rsidDel="00000000" w:rsidR="00000000" w:rsidRPr="00000000">
        <w:rPr>
          <w:rtl w:val="0"/>
        </w:rPr>
        <w:t xml:space="preserve">: The mother centriole’s microtubules are marked by unique post-translational modifications, notably polyglutamylation. This creates a biochemical landscape that selectively recruits effector proteins (e.g., BBSome components), linking structure to function (Magiera &amp; Janke, 2014). The accumulation of these modifications can be modeled as a sigmoidal function of centriole age.</w:t>
      </w:r>
    </w:p>
    <w:p w:rsidR="00000000" w:rsidDel="00000000" w:rsidP="00000000" w:rsidRDefault="00000000" w:rsidRPr="00000000" w14:paraId="00000017">
      <w:pPr>
        <w:numPr>
          <w:ilvl w:val="0"/>
          <w:numId w:val="2"/>
        </w:numPr>
        <w:spacing w:after="200" w:lineRule="auto"/>
        <w:ind w:left="720" w:hanging="360"/>
        <w:jc w:val="both"/>
      </w:pPr>
      <w:r w:rsidDel="00000000" w:rsidR="00000000" w:rsidRPr="00000000">
        <w:rPr>
          <w:b w:val="1"/>
          <w:bCs w:val="1"/>
          <w:rtl w:val="0"/>
        </w:rPr>
        <w:t xml:space="preserve">Asymmetric Inheritance Machinery</w:t>
      </w:r>
      <w:r w:rsidDel="00000000" w:rsidR="00000000" w:rsidRPr="00000000">
        <w:rPr>
          <w:rtl w:val="0"/>
        </w:rPr>
        <w:t xml:space="preserve">: In stem cells, polarity complexes (Par/aPKC) and cortical tethers ensure the biased segregation of the old mother centriole to the self-renewing daughter cell, directly linking centriole age to cell fate (Yamashita et al., 2007; Siller &amp; Doe, 2009).</w:t>
      </w:r>
    </w:p>
    <w:p w:rsidR="00000000" w:rsidDel="00000000" w:rsidP="00000000" w:rsidRDefault="00000000" w:rsidRPr="00000000" w14:paraId="00000018">
      <w:pPr>
        <w:pStyle w:val="Heading1"/>
        <w:spacing w:after="200" w:lineRule="auto"/>
        <w:jc w:val="both"/>
        <w:rPr/>
      </w:pPr>
      <w:bookmarkStart w:colFirst="0" w:colLast="0" w:name="_b7pp6vbka6if" w:id="6"/>
      <w:bookmarkEnd w:id="6"/>
      <w:r w:rsidDel="00000000" w:rsidR="00000000" w:rsidRPr="00000000">
        <w:rPr>
          <w:rtl w:val="0"/>
        </w:rPr>
        <w:t xml:space="preserve">Comparative Biology: A Universal Principle Adapted for Function</w:t>
      </w:r>
    </w:p>
    <w:p w:rsidR="00000000" w:rsidDel="00000000" w:rsidP="00000000" w:rsidRDefault="00000000" w:rsidRPr="00000000" w14:paraId="00000019">
      <w:pPr>
        <w:spacing w:after="200" w:lineRule="auto"/>
        <w:jc w:val="both"/>
        <w:rPr/>
      </w:pPr>
      <w:r w:rsidDel="00000000" w:rsidR="00000000" w:rsidRPr="00000000">
        <w:rPr>
          <w:rtl w:val="0"/>
        </w:rPr>
        <w:t xml:space="preserve">The Master-Apprentice dynamic is adapted across biology:</w:t>
      </w:r>
    </w:p>
    <w:p w:rsidR="00000000" w:rsidDel="00000000" w:rsidP="00000000" w:rsidRDefault="00000000" w:rsidRPr="00000000" w14:paraId="0000001A">
      <w:pPr>
        <w:numPr>
          <w:ilvl w:val="0"/>
          <w:numId w:val="1"/>
        </w:numPr>
        <w:spacing w:after="200" w:lineRule="auto"/>
        <w:ind w:left="720" w:hanging="360"/>
        <w:jc w:val="both"/>
      </w:pPr>
      <w:r w:rsidDel="00000000" w:rsidR="00000000" w:rsidRPr="00000000">
        <w:rPr>
          <w:b w:val="1"/>
          <w:bCs w:val="1"/>
          <w:rtl w:val="0"/>
        </w:rPr>
        <w:t xml:space="preserve">Fibroblasts</w:t>
      </w:r>
      <w:r w:rsidDel="00000000" w:rsidR="00000000" w:rsidRPr="00000000">
        <w:rPr>
          <w:rtl w:val="0"/>
        </w:rPr>
        <w:t xml:space="preserve">: Only the mother centriole forms a cilium, making it the exclusive gateway for Hedgehog signaling (Goetz &amp; Anderson, 2010).</w:t>
      </w:r>
    </w:p>
    <w:p w:rsidR="00000000" w:rsidDel="00000000" w:rsidP="00000000" w:rsidRDefault="00000000" w:rsidRPr="00000000" w14:paraId="0000001B">
      <w:pPr>
        <w:numPr>
          <w:ilvl w:val="0"/>
          <w:numId w:val="1"/>
        </w:numPr>
        <w:spacing w:after="200" w:before="0" w:lineRule="auto"/>
        <w:ind w:left="720" w:hanging="360"/>
        <w:jc w:val="both"/>
      </w:pPr>
      <w:r w:rsidDel="00000000" w:rsidR="00000000" w:rsidRPr="00000000">
        <w:rPr>
          <w:b w:val="1"/>
          <w:bCs w:val="1"/>
          <w:rtl w:val="0"/>
        </w:rPr>
        <w:t xml:space="preserve">Neural Stem Cells</w:t>
      </w:r>
      <w:r w:rsidDel="00000000" w:rsidR="00000000" w:rsidRPr="00000000">
        <w:rPr>
          <w:rtl w:val="0"/>
        </w:rPr>
        <w:t xml:space="preserve">: Asymmetric inheritance of the old mother centriole in Drosophila neuroblasts and mammalian radial glia maintains stemness and controls neurogenic divisions (Yamashita et al., 2007; Paridaen et al., 2013).</w:t>
      </w:r>
    </w:p>
    <w:p w:rsidR="00000000" w:rsidDel="00000000" w:rsidP="00000000" w:rsidRDefault="00000000" w:rsidRPr="00000000" w14:paraId="0000001C">
      <w:pPr>
        <w:numPr>
          <w:ilvl w:val="0"/>
          <w:numId w:val="1"/>
        </w:numPr>
        <w:spacing w:after="200" w:before="0" w:lineRule="auto"/>
        <w:ind w:left="720" w:hanging="360"/>
        <w:jc w:val="both"/>
      </w:pPr>
      <w:r w:rsidDel="00000000" w:rsidR="00000000" w:rsidRPr="00000000">
        <w:rPr>
          <w:b w:val="1"/>
          <w:bCs w:val="1"/>
          <w:rtl w:val="0"/>
        </w:rPr>
        <w:t xml:space="preserve">Sperm</w:t>
      </w:r>
      <w:r w:rsidDel="00000000" w:rsidR="00000000" w:rsidRPr="00000000">
        <w:rPr>
          <w:rtl w:val="0"/>
        </w:rPr>
        <w:t xml:space="preserve">: Extreme specialization occurs where only one centriole (derived from the paternal mother) templates the motile flagellum axoneme (Avidor-Reiss &amp; Fishman, 2019).</w:t>
      </w:r>
    </w:p>
    <w:p w:rsidR="00000000" w:rsidDel="00000000" w:rsidP="00000000" w:rsidRDefault="00000000" w:rsidRPr="00000000" w14:paraId="0000001D">
      <w:pPr>
        <w:numPr>
          <w:ilvl w:val="0"/>
          <w:numId w:val="1"/>
        </w:numPr>
        <w:spacing w:after="200" w:lineRule="auto"/>
        <w:ind w:left="720" w:hanging="360"/>
        <w:jc w:val="both"/>
      </w:pPr>
      <w:r w:rsidDel="00000000" w:rsidR="00000000" w:rsidRPr="00000000">
        <w:rPr>
          <w:b w:val="1"/>
          <w:bCs w:val="1"/>
          <w:rtl w:val="0"/>
        </w:rPr>
        <w:t xml:space="preserve">Epithelia</w:t>
      </w:r>
      <w:r w:rsidDel="00000000" w:rsidR="00000000" w:rsidRPr="00000000">
        <w:rPr>
          <w:rtl w:val="0"/>
        </w:rPr>
        <w:t xml:space="preserve">: Mother centriole-dominated MTOC activity establishes apicobasal microtubule arrays essential for polarized transport and barrier function (Muroyama &amp; Lechler, 2017).</w:t>
      </w:r>
    </w:p>
    <w:p w:rsidR="00000000" w:rsidDel="00000000" w:rsidP="00000000" w:rsidRDefault="00000000" w:rsidRPr="00000000" w14:paraId="0000001E">
      <w:pPr>
        <w:pStyle w:val="Heading1"/>
        <w:spacing w:after="200" w:lineRule="auto"/>
        <w:jc w:val="both"/>
        <w:rPr/>
      </w:pPr>
      <w:bookmarkStart w:colFirst="0" w:colLast="0" w:name="_8fea4ipia1z8" w:id="7"/>
      <w:bookmarkEnd w:id="7"/>
      <w:r w:rsidDel="00000000" w:rsidR="00000000" w:rsidRPr="00000000">
        <w:rPr>
          <w:rtl w:val="0"/>
        </w:rPr>
        <w:t xml:space="preserve">Pathology: When Hierarchy Fails</w:t>
      </w:r>
    </w:p>
    <w:p w:rsidR="00000000" w:rsidDel="00000000" w:rsidP="00000000" w:rsidRDefault="00000000" w:rsidRPr="00000000" w14:paraId="0000001F">
      <w:pPr>
        <w:spacing w:after="200" w:lineRule="auto"/>
        <w:jc w:val="both"/>
        <w:rPr/>
      </w:pPr>
      <w:r w:rsidDel="00000000" w:rsidR="00000000" w:rsidRPr="00000000">
        <w:rPr>
          <w:rtl w:val="0"/>
        </w:rPr>
        <w:t xml:space="preserve">Disrupting centriolar asymmetry is a direct cause of disease:</w:t>
      </w:r>
    </w:p>
    <w:p w:rsidR="00000000" w:rsidDel="00000000" w:rsidP="00000000" w:rsidRDefault="00000000" w:rsidRPr="00000000" w14:paraId="00000020">
      <w:pPr>
        <w:numPr>
          <w:ilvl w:val="0"/>
          <w:numId w:val="5"/>
        </w:numPr>
        <w:spacing w:after="200" w:lineRule="auto"/>
        <w:ind w:left="720" w:hanging="360"/>
        <w:jc w:val="both"/>
      </w:pPr>
      <w:r w:rsidDel="00000000" w:rsidR="00000000" w:rsidRPr="00000000">
        <w:rPr>
          <w:b w:val="1"/>
          <w:bCs w:val="1"/>
          <w:rtl w:val="0"/>
        </w:rPr>
        <w:t xml:space="preserve">Ciliopathies</w:t>
      </w:r>
      <w:r w:rsidDel="00000000" w:rsidR="00000000" w:rsidRPr="00000000">
        <w:rPr>
          <w:rtl w:val="0"/>
        </w:rPr>
        <w:t xml:space="preserve">: Mutations in mother-centriole maturation genes (e.g., CEP164, CEP83) prevent ciliary docking, causing syndromes like Joubert and Meckel (Chaki et al., 2012).</w:t>
      </w:r>
    </w:p>
    <w:p w:rsidR="00000000" w:rsidDel="00000000" w:rsidP="00000000" w:rsidRDefault="00000000" w:rsidRPr="00000000" w14:paraId="00000021">
      <w:pPr>
        <w:numPr>
          <w:ilvl w:val="0"/>
          <w:numId w:val="5"/>
        </w:numPr>
        <w:spacing w:after="200" w:before="0" w:lineRule="auto"/>
        <w:ind w:left="720" w:hanging="360"/>
        <w:jc w:val="both"/>
      </w:pPr>
      <w:r w:rsidDel="00000000" w:rsidR="00000000" w:rsidRPr="00000000">
        <w:rPr>
          <w:b w:val="1"/>
          <w:bCs w:val="1"/>
          <w:rtl w:val="0"/>
        </w:rPr>
        <w:t xml:space="preserve">Microcephaly</w:t>
      </w:r>
      <w:r w:rsidDel="00000000" w:rsidR="00000000" w:rsidRPr="00000000">
        <w:rPr>
          <w:rtl w:val="0"/>
        </w:rPr>
        <w:t xml:space="preserve">: Defects in asymmetric centriole inheritance in neural progenitors deplete the stem cell pool, leading to a reduced brain size (Paridaen et al., 2013).</w:t>
      </w:r>
    </w:p>
    <w:p w:rsidR="00000000" w:rsidDel="00000000" w:rsidP="00000000" w:rsidRDefault="00000000" w:rsidRPr="00000000" w14:paraId="00000022">
      <w:pPr>
        <w:numPr>
          <w:ilvl w:val="0"/>
          <w:numId w:val="5"/>
        </w:numPr>
        <w:spacing w:after="200" w:lineRule="auto"/>
        <w:ind w:left="720" w:hanging="360"/>
        <w:jc w:val="both"/>
      </w:pPr>
      <w:r w:rsidDel="00000000" w:rsidR="00000000" w:rsidRPr="00000000">
        <w:rPr>
          <w:b w:val="1"/>
          <w:bCs w:val="1"/>
          <w:rtl w:val="0"/>
        </w:rPr>
        <w:t xml:space="preserve">Cancer</w:t>
      </w:r>
      <w:r w:rsidDel="00000000" w:rsidR="00000000" w:rsidRPr="00000000">
        <w:rPr>
          <w:rFonts w:ascii="Arial Unicode MS" w:cs="Arial Unicode MS" w:eastAsia="Arial Unicode MS" w:hAnsi="Arial Unicode MS"/>
          <w:rtl w:val="0"/>
        </w:rPr>
        <w:t xml:space="preserve">: Loss of asymmetry results in structural aberrations, aberrant multiciliation or cilia loss, and—critically—chromosomal instability. Centrosomes with unequal nucleation capacity generate asymmetric mitotic spindles, promoting merotelic attachments and aneuploidy. The risk of chromosome mis-segregation (CIN) scales with the difference in microtubule nucleation capacity (ΔN) between spindle poles: CIN_risk ∝ f(ΔN) (Ganem et al., 2009; Prosser &amp; Pelletier, 2020).</w:t>
      </w:r>
    </w:p>
    <w:p w:rsidR="00000000" w:rsidDel="00000000" w:rsidP="00000000" w:rsidRDefault="00000000" w:rsidRPr="00000000" w14:paraId="00000023">
      <w:pPr>
        <w:pStyle w:val="Heading1"/>
        <w:spacing w:after="200" w:lineRule="auto"/>
        <w:jc w:val="both"/>
        <w:rPr/>
      </w:pPr>
      <w:bookmarkStart w:colFirst="0" w:colLast="0" w:name="_rfgydwr415gv" w:id="8"/>
      <w:bookmarkEnd w:id="8"/>
      <w:r w:rsidDel="00000000" w:rsidR="00000000" w:rsidRPr="00000000">
        <w:rPr>
          <w:rtl w:val="0"/>
        </w:rPr>
        <w:t xml:space="preserve">The Master-Apprentice Model: An Integrative Conclusion</w:t>
      </w:r>
    </w:p>
    <w:p w:rsidR="00000000" w:rsidDel="00000000" w:rsidP="00000000" w:rsidRDefault="00000000" w:rsidRPr="00000000" w14:paraId="00000024">
      <w:pPr>
        <w:spacing w:after="200" w:lineRule="auto"/>
        <w:jc w:val="both"/>
        <w:rPr/>
      </w:pPr>
      <w:r w:rsidDel="00000000" w:rsidR="00000000" w:rsidRPr="00000000">
        <w:rPr>
          <w:rtl w:val="0"/>
        </w:rPr>
        <w:t xml:space="preserve">We propose this model to encapsulate the data: The mother centriole ("Master") is a stable, multifunctional organizer and signaler. The daughter centriole ("Apprentice") is a plastic entity in directed maturation, its fate determined by cellular context. This relationship establishes centriolar asymmetry as a primary cause, not a consequence, of cellular polarity. Forcing equivalence—making two Masters or two Apprentices—leads to a loss of cellular identity, manifesting as disease. This hierarchy, evolutionarily tuned for asymmetric division, provides the fundamental anisotropic framework upon which metazoan complexity is built.</w:t>
      </w:r>
    </w:p>
    <w:p w:rsidR="00000000" w:rsidDel="00000000" w:rsidP="00000000" w:rsidRDefault="00000000" w:rsidRPr="00000000" w14:paraId="00000025">
      <w:pPr>
        <w:pStyle w:val="Heading1"/>
        <w:spacing w:after="200" w:lineRule="auto"/>
        <w:jc w:val="both"/>
        <w:rPr/>
      </w:pPr>
      <w:bookmarkStart w:colFirst="0" w:colLast="0" w:name="_3ur4gbtvnijg" w:id="9"/>
      <w:bookmarkEnd w:id="9"/>
      <w:r w:rsidDel="00000000" w:rsidR="00000000" w:rsidRPr="00000000">
        <w:rPr>
          <w:rtl w:val="0"/>
        </w:rPr>
        <w:t xml:space="preserve">References</w:t>
      </w:r>
    </w:p>
    <w:p w:rsidR="00000000" w:rsidDel="00000000" w:rsidP="00000000" w:rsidRDefault="00000000" w:rsidRPr="00000000" w14:paraId="00000026">
      <w:pPr>
        <w:spacing w:after="200" w:lineRule="auto"/>
        <w:jc w:val="both"/>
        <w:rPr>
          <w:sz w:val="18"/>
          <w:szCs w:val="18"/>
        </w:rPr>
      </w:pPr>
      <w:r w:rsidDel="00000000" w:rsidR="00000000" w:rsidRPr="00000000">
        <w:rPr>
          <w:sz w:val="18"/>
          <w:szCs w:val="18"/>
          <w:rtl w:val="0"/>
        </w:rPr>
        <w:t xml:space="preserve">Allen, R. D. (1969). The morphogenesis of basal bodies and accessory structures of the cortex of the ciliated protozoan Tetrahymena pyriformis. The Journal of Cell Biology, 40(3), 716–733.</w:t>
        <w:br w:type="textWrapping"/>
        <w:br w:type="textWrapping"/>
        <w:t xml:space="preserve">Anderson, C. T., &amp; Stearns, T. (2009). Centriole age underlies asynchronous primary cilium growth in mammalian cells. Current Biology, 19(17), 1498–1502.</w:t>
        <w:br w:type="textWrapping"/>
        <w:br w:type="textWrapping"/>
        <w:t xml:space="preserve">Avidor-Reiss, T., &amp; Fishman, E. L. (2019). Atypical centrioles during sexual reproduction. Frontiers in Cell and Developmental Biology, 7, 10.</w:t>
        <w:br w:type="textWrapping"/>
        <w:br w:type="textWrapping"/>
        <w:t xml:space="preserve">Bornens, M. (2012). The centrosome in cells and organisms. Science, 335(6067), 422–426.</w:t>
        <w:br w:type="textWrapping"/>
        <w:t xml:space="preserve">Chaki, M., Airik, R., Ghosh, A. K., ... &amp; Hildebrandt, F. (2012). Exome capture reveals ZNF423 and CEP164 mutations, linking renal ciliopathies to DNA damage response signaling. Cell, 150(3), 533–548.</w:t>
        <w:br w:type="textWrapping"/>
        <w:br w:type="textWrapping"/>
        <w:t xml:space="preserve">Ganem, N. J., Godinho, S. A., &amp; Pellman, D. (2009). A mechanism linking extra centrosomes to chromosomal instability. Nature, 460(7252), 278–282.</w:t>
        <w:br w:type="textWrapping"/>
        <w:br w:type="textWrapping"/>
        <w:t xml:space="preserve">Goetz, S. C., &amp; Anderson, K. V. (2010). The primary cilium: a signalling centre during vertebrate development. Nature Reviews Genetics, 11(5), 331–344.</w:t>
        <w:br w:type="textWrapping"/>
        <w:br w:type="textWrapping"/>
        <w:t xml:space="preserve">Goetz, S. C., et al. (2012). The spinocerebellar ataxia-associated gene Tau tubulin kinase 2 controls the initiation of ciliogenesis. Cell, 151(4), 847–858.</w:t>
        <w:br w:type="textWrapping"/>
        <w:br w:type="textWrapping"/>
        <w:t xml:space="preserve">Graser, S., et al. (2007). Cep164, a novel centriole appendage protein required for primary cilium formation. The Journal of Cell Biology, 179(2), 321–330.</w:t>
        <w:br w:type="textWrapping"/>
        <w:br w:type="textWrapping"/>
        <w:t xml:space="preserve">Gupta, G. D., et al. (2015). A dynamic protein interaction landscape of the human centrosome-cilium interface. Cell, 163(6), 1484–1499.</w:t>
        <w:br w:type="textWrapping"/>
        <w:br w:type="textWrapping"/>
        <w:t xml:space="preserve">Jakobsen, L., et al. (2011). Novel asymmetrically localizing components of human centrosomes identified by complementary proteomics methods. The EMBO Journal, 30(8), 1520–1535.</w:t>
        <w:br w:type="textWrapping"/>
        <w:br w:type="textWrapping"/>
        <w:t xml:space="preserve">Kong, D., et al. (2014). Centriole maturation requires regulated Plk1 activity during two consecutive cell cycles. Journal of Cell Biology, 206(7), 855–865.</w:t>
        <w:br w:type="textWrapping"/>
        <w:br w:type="textWrapping"/>
        <w:t xml:space="preserve">Magiera, M. M., &amp; Janke, C. (2014). Post-translational modifications of tubulin. Current Biology, 24(9), R351–R354.</w:t>
        <w:br w:type="textWrapping"/>
        <w:br w:type="textWrapping"/>
        <w:t xml:space="preserve">Mennella, V., et al. (2013). Subdiffraction-resolution fluorescence microscopy reveals a domain of the centrosome critical for pericentriolar material organization. Nature Cell Biology, 15(10), 1159–1168.</w:t>
        <w:br w:type="textWrapping"/>
        <w:br w:type="textWrapping"/>
        <w:t xml:space="preserve">Muroyama, A., &amp; Lechler, T. (2017). Microtubule organization, dynamics and functions in differentiated cells. Development, 144(17), 3012–3021.</w:t>
        <w:br w:type="textWrapping"/>
        <w:br w:type="textWrapping"/>
        <w:t xml:space="preserve">Nigg, E. A., &amp; Holland, A. J. (2018). Once and only once: mechanisms of centriole duplication and their deregulation in disease. Nature Reviews Molecular Cell Biology, 19(5), 297–312.</w:t>
        <w:br w:type="textWrapping"/>
        <w:br w:type="textWrapping"/>
        <w:t xml:space="preserve">Paridaen, J. T., et al. (2013). Asymmetric inheritance of centrosome-associated primary cilium membrane directs ciliogenesis after cell division. Cell, 155(2), 333–344.</w:t>
        <w:br w:type="textWrapping"/>
        <w:br w:type="textWrapping"/>
        <w:t xml:space="preserve">Piel, M., et al. (2000). The respective contributions of the mother and daughter centrioles to centrosome activity and behavior in vertebrate cells. Journal of Cell Biology, 149(2), 317–330.</w:t>
        <w:br w:type="textWrapping"/>
        <w:br w:type="textWrapping"/>
        <w:t xml:space="preserve">Prosser, S. L., &amp; Pelletier, L. (2020). Centriolar satellite biogenesis and function in vertebrate cells. Journal of Cell Science, 133(3), jcs239566.</w:t>
        <w:br w:type="textWrapping"/>
        <w:br w:type="textWrapping"/>
        <w:t xml:space="preserve">Siller, K. H., &amp; Doe, C. Q. (2009). Spindle orientation during asymmetric cell division. Nature Cell Biology, 11(4), 365–374.</w:t>
        <w:br w:type="textWrapping"/>
        <w:br w:type="textWrapping"/>
        <w:t xml:space="preserve">Spektor, A., et al. (2007). Cep97 and CP110 suppress a cilia assembly program. Cell, 130(4), 678–690.</w:t>
        <w:br w:type="textWrapping"/>
        <w:br w:type="textWrapping"/>
        <w:t xml:space="preserve">Tanos, B. E., et al. (2013). Centriole distal appendages promote membrane docking, leading to cilia initiation. Genes &amp; Development, 27(2), 163–168.</w:t>
      </w:r>
    </w:p>
    <w:p w:rsidR="00000000" w:rsidDel="00000000" w:rsidP="00000000" w:rsidRDefault="00000000" w:rsidRPr="00000000" w14:paraId="00000027">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w:t>
      </w:r>
      <w:hyperlink r:id="rId7">
        <w:r w:rsidDel="00000000" w:rsidR="00000000" w:rsidRPr="00000000">
          <w:rPr>
            <w:color w:val="1155cc"/>
            <w:sz w:val="18"/>
            <w:szCs w:val="18"/>
            <w:u w:val="single"/>
            <w:rtl w:val="0"/>
          </w:rPr>
          <w:t xml:space="preserve">https://doi.org/10.65649/yx9sn772</w:t>
        </w:r>
      </w:hyperlink>
      <w:r w:rsidDel="00000000" w:rsidR="00000000" w:rsidRPr="00000000">
        <w:rPr>
          <w:sz w:val="18"/>
          <w:szCs w:val="18"/>
          <w:rtl w:val="0"/>
        </w:rPr>
        <w:br w:type="textWrapping"/>
      </w:r>
      <w:r w:rsidDel="00000000" w:rsidR="00000000" w:rsidRPr="00000000">
        <w:rPr>
          <w:sz w:val="18"/>
          <w:szCs w:val="18"/>
          <w:rtl w:val="0"/>
        </w:rPr>
        <w:br w:type="textWrapping"/>
        <w:t xml:space="preserve">Vertii, A., et al. (2016). The centrosome, a multitalented renaissance organelle. Cold Spring Harbor Perspectives in Biology, 8(12), a025049.</w:t>
        <w:br w:type="textWrapping"/>
        <w:br w:type="textWrapping"/>
        <w:t xml:space="preserve">Vorobjev, I. A., &amp; Chentsov, Y. S. (1982). Centrioles in the cell cycle. I. Epithelial cells. Journal of Cell Biology, 93(3), 938–949.</w:t>
        <w:br w:type="textWrapping"/>
        <w:br w:type="textWrapping"/>
        <w:t xml:space="preserve">Wang, L., et al. (2014). Tethering of an E3 ligase by PCM1 regulates the abundance of centrosomal KIAA0586/Talpid3 and promotes ciliogenesis. eLife, 3, e03130.</w:t>
        <w:br w:type="textWrapping"/>
        <w:br w:type="textWrapping"/>
        <w:t xml:space="preserve">Yamashita, Y. M., et al. (2007). Asymmetric inheritance of mother versus daughter centrosome in stem cell division. Science, 315(5811), 518–521.</w:t>
      </w:r>
    </w:p>
    <w:p w:rsidR="00000000" w:rsidDel="00000000" w:rsidP="00000000" w:rsidRDefault="00000000" w:rsidRPr="00000000" w14:paraId="00000028">
      <w:pPr>
        <w:pStyle w:val="Heading2"/>
        <w:spacing w:after="120" w:lineRule="auto"/>
        <w:rPr>
          <w:sz w:val="18"/>
          <w:szCs w:val="18"/>
        </w:rPr>
      </w:pPr>
      <w:bookmarkStart w:colFirst="0" w:colLast="0" w:name="_3z976fx388yc" w:id="10"/>
      <w:bookmarkEnd w:id="10"/>
      <w:r w:rsidDel="00000000" w:rsidR="00000000" w:rsidRPr="00000000">
        <w:rPr>
          <w:sz w:val="18"/>
          <w:szCs w:val="18"/>
          <w:rtl w:val="0"/>
        </w:rPr>
        <w:t xml:space="preserve">Ethics approval and consent to participate</w:t>
      </w:r>
    </w:p>
    <w:p w:rsidR="00000000" w:rsidDel="00000000" w:rsidP="00000000" w:rsidRDefault="00000000" w:rsidRPr="00000000" w14:paraId="00000029">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2A">
      <w:pPr>
        <w:pStyle w:val="Heading2"/>
        <w:spacing w:after="120" w:lineRule="auto"/>
        <w:rPr>
          <w:sz w:val="18"/>
          <w:szCs w:val="18"/>
        </w:rPr>
      </w:pPr>
      <w:bookmarkStart w:colFirst="0" w:colLast="0" w:name="_c2qnszhlolnr" w:id="11"/>
      <w:bookmarkEnd w:id="11"/>
      <w:r w:rsidDel="00000000" w:rsidR="00000000" w:rsidRPr="00000000">
        <w:rPr>
          <w:sz w:val="18"/>
          <w:szCs w:val="18"/>
          <w:rtl w:val="0"/>
        </w:rPr>
        <w:t xml:space="preserve">Consent for publication</w:t>
      </w:r>
    </w:p>
    <w:p w:rsidR="00000000" w:rsidDel="00000000" w:rsidP="00000000" w:rsidRDefault="00000000" w:rsidRPr="00000000" w14:paraId="0000002B">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2C">
      <w:pPr>
        <w:pStyle w:val="Heading2"/>
        <w:spacing w:after="120" w:lineRule="auto"/>
        <w:rPr>
          <w:sz w:val="18"/>
          <w:szCs w:val="18"/>
        </w:rPr>
      </w:pPr>
      <w:bookmarkStart w:colFirst="0" w:colLast="0" w:name="_313yqiad4s3m" w:id="12"/>
      <w:bookmarkEnd w:id="12"/>
      <w:r w:rsidDel="00000000" w:rsidR="00000000" w:rsidRPr="00000000">
        <w:rPr>
          <w:sz w:val="18"/>
          <w:szCs w:val="18"/>
          <w:rtl w:val="0"/>
        </w:rPr>
        <w:t xml:space="preserve">Availability of data and materials</w:t>
      </w:r>
    </w:p>
    <w:p w:rsidR="00000000" w:rsidDel="00000000" w:rsidP="00000000" w:rsidRDefault="00000000" w:rsidRPr="00000000" w14:paraId="0000002D">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2E">
      <w:pPr>
        <w:pStyle w:val="Heading2"/>
        <w:spacing w:after="120" w:lineRule="auto"/>
        <w:rPr>
          <w:sz w:val="18"/>
          <w:szCs w:val="18"/>
        </w:rPr>
      </w:pPr>
      <w:bookmarkStart w:colFirst="0" w:colLast="0" w:name="_p44v2kb3kzjl" w:id="13"/>
      <w:bookmarkEnd w:id="13"/>
      <w:r w:rsidDel="00000000" w:rsidR="00000000" w:rsidRPr="00000000">
        <w:rPr>
          <w:sz w:val="18"/>
          <w:szCs w:val="18"/>
          <w:rtl w:val="0"/>
        </w:rPr>
        <w:t xml:space="preserve">Competing interests</w:t>
      </w:r>
    </w:p>
    <w:p w:rsidR="00000000" w:rsidDel="00000000" w:rsidP="00000000" w:rsidRDefault="00000000" w:rsidRPr="00000000" w14:paraId="0000002F">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30">
      <w:pPr>
        <w:pStyle w:val="Heading2"/>
        <w:spacing w:after="120" w:lineRule="auto"/>
        <w:rPr>
          <w:sz w:val="18"/>
          <w:szCs w:val="18"/>
        </w:rPr>
      </w:pPr>
      <w:bookmarkStart w:colFirst="0" w:colLast="0" w:name="_8vwqv7qd8i5u" w:id="14"/>
      <w:bookmarkEnd w:id="14"/>
      <w:r w:rsidDel="00000000" w:rsidR="00000000" w:rsidRPr="00000000">
        <w:rPr>
          <w:sz w:val="18"/>
          <w:szCs w:val="18"/>
          <w:rtl w:val="0"/>
        </w:rPr>
        <w:t xml:space="preserve">Funding</w:t>
      </w:r>
    </w:p>
    <w:p w:rsidR="00000000" w:rsidDel="00000000" w:rsidP="00000000" w:rsidRDefault="00000000" w:rsidRPr="00000000" w14:paraId="00000031">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32">
      <w:pPr>
        <w:pStyle w:val="Heading2"/>
        <w:spacing w:after="120" w:lineRule="auto"/>
        <w:rPr>
          <w:sz w:val="18"/>
          <w:szCs w:val="18"/>
        </w:rPr>
      </w:pPr>
      <w:bookmarkStart w:colFirst="0" w:colLast="0" w:name="_c2vl73dc2me0" w:id="15"/>
      <w:bookmarkEnd w:id="15"/>
      <w:r w:rsidDel="00000000" w:rsidR="00000000" w:rsidRPr="00000000">
        <w:rPr>
          <w:sz w:val="18"/>
          <w:szCs w:val="18"/>
          <w:rtl w:val="0"/>
        </w:rPr>
        <w:t xml:space="preserve">Acknowledgements</w:t>
      </w:r>
    </w:p>
    <w:p w:rsidR="00000000" w:rsidDel="00000000" w:rsidP="00000000" w:rsidRDefault="00000000" w:rsidRPr="00000000" w14:paraId="00000033">
      <w:pPr>
        <w:rPr>
          <w:sz w:val="18"/>
          <w:szCs w:val="18"/>
        </w:rPr>
      </w:pPr>
      <w:r w:rsidDel="00000000" w:rsidR="00000000" w:rsidRPr="00000000">
        <w:rPr>
          <w:sz w:val="18"/>
          <w:szCs w:val="18"/>
          <w:rtl w:val="0"/>
        </w:rPr>
        <w:t xml:space="preserve">None.</w:t>
      </w:r>
    </w:p>
    <w:p w:rsidR="00000000" w:rsidDel="00000000" w:rsidP="00000000" w:rsidRDefault="00000000" w:rsidRPr="00000000" w14:paraId="00000034">
      <w:pPr>
        <w:pStyle w:val="Heading2"/>
        <w:spacing w:after="120" w:lineRule="auto"/>
        <w:rPr>
          <w:sz w:val="18"/>
          <w:szCs w:val="18"/>
        </w:rPr>
      </w:pPr>
      <w:bookmarkStart w:colFirst="0" w:colLast="0" w:name="_6peboh8ntcms" w:id="16"/>
      <w:bookmarkEnd w:id="16"/>
      <w:r w:rsidDel="00000000" w:rsidR="00000000" w:rsidRPr="00000000">
        <w:rPr>
          <w:sz w:val="18"/>
          <w:szCs w:val="18"/>
          <w:rtl w:val="0"/>
        </w:rPr>
        <w:t xml:space="preserve">Authors' contributions</w:t>
      </w:r>
    </w:p>
    <w:p w:rsidR="00000000" w:rsidDel="00000000" w:rsidP="00000000" w:rsidRDefault="00000000" w:rsidRPr="00000000" w14:paraId="00000035">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36">
      <w:pPr>
        <w:pStyle w:val="Heading2"/>
        <w:spacing w:after="120" w:lineRule="auto"/>
        <w:rPr>
          <w:sz w:val="18"/>
          <w:szCs w:val="18"/>
        </w:rPr>
      </w:pPr>
      <w:bookmarkStart w:colFirst="0" w:colLast="0" w:name="_2w59dow4gxap" w:id="17"/>
      <w:bookmarkEnd w:id="17"/>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37">
      <w:pPr>
        <w:rPr>
          <w:sz w:val="18"/>
          <w:szCs w:val="18"/>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yx9sn7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