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kvmd431vozbu" w:id="0"/>
      <w:bookmarkEnd w:id="0"/>
      <w:r w:rsidDel="00000000" w:rsidR="00000000" w:rsidRPr="00000000">
        <w:rPr>
          <w:rtl w:val="0"/>
        </w:rPr>
        <w:t xml:space="preserve">Roadmap for Live-Cell Centriole Tracking: Resolving Nanoscale Dynamics in Real Time</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5">
      <w:pPr>
        <w:pStyle w:val="Heading1"/>
        <w:jc w:val="both"/>
        <w:rPr/>
      </w:pPr>
      <w:bookmarkStart w:colFirst="0" w:colLast="0" w:name="_7hfgc2j2m9h0"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The ability to track individual centrioles, subcellular organelles essential for cell division and signalling, has transformed our understanding of centrosome biology. However, their small size (~250 nm) and dynamic behaviour present formidable imaging challenges. This review presents a comprehensive methodological roadmap for tracking centrioles in living cells. We detail the evolution from static electron microscopy to modern live-cell approaches, highlighting key strategies in physiological fluorescent labelling, advanced microscopy (including super-resolution techniques like STED), and robust computational analysis for extracting quantitative kinetic data. Practical protocols for long-term and super-resolution tracking are provided, alongside solutions to common artifacts like phototoxicity. Finally, we explore emerging frontiers such as correlative light-electron microscopy (CLEM) and lattice light-sheet microscopy (LLSM), which promise to link dynamic behaviour to ultrastructure within complex tissues. This integrated pipeline is essential for deciphering the life cycle of these enigmatic organelles in health and disease.</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b w:val="1"/>
          <w:bCs w:val="1"/>
          <w:rtl w:val="0"/>
        </w:rPr>
        <w:t xml:space="preserve">Keywords</w:t>
      </w:r>
      <w:r w:rsidDel="00000000" w:rsidR="00000000" w:rsidRPr="00000000">
        <w:rPr>
          <w:rtl w:val="0"/>
        </w:rPr>
        <w:t xml:space="preserve">: Centriole; Live-cell imaging; Super-resolution microscopy; CRISPR/Cas9; Trajectory analysis; CLEM.</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pStyle w:val="Heading1"/>
        <w:jc w:val="both"/>
        <w:rPr/>
      </w:pPr>
      <w:bookmarkStart w:colFirst="0" w:colLast="0" w:name="_hwufig1n75j1"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Centrioles are microtubule-based organelles that function as the core of the centrosome, organising the mitotic spindle and templating cilia. Their precise duplication, maturation, and segregation are critical for genome stability and cellular function (Nigg &amp; Holland, 2018; Tkemaladze, 2026). For decades, our knowledge was derived from static electron micrographs, offering snapshots but no dynamic context. The fusion of fluorescent proteins (FPs) to centriolar components enabled the first live-cell observations (Piel et al., 2000), yet the diffraction limit of light obscured individual centrioles within tightly associated pairs. Recent technological convergence—spanning genetics, optics, and computation—has now made it possible to track these minute structures with high fidelity over time. This preprint synthesises these advances into a coherent methodological framework, guiding researchers from labelling strategies and imaging platforms to data analysis and future directions.</w:t>
      </w:r>
    </w:p>
    <w:p w:rsidR="00000000" w:rsidDel="00000000" w:rsidP="00000000" w:rsidRDefault="00000000" w:rsidRPr="00000000" w14:paraId="0000000C">
      <w:pPr>
        <w:pStyle w:val="Heading2"/>
        <w:jc w:val="both"/>
        <w:rPr/>
      </w:pPr>
      <w:bookmarkStart w:colFirst="0" w:colLast="0" w:name="_9k5wrdf9bxoi" w:id="3"/>
      <w:bookmarkEnd w:id="3"/>
      <w:r w:rsidDel="00000000" w:rsidR="00000000" w:rsidRPr="00000000">
        <w:rPr>
          <w:rtl w:val="0"/>
        </w:rPr>
        <w:t xml:space="preserve">Labelling for Specificity and Physiological Fidelity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 successful tracking experiment begins with a bright, specific, and non-perturbative label.</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Endogenous Tagging via CRISPR/Cas9: The gold standard involves using CRISPR/Cas9 to insert an FP sequence (e.g., mNeonGreen) directly into the genomic locus of a centriolar gene (e.g., CEP152). This ensures physiological expression levels and avoids the artifacts of protein overexpression, which can disrupt centriole duplication (Habedanck et al., 2005).</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Signal Amplification (SunTag): For low-abundance proteins, the SunTag system, where a protein scaffold recruits multiple fluorescent antibody fragments, dramatically enhances signal without altering endogenous expression levels (Tanenbaum et al., 2014).</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Photoactivatable/Convertible FPs (PA-FPs): Proteins like Dendra2 or mEos enable "pulse-chase" experiments. A subset of centrioles can be photoconverted with a laser pulse, allowing their distinct fate (e.g., inheritance, ciliation) to be tracked against a background of unmarked organelles (Anderson &amp; Stearns, 2009).</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Synthetic Probes: Small-molecule fluorophores like SiR-tubulin provide a bright, photostable label for the pericentriolar material, ideal for long-term motility studies with minimal phototoxicity (Lukinavičius et al., 2014).</w:t>
      </w:r>
    </w:p>
    <w:p w:rsidR="00000000" w:rsidDel="00000000" w:rsidP="00000000" w:rsidRDefault="00000000" w:rsidRPr="00000000" w14:paraId="00000017">
      <w:pPr>
        <w:pStyle w:val="Heading1"/>
        <w:rPr/>
      </w:pPr>
      <w:bookmarkStart w:colFirst="0" w:colLast="0" w:name="_70sntxv5wa2p" w:id="4"/>
      <w:bookmarkEnd w:id="4"/>
      <w:r w:rsidDel="00000000" w:rsidR="00000000" w:rsidRPr="00000000">
        <w:rPr>
          <w:rtl w:val="0"/>
        </w:rPr>
        <w:t xml:space="preserve">Imaging Platforms: Matching Technique to Biological Question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 choice of microscope dictates the trade-off between resolution, speed, and cell viability.</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Widefield Microscopy</w:t>
      </w:r>
      <w:r w:rsidDel="00000000" w:rsidR="00000000" w:rsidRPr="00000000">
        <w:rPr>
          <w:rtl w:val="0"/>
        </w:rPr>
        <w:t xml:space="preserve">: Ideal for long-term tracking (24–72 h) of duplication cycles, using z-stacks and low-light doses to monitor position and number (Loncarek &amp; Khodjakov, 2009).</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bCs w:val="1"/>
          <w:rtl w:val="0"/>
        </w:rPr>
        <w:t xml:space="preserve">Spinning Disk Confocal</w:t>
      </w:r>
      <w:r w:rsidDel="00000000" w:rsidR="00000000" w:rsidRPr="00000000">
        <w:rPr>
          <w:rtl w:val="0"/>
        </w:rPr>
        <w:t xml:space="preserve">: Offers superior optical sectioning and speed with minimal photodamage, perfect for high-temporal-resolution imaging of mitotic or ciliary dynamics.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b w:val="1"/>
          <w:bCs w:val="1"/>
          <w:rtl w:val="0"/>
        </w:rPr>
        <w:t xml:space="preserve">Total Internal Reflection Fluorescence (TIRF)</w:t>
      </w:r>
      <w:r w:rsidDel="00000000" w:rsidR="00000000" w:rsidRPr="00000000">
        <w:rPr>
          <w:rtl w:val="0"/>
        </w:rPr>
        <w:t xml:space="preserve">: Provides exceptional signal-to-noise for events at the cell membrane, such as the initial docking of a centriole during ciliogenesis (Mazo et al., 2016).</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bCs w:val="1"/>
          <w:rtl w:val="0"/>
        </w:rPr>
        <w:t xml:space="preserve">Super-Resolution Microscopy</w:t>
      </w:r>
      <w:r w:rsidDel="00000000" w:rsidR="00000000" w:rsidRPr="00000000">
        <w:rPr>
          <w:rtl w:val="0"/>
        </w:rPr>
        <w:t xml:space="preserve">: Essential for resolving individual centrioles within a pair.</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b w:val="1"/>
          <w:bCs w:val="1"/>
          <w:rtl w:val="0"/>
        </w:rPr>
        <w:t xml:space="preserve">STED Microscopy</w:t>
      </w:r>
      <w:r w:rsidDel="00000000" w:rsidR="00000000" w:rsidRPr="00000000">
        <w:rPr>
          <w:rtl w:val="0"/>
        </w:rPr>
        <w:t xml:space="preserve">: Achieves 50–80 nm resolution in living cells, enabling real-time observation of centriole separation and cartwheel dynamics (Lau et al., 2012). It requires photostable dyes and careful power optimisation to minimise phototoxicity.</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1"/>
          <w:bCs w:val="1"/>
          <w:rtl w:val="0"/>
        </w:rPr>
        <w:t xml:space="preserve">SIM</w:t>
      </w:r>
      <w:r w:rsidDel="00000000" w:rsidR="00000000" w:rsidRPr="00000000">
        <w:rPr>
          <w:rtl w:val="0"/>
        </w:rPr>
        <w:t xml:space="preserve">: Doubles resolution to ~110 nm and is significantly faster and gentler than STED, making it excellent for extended super-resolution tracking of processes like disengagement (Krämer et al., 2020).</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SMLM (PALM/STORM): While offering the highest resolution (20–40 nm), its slow acquisition has largely limited it to fixed-cell ultrastructural studies (Sillibourne et al., 2011).</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jc w:val="both"/>
        <w:rPr/>
      </w:pPr>
      <w:bookmarkStart w:colFirst="0" w:colLast="0" w:name="_d5hw24kj9k7n" w:id="5"/>
      <w:bookmarkEnd w:id="5"/>
      <w:r w:rsidDel="00000000" w:rsidR="00000000" w:rsidRPr="00000000">
        <w:rPr>
          <w:rtl w:val="0"/>
        </w:rPr>
        <w:t xml:space="preserve">Quantitative Analysis: From Images to Insights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Transforming raw data into kinetic parameters requires a robust computational pipeline.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Pre-processing: Deconvolution (e.g., Richardson-Lucy algorithm) sharpens images; background subtraction improves contrast (Sage et al., 2017).</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Spot Detection: Algorithms like the Laplacian of Gaussian (LoG) or machine learning classifiers identify centrioles based on intensity and shape.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Trajectory Linking: Predictive algorithms (Kalman filters) or global optimisation methods (e.g., u-track) connect spots across frames, handling temporary disappearances and complex motions (Jaqaman et al., 2008).</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Key Quantitative Metrics: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Fonts w:ascii="Cardo" w:cs="Cardo" w:eastAsia="Cardo" w:hAnsi="Cardo"/>
          <w:rtl w:val="0"/>
        </w:rPr>
        <w:t xml:space="preserve">Mean Square Displacement (MSD): Classifies motion as diffusive, directed, or confined. MSD(τ) = ⟨ [x(t+τ) - x(t)]² + [y(t+τ) - y(t)]² ⟩.</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Arial Unicode MS" w:cs="Arial Unicode MS" w:eastAsia="Arial Unicode MS" w:hAnsi="Arial Unicode MS"/>
          <w:rtl w:val="0"/>
        </w:rPr>
        <w:t xml:space="preserve">Inter-Centriole Distance: d(t) = √[ (x₁(t)-x₂(t))² + (y₁(t)-y₂(t))² ]. Crucial for monitoring disengagement and separation.</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Fluorescence Intensity Over Time: Reports on protein recruitment or loss during maturation.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Software: Platforms range from user-friendly commercial suites (Imaris) to highly customisable open-source tools (TrackMate in Fiji) and custom scripts in Python/MATLAB (Tinevez et al., 2017).</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jc w:val="both"/>
        <w:rPr/>
      </w:pPr>
      <w:bookmarkStart w:colFirst="0" w:colLast="0" w:name="_9jvda1pkckuw" w:id="6"/>
      <w:bookmarkEnd w:id="6"/>
      <w:r w:rsidDel="00000000" w:rsidR="00000000" w:rsidRPr="00000000">
        <w:rPr>
          <w:rtl w:val="0"/>
        </w:rPr>
        <w:t xml:space="preserve">Mitigating Artifacts: Phototoxicity, Drift, and Low Signal</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Photobleaching &amp; Phototoxicity: Mitigated by using photostable fluorophores (mScarlet, Janelia Fluor dyes), minimising light dose (ALARA principle), and employing oxygen-scavenging imaging media (Icha et al., 2017).</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rtl w:val="0"/>
        </w:rPr>
        <w:t xml:space="preserve">Sample Drift</w:t>
      </w:r>
      <w:r w:rsidDel="00000000" w:rsidR="00000000" w:rsidRPr="00000000">
        <w:rPr>
          <w:rtl w:val="0"/>
        </w:rPr>
        <w:t xml:space="preserve">: Compensated with hardware autofocus systems or software-based registration using fiduciary markers (Preibisch et al., 2010).</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bCs w:val="1"/>
          <w:rtl w:val="0"/>
        </w:rPr>
        <w:t xml:space="preserve">Low Signal-to-Noise Ratio (SNR)</w:t>
      </w:r>
      <w:r w:rsidDel="00000000" w:rsidR="00000000" w:rsidRPr="00000000">
        <w:rPr>
          <w:rtl w:val="0"/>
        </w:rPr>
        <w:t xml:space="preserve">: Improved via signal amplification (SunTag), camera binning, or computational deconvolution.</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Unresolved Centriole Pairs</w:t>
      </w:r>
      <w:r w:rsidDel="00000000" w:rsidR="00000000" w:rsidRPr="00000000">
        <w:rPr>
          <w:rtl w:val="0"/>
        </w:rPr>
        <w:t xml:space="preserve">: Addressed directly with super-resolution microscopy (STED/SIM). Indirectly, the ellipticity of a diffraction-limited spot can suggest the presence of two closely apposed centrioles (Fong et al., 2016).</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1"/>
        <w:jc w:val="both"/>
        <w:rPr/>
      </w:pPr>
      <w:bookmarkStart w:colFirst="0" w:colLast="0" w:name="_ds2n8k9swt3d" w:id="7"/>
      <w:bookmarkEnd w:id="7"/>
      <w:r w:rsidDel="00000000" w:rsidR="00000000" w:rsidRPr="00000000">
        <w:rPr>
          <w:rtl w:val="0"/>
        </w:rPr>
        <w:t xml:space="preserve">Emerging Frontiers and Future Methods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bCs w:val="1"/>
          <w:rtl w:val="0"/>
        </w:rPr>
        <w:t xml:space="preserve">Correlative Light-Electron Microscopy (CLEM)</w:t>
      </w:r>
      <w:r w:rsidDel="00000000" w:rsidR="00000000" w:rsidRPr="00000000">
        <w:rPr>
          <w:rtl w:val="0"/>
        </w:rPr>
        <w:t xml:space="preserve">: Bridges dynamics and ultrastructure by imaging the same cell live and then with EM, linking a behavioural event to nanoscale structural details (Karreman et al., 2016).</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1"/>
          <w:bCs w:val="1"/>
          <w:rtl w:val="0"/>
        </w:rPr>
        <w:t xml:space="preserve">Lattice Light-Sheet Microscopy (LLSM)</w:t>
      </w:r>
      <w:r w:rsidDel="00000000" w:rsidR="00000000" w:rsidRPr="00000000">
        <w:rPr>
          <w:rtl w:val="0"/>
        </w:rPr>
        <w:t xml:space="preserve">: Enables fast, gentle 3D imaging within tissues or organoids, allowing centriole dynamics to be studied in a physiological, multicellular context (Chen et al., 2014).</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b w:val="1"/>
          <w:bCs w:val="1"/>
          <w:rtl w:val="0"/>
        </w:rPr>
        <w:t xml:space="preserve">Deep Learning for Analysis</w:t>
      </w:r>
      <w:r w:rsidDel="00000000" w:rsidR="00000000" w:rsidRPr="00000000">
        <w:rPr>
          <w:rtl w:val="0"/>
        </w:rPr>
        <w:t xml:space="preserve">: Convolutional neural networks can automate segmentation and classification in complex datasets, and even enhance resolution computationally.</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b w:val="1"/>
          <w:bCs w:val="1"/>
          <w:rtl w:val="0"/>
        </w:rPr>
        <w:t xml:space="preserve">Single-Particle Tracking PALM (sptPALM)</w:t>
      </w:r>
      <w:r w:rsidDel="00000000" w:rsidR="00000000" w:rsidRPr="00000000">
        <w:rPr>
          <w:rtl w:val="0"/>
        </w:rPr>
        <w:t xml:space="preserve">: Holds promise for mapping the nanoscale diffusion and exchange of single centriolar proteins in real time (Manley et al., 2008).</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Style w:val="Heading1"/>
        <w:jc w:val="both"/>
        <w:rPr/>
      </w:pPr>
      <w:bookmarkStart w:colFirst="0" w:colLast="0" w:name="_ynqw8iobzmv" w:id="8"/>
      <w:bookmarkEnd w:id="8"/>
      <w:r w:rsidDel="00000000" w:rsidR="00000000" w:rsidRPr="00000000">
        <w:rPr>
          <w:rtl w:val="0"/>
        </w:rPr>
        <w:t xml:space="preserve">Conclusion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The methodological ecosystem for tracking individual centrioles has matured into an integrated pipeline. From physiological CRISPR labelling and gentle super-resolution imaging to sophisticated computational analytics, these tools have moved the field from static inference to dynamic, quantitative observation. They have been instrumental in revealing centriole duplication licensing, asymmetric inheritance, and ciliogenesis mechanisms. The integration of emerging techniques like CLEM and LLSM will further contextualise centriole dynamics within the native cellular and tissue environment, ensuring these methodologies remain central to unlocking the secrets of cell division, development, and disease.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1"/>
        <w:jc w:val="both"/>
        <w:rPr/>
      </w:pPr>
      <w:bookmarkStart w:colFirst="0" w:colLast="0" w:name="_w9mtmvr79tb9" w:id="9"/>
      <w:bookmarkEnd w:id="9"/>
      <w:r w:rsidDel="00000000" w:rsidR="00000000" w:rsidRPr="00000000">
        <w:rPr>
          <w:rtl w:val="0"/>
        </w:rPr>
        <w:t xml:space="preserve">References</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Anderson, C. T., &amp; Stearns, T. (2009). Centriole age underlies asynchronous primary cilium growth in mammalian cells. Current biology : CB, 19(17), 1498–1502. </w:t>
      </w:r>
      <w:hyperlink r:id="rId7">
        <w:r w:rsidDel="00000000" w:rsidR="00000000" w:rsidRPr="00000000">
          <w:rPr>
            <w:color w:val="1155cc"/>
            <w:sz w:val="18"/>
            <w:szCs w:val="18"/>
            <w:u w:val="single"/>
            <w:rtl w:val="0"/>
          </w:rPr>
          <w:t xml:space="preserve">https://doi.org/10.1016/j.cub.2009.07.034</w:t>
        </w:r>
      </w:hyperlink>
      <w:r w:rsidDel="00000000" w:rsidR="00000000" w:rsidRPr="00000000">
        <w:rPr>
          <w:sz w:val="18"/>
          <w:szCs w:val="18"/>
          <w:rtl w:val="0"/>
        </w:rPr>
        <w:t xml:space="preserve"> </w:t>
      </w:r>
    </w:p>
    <w:p w:rsidR="00000000" w:rsidDel="00000000" w:rsidP="00000000" w:rsidRDefault="00000000" w:rsidRPr="00000000" w14:paraId="00000058">
      <w:pPr>
        <w:jc w:val="both"/>
        <w:rPr>
          <w:sz w:val="18"/>
          <w:szCs w:val="18"/>
        </w:rPr>
      </w:pPr>
      <w:r w:rsidDel="00000000" w:rsidR="00000000" w:rsidRPr="00000000">
        <w:rPr>
          <w:rtl w:val="0"/>
        </w:rPr>
      </w:r>
    </w:p>
    <w:p w:rsidR="00000000" w:rsidDel="00000000" w:rsidP="00000000" w:rsidRDefault="00000000" w:rsidRPr="00000000" w14:paraId="00000059">
      <w:pPr>
        <w:jc w:val="both"/>
        <w:rPr>
          <w:sz w:val="18"/>
          <w:szCs w:val="18"/>
        </w:rPr>
      </w:pPr>
      <w:r w:rsidDel="00000000" w:rsidR="00000000" w:rsidRPr="00000000">
        <w:rPr>
          <w:sz w:val="18"/>
          <w:szCs w:val="18"/>
          <w:rtl w:val="0"/>
        </w:rPr>
        <w:t xml:space="preserve">Chen, B. C., Legant, W. R., Wang, K., Shao, L., Milkie, D. E., Davidson, M. W., … Betzig, E. (2014). Lattice light-sheet microscopy: Imaging molecules to embryos at high spatiotemporal resolution. Science, 346(6208), 1257998. </w:t>
      </w:r>
      <w:hyperlink r:id="rId8">
        <w:r w:rsidDel="00000000" w:rsidR="00000000" w:rsidRPr="00000000">
          <w:rPr>
            <w:color w:val="1155cc"/>
            <w:sz w:val="18"/>
            <w:szCs w:val="18"/>
            <w:u w:val="single"/>
            <w:rtl w:val="0"/>
          </w:rPr>
          <w:t xml:space="preserve">https://doi.org/10.1126/science.1257998</w:t>
        </w:r>
      </w:hyperlink>
      <w:r w:rsidDel="00000000" w:rsidR="00000000" w:rsidRPr="00000000">
        <w:rPr>
          <w:sz w:val="18"/>
          <w:szCs w:val="18"/>
          <w:rtl w:val="0"/>
        </w:rPr>
        <w:t xml:space="preserve"> </w:t>
      </w:r>
    </w:p>
    <w:p w:rsidR="00000000" w:rsidDel="00000000" w:rsidP="00000000" w:rsidRDefault="00000000" w:rsidRPr="00000000" w14:paraId="0000005A">
      <w:pPr>
        <w:jc w:val="both"/>
        <w:rPr>
          <w:sz w:val="18"/>
          <w:szCs w:val="18"/>
        </w:rPr>
      </w:pPr>
      <w:r w:rsidDel="00000000" w:rsidR="00000000" w:rsidRPr="00000000">
        <w:rPr>
          <w:rtl w:val="0"/>
        </w:rPr>
      </w:r>
    </w:p>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Fong, C. S., Mazo, G., Das, T., Goodman, J., Kim, M., O'Rourke, B. P., Izquierdo, D., &amp; Tsou, M. F. B. (2016). 53BP1 and USP28 mediate p53-dependent cell cycle arrest in response to centrosome loss and prolonged mitosis. eLife, 5, e16270. </w:t>
      </w:r>
      <w:hyperlink r:id="rId9">
        <w:r w:rsidDel="00000000" w:rsidR="00000000" w:rsidRPr="00000000">
          <w:rPr>
            <w:color w:val="1155cc"/>
            <w:sz w:val="18"/>
            <w:szCs w:val="18"/>
            <w:u w:val="single"/>
            <w:rtl w:val="0"/>
          </w:rPr>
          <w:t xml:space="preserve">https://doi.org/10.7554/eLife.16270</w:t>
        </w:r>
      </w:hyperlink>
      <w:r w:rsidDel="00000000" w:rsidR="00000000" w:rsidRPr="00000000">
        <w:rPr>
          <w:sz w:val="18"/>
          <w:szCs w:val="18"/>
          <w:rtl w:val="0"/>
        </w:rPr>
        <w:t xml:space="preserve"> </w:t>
      </w:r>
    </w:p>
    <w:p w:rsidR="00000000" w:rsidDel="00000000" w:rsidP="00000000" w:rsidRDefault="00000000" w:rsidRPr="00000000" w14:paraId="0000005C">
      <w:pPr>
        <w:jc w:val="both"/>
        <w:rPr>
          <w:sz w:val="18"/>
          <w:szCs w:val="18"/>
        </w:rPr>
      </w:pPr>
      <w:r w:rsidDel="00000000" w:rsidR="00000000" w:rsidRPr="00000000">
        <w:rPr>
          <w:rtl w:val="0"/>
        </w:rPr>
      </w:r>
    </w:p>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Habedanck, R., Stierhof, Y. D., Wilkinson, C. J., &amp; Nigg, E. A. (2005). The Polo kinase Plk4 functions in centriole duplication. Nature Cell Biology, 7(11), 1140–1146. </w:t>
      </w:r>
      <w:hyperlink r:id="rId10">
        <w:r w:rsidDel="00000000" w:rsidR="00000000" w:rsidRPr="00000000">
          <w:rPr>
            <w:color w:val="1155cc"/>
            <w:sz w:val="18"/>
            <w:szCs w:val="18"/>
            <w:u w:val="single"/>
            <w:rtl w:val="0"/>
          </w:rPr>
          <w:t xml:space="preserve">https://doi.org/10.1038/ncb1320</w:t>
        </w:r>
      </w:hyperlink>
      <w:r w:rsidDel="00000000" w:rsidR="00000000" w:rsidRPr="00000000">
        <w:rPr>
          <w:sz w:val="18"/>
          <w:szCs w:val="18"/>
          <w:rtl w:val="0"/>
        </w:rPr>
        <w:t xml:space="preserve"> </w:t>
      </w:r>
    </w:p>
    <w:p w:rsidR="00000000" w:rsidDel="00000000" w:rsidP="00000000" w:rsidRDefault="00000000" w:rsidRPr="00000000" w14:paraId="0000005E">
      <w:pPr>
        <w:jc w:val="both"/>
        <w:rPr>
          <w:sz w:val="18"/>
          <w:szCs w:val="18"/>
        </w:rPr>
      </w:pPr>
      <w:r w:rsidDel="00000000" w:rsidR="00000000" w:rsidRPr="00000000">
        <w:rPr>
          <w:rtl w:val="0"/>
        </w:rPr>
      </w:r>
    </w:p>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Icha, J., Weber, M., Waters, J. C., &amp; Norden, C. (2017). Phototoxicity in live fluorescence microscopy, and how to avoid it. BioEssays, 39(8), 1700003. </w:t>
      </w:r>
      <w:hyperlink r:id="rId11">
        <w:r w:rsidDel="00000000" w:rsidR="00000000" w:rsidRPr="00000000">
          <w:rPr>
            <w:color w:val="1155cc"/>
            <w:sz w:val="18"/>
            <w:szCs w:val="18"/>
            <w:u w:val="single"/>
            <w:rtl w:val="0"/>
          </w:rPr>
          <w:t xml:space="preserve">https://doi.org/10.1002/bies.201700003</w:t>
        </w:r>
      </w:hyperlink>
      <w:r w:rsidDel="00000000" w:rsidR="00000000" w:rsidRPr="00000000">
        <w:rPr>
          <w:sz w:val="18"/>
          <w:szCs w:val="18"/>
          <w:rtl w:val="0"/>
        </w:rPr>
        <w:t xml:space="preserve"> </w:t>
      </w:r>
    </w:p>
    <w:p w:rsidR="00000000" w:rsidDel="00000000" w:rsidP="00000000" w:rsidRDefault="00000000" w:rsidRPr="00000000" w14:paraId="00000060">
      <w:pPr>
        <w:jc w:val="both"/>
        <w:rPr>
          <w:sz w:val="18"/>
          <w:szCs w:val="18"/>
        </w:rPr>
      </w:pPr>
      <w:r w:rsidDel="00000000" w:rsidR="00000000" w:rsidRPr="00000000">
        <w:rPr>
          <w:rtl w:val="0"/>
        </w:rPr>
      </w:r>
    </w:p>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Jaqaman, K., Loerke, D., Mettlen, M., Kuwata, H., Grinstein, S., Schmid, S. L., &amp; Danuser, G. (2008). Robust single-particle tracking in live-cell time-lapse sequences. Nature Methods, 5(8), 695–702. </w:t>
      </w:r>
      <w:hyperlink r:id="rId12">
        <w:r w:rsidDel="00000000" w:rsidR="00000000" w:rsidRPr="00000000">
          <w:rPr>
            <w:color w:val="1155cc"/>
            <w:sz w:val="18"/>
            <w:szCs w:val="18"/>
            <w:u w:val="single"/>
            <w:rtl w:val="0"/>
          </w:rPr>
          <w:t xml:space="preserve">https://doi.org/10.1038/nmeth.1237</w:t>
        </w:r>
      </w:hyperlink>
      <w:r w:rsidDel="00000000" w:rsidR="00000000" w:rsidRPr="00000000">
        <w:rPr>
          <w:sz w:val="18"/>
          <w:szCs w:val="18"/>
          <w:rtl w:val="0"/>
        </w:rPr>
        <w:t xml:space="preserve"> </w:t>
      </w:r>
    </w:p>
    <w:p w:rsidR="00000000" w:rsidDel="00000000" w:rsidP="00000000" w:rsidRDefault="00000000" w:rsidRPr="00000000" w14:paraId="00000062">
      <w:pPr>
        <w:jc w:val="both"/>
        <w:rPr>
          <w:sz w:val="18"/>
          <w:szCs w:val="18"/>
        </w:rPr>
      </w:pPr>
      <w:r w:rsidDel="00000000" w:rsidR="00000000" w:rsidRPr="00000000">
        <w:rPr>
          <w:rtl w:val="0"/>
        </w:rPr>
      </w:r>
    </w:p>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Karreman, M. A., Hyenne, V., Schwab, Y., &amp; Goetz, J. G. (2016). Intravital correlative microscopy: Imaging life at the nanoscale. Trends in Cell Biology, 26(11), 848–863. </w:t>
      </w:r>
      <w:hyperlink r:id="rId13">
        <w:r w:rsidDel="00000000" w:rsidR="00000000" w:rsidRPr="00000000">
          <w:rPr>
            <w:color w:val="1155cc"/>
            <w:sz w:val="18"/>
            <w:szCs w:val="18"/>
            <w:u w:val="single"/>
            <w:rtl w:val="0"/>
          </w:rPr>
          <w:t xml:space="preserve">https://doi.org/10.1016/j.tcb.2016.07.003</w:t>
        </w:r>
      </w:hyperlink>
      <w:r w:rsidDel="00000000" w:rsidR="00000000" w:rsidRPr="00000000">
        <w:rPr>
          <w:sz w:val="18"/>
          <w:szCs w:val="18"/>
          <w:rtl w:val="0"/>
        </w:rPr>
        <w:t xml:space="preserve"> </w:t>
      </w:r>
    </w:p>
    <w:p w:rsidR="00000000" w:rsidDel="00000000" w:rsidP="00000000" w:rsidRDefault="00000000" w:rsidRPr="00000000" w14:paraId="00000064">
      <w:pPr>
        <w:jc w:val="both"/>
        <w:rPr>
          <w:sz w:val="18"/>
          <w:szCs w:val="18"/>
        </w:rPr>
      </w:pPr>
      <w:r w:rsidDel="00000000" w:rsidR="00000000" w:rsidRPr="00000000">
        <w:rPr>
          <w:rtl w:val="0"/>
        </w:rPr>
      </w:r>
    </w:p>
    <w:p w:rsidR="00000000" w:rsidDel="00000000" w:rsidP="00000000" w:rsidRDefault="00000000" w:rsidRPr="00000000" w14:paraId="00000065">
      <w:pPr>
        <w:rPr>
          <w:sz w:val="14"/>
          <w:szCs w:val="14"/>
        </w:rPr>
      </w:pPr>
      <w:r w:rsidDel="00000000" w:rsidR="00000000" w:rsidRPr="00000000">
        <w:rPr>
          <w:sz w:val="18"/>
          <w:szCs w:val="18"/>
          <w:rtl w:val="0"/>
        </w:rPr>
        <w:t xml:space="preserve">Smeets, D., Markaki, Y., Schmid, V. J., Kraus, F., Tattermusch, A., Cerase, A., Sterr, M., Fiedler, S., Demmerle, J., Popken, J., Leonhardt, H., Brockdorff, N., Cremer, T., Schermelleh, L., &amp; Cremer, M. (2014). Three-dimensional super-resolution microscopy of the inactive X chromosome territory reveals a collapse of its active nuclear compartment harboring distinct Xist RNA foci. Epigenetics &amp; chromatin, 7, 8. </w:t>
      </w:r>
      <w:hyperlink r:id="rId14">
        <w:r w:rsidDel="00000000" w:rsidR="00000000" w:rsidRPr="00000000">
          <w:rPr>
            <w:color w:val="1155cc"/>
            <w:sz w:val="18"/>
            <w:szCs w:val="18"/>
            <w:u w:val="single"/>
            <w:rtl w:val="0"/>
          </w:rPr>
          <w:t xml:space="preserve">https://doi.org/10.1186/1756-8935-7-8</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66">
      <w:pPr>
        <w:jc w:val="both"/>
        <w:rPr>
          <w:sz w:val="18"/>
          <w:szCs w:val="18"/>
        </w:rPr>
      </w:pPr>
      <w:r w:rsidDel="00000000" w:rsidR="00000000" w:rsidRPr="00000000">
        <w:rPr>
          <w:rtl w:val="0"/>
        </w:rPr>
      </w:r>
    </w:p>
    <w:p w:rsidR="00000000" w:rsidDel="00000000" w:rsidP="00000000" w:rsidRDefault="00000000" w:rsidRPr="00000000" w14:paraId="00000067">
      <w:pPr>
        <w:jc w:val="both"/>
        <w:rPr>
          <w:sz w:val="18"/>
          <w:szCs w:val="18"/>
        </w:rPr>
      </w:pPr>
      <w:r w:rsidDel="00000000" w:rsidR="00000000" w:rsidRPr="00000000">
        <w:rPr>
          <w:sz w:val="18"/>
          <w:szCs w:val="18"/>
          <w:rtl w:val="0"/>
        </w:rPr>
        <w:t xml:space="preserve">Lau, L., Lee, Y. L., Sahl, S. J., Stearns, T., &amp; Moerner, W. E. (2012). STED microscopy with optimized labeling density reveals 9-fold symmetry of the centriole cartwheel. Biophysical Journal, 102(12), 2926–2935. </w:t>
      </w:r>
      <w:hyperlink r:id="rId15">
        <w:r w:rsidDel="00000000" w:rsidR="00000000" w:rsidRPr="00000000">
          <w:rPr>
            <w:color w:val="1155cc"/>
            <w:sz w:val="18"/>
            <w:szCs w:val="18"/>
            <w:u w:val="single"/>
            <w:rtl w:val="0"/>
          </w:rPr>
          <w:t xml:space="preserve">https://doi.org/10.1016/j.bpj.2012.05.015</w:t>
        </w:r>
      </w:hyperlink>
      <w:r w:rsidDel="00000000" w:rsidR="00000000" w:rsidRPr="00000000">
        <w:rPr>
          <w:sz w:val="18"/>
          <w:szCs w:val="18"/>
          <w:rtl w:val="0"/>
        </w:rPr>
        <w:t xml:space="preserve"> </w:t>
      </w:r>
    </w:p>
    <w:p w:rsidR="00000000" w:rsidDel="00000000" w:rsidP="00000000" w:rsidRDefault="00000000" w:rsidRPr="00000000" w14:paraId="00000068">
      <w:pPr>
        <w:jc w:val="both"/>
        <w:rPr>
          <w:sz w:val="18"/>
          <w:szCs w:val="18"/>
        </w:rPr>
      </w:pPr>
      <w:r w:rsidDel="00000000" w:rsidR="00000000" w:rsidRPr="00000000">
        <w:rPr>
          <w:rtl w:val="0"/>
        </w:rPr>
      </w:r>
    </w:p>
    <w:p w:rsidR="00000000" w:rsidDel="00000000" w:rsidP="00000000" w:rsidRDefault="00000000" w:rsidRPr="00000000" w14:paraId="00000069">
      <w:pPr>
        <w:jc w:val="both"/>
        <w:rPr>
          <w:sz w:val="18"/>
          <w:szCs w:val="18"/>
        </w:rPr>
      </w:pPr>
      <w:r w:rsidDel="00000000" w:rsidR="00000000" w:rsidRPr="00000000">
        <w:rPr>
          <w:sz w:val="18"/>
          <w:szCs w:val="18"/>
          <w:rtl w:val="0"/>
        </w:rPr>
        <w:t xml:space="preserve">Loncarek, J., &amp; Khodjakov, A. (2009). Ab ovo or de novo? Mechanisms of centriole duplication. Molecular Cells, 27(2), 135–142. </w:t>
      </w:r>
      <w:hyperlink r:id="rId16">
        <w:r w:rsidDel="00000000" w:rsidR="00000000" w:rsidRPr="00000000">
          <w:rPr>
            <w:color w:val="1155cc"/>
            <w:sz w:val="18"/>
            <w:szCs w:val="18"/>
            <w:u w:val="single"/>
            <w:rtl w:val="0"/>
          </w:rPr>
          <w:t xml:space="preserve">https://doi.org/10.1007/s10059-009-0017-z</w:t>
        </w:r>
      </w:hyperlink>
      <w:r w:rsidDel="00000000" w:rsidR="00000000" w:rsidRPr="00000000">
        <w:rPr>
          <w:sz w:val="18"/>
          <w:szCs w:val="18"/>
          <w:rtl w:val="0"/>
        </w:rPr>
        <w:t xml:space="preserve"> </w:t>
      </w:r>
    </w:p>
    <w:p w:rsidR="00000000" w:rsidDel="00000000" w:rsidP="00000000" w:rsidRDefault="00000000" w:rsidRPr="00000000" w14:paraId="0000006A">
      <w:pPr>
        <w:jc w:val="both"/>
        <w:rPr>
          <w:sz w:val="18"/>
          <w:szCs w:val="18"/>
        </w:rPr>
      </w:pPr>
      <w:r w:rsidDel="00000000" w:rsidR="00000000" w:rsidRPr="00000000">
        <w:rPr>
          <w:rtl w:val="0"/>
        </w:rPr>
      </w:r>
    </w:p>
    <w:p w:rsidR="00000000" w:rsidDel="00000000" w:rsidP="00000000" w:rsidRDefault="00000000" w:rsidRPr="00000000" w14:paraId="0000006B">
      <w:pPr>
        <w:jc w:val="both"/>
        <w:rPr>
          <w:sz w:val="18"/>
          <w:szCs w:val="18"/>
        </w:rPr>
      </w:pPr>
      <w:r w:rsidDel="00000000" w:rsidR="00000000" w:rsidRPr="00000000">
        <w:rPr>
          <w:sz w:val="18"/>
          <w:szCs w:val="18"/>
          <w:rtl w:val="0"/>
        </w:rPr>
        <w:t xml:space="preserve">Lukinavičius, G., Reymond, L., D’Este, E., Masharina, A., Göttfert, F., Ta, H., … Johnsson, K. (2014). Fluorogenic probes for live-cell imaging of the cytoskeleton. Nature Methods, 11(7), 731–733. </w:t>
      </w:r>
      <w:hyperlink r:id="rId17">
        <w:r w:rsidDel="00000000" w:rsidR="00000000" w:rsidRPr="00000000">
          <w:rPr>
            <w:color w:val="1155cc"/>
            <w:sz w:val="18"/>
            <w:szCs w:val="18"/>
            <w:u w:val="single"/>
            <w:rtl w:val="0"/>
          </w:rPr>
          <w:t xml:space="preserve">https://doi.org/10.1038/nmeth.2972</w:t>
        </w:r>
      </w:hyperlink>
      <w:r w:rsidDel="00000000" w:rsidR="00000000" w:rsidRPr="00000000">
        <w:rPr>
          <w:sz w:val="18"/>
          <w:szCs w:val="18"/>
          <w:rtl w:val="0"/>
        </w:rPr>
        <w:t xml:space="preserve"> </w:t>
      </w:r>
    </w:p>
    <w:p w:rsidR="00000000" w:rsidDel="00000000" w:rsidP="00000000" w:rsidRDefault="00000000" w:rsidRPr="00000000" w14:paraId="0000006C">
      <w:pPr>
        <w:jc w:val="both"/>
        <w:rPr>
          <w:sz w:val="18"/>
          <w:szCs w:val="18"/>
        </w:rPr>
      </w:pPr>
      <w:r w:rsidDel="00000000" w:rsidR="00000000" w:rsidRPr="00000000">
        <w:rPr>
          <w:rtl w:val="0"/>
        </w:rPr>
      </w:r>
    </w:p>
    <w:p w:rsidR="00000000" w:rsidDel="00000000" w:rsidP="00000000" w:rsidRDefault="00000000" w:rsidRPr="00000000" w14:paraId="0000006D">
      <w:pPr>
        <w:jc w:val="both"/>
        <w:rPr>
          <w:sz w:val="18"/>
          <w:szCs w:val="18"/>
        </w:rPr>
      </w:pPr>
      <w:r w:rsidDel="00000000" w:rsidR="00000000" w:rsidRPr="00000000">
        <w:rPr>
          <w:sz w:val="18"/>
          <w:szCs w:val="18"/>
          <w:rtl w:val="0"/>
        </w:rPr>
        <w:t xml:space="preserve">Manley, S., Gillette, J. M., Patterson, G. H., Shroff, H., Hess, H. F., Betzig, E., &amp; Lippincott-Schwartz, J. (2008). High-density mapping of single-molecule trajectories with photoactivated localization microscopy. Nature Methods, 5(2), 155–157. </w:t>
      </w:r>
      <w:hyperlink r:id="rId18">
        <w:r w:rsidDel="00000000" w:rsidR="00000000" w:rsidRPr="00000000">
          <w:rPr>
            <w:color w:val="1155cc"/>
            <w:sz w:val="18"/>
            <w:szCs w:val="18"/>
            <w:u w:val="single"/>
            <w:rtl w:val="0"/>
          </w:rPr>
          <w:t xml:space="preserve">https://doi.org/10.1038/nmeth.1176</w:t>
        </w:r>
      </w:hyperlink>
      <w:r w:rsidDel="00000000" w:rsidR="00000000" w:rsidRPr="00000000">
        <w:rPr>
          <w:sz w:val="18"/>
          <w:szCs w:val="18"/>
          <w:rtl w:val="0"/>
        </w:rPr>
        <w:t xml:space="preserve"> </w:t>
      </w:r>
    </w:p>
    <w:p w:rsidR="00000000" w:rsidDel="00000000" w:rsidP="00000000" w:rsidRDefault="00000000" w:rsidRPr="00000000" w14:paraId="0000006E">
      <w:pPr>
        <w:jc w:val="both"/>
        <w:rPr>
          <w:sz w:val="18"/>
          <w:szCs w:val="18"/>
        </w:rPr>
      </w:pPr>
      <w:r w:rsidDel="00000000" w:rsidR="00000000" w:rsidRPr="00000000">
        <w:rPr>
          <w:rtl w:val="0"/>
        </w:rPr>
      </w:r>
    </w:p>
    <w:p w:rsidR="00000000" w:rsidDel="00000000" w:rsidP="00000000" w:rsidRDefault="00000000" w:rsidRPr="00000000" w14:paraId="0000006F">
      <w:pPr>
        <w:jc w:val="both"/>
        <w:rPr>
          <w:sz w:val="18"/>
          <w:szCs w:val="18"/>
        </w:rPr>
      </w:pPr>
      <w:r w:rsidDel="00000000" w:rsidR="00000000" w:rsidRPr="00000000">
        <w:rPr>
          <w:sz w:val="18"/>
          <w:szCs w:val="18"/>
          <w:rtl w:val="0"/>
        </w:rPr>
        <w:t xml:space="preserve">Mazo, G., Soplop, N., Wang, W. J., Uryu, K., &amp; Tsou, M. F. B. (2016). Spatial control of primary ciliogenesis by subdistal appendages alters sensation-associated properties of cilia. Developmental Cell, 39(4), 424–437. </w:t>
      </w:r>
      <w:hyperlink r:id="rId19">
        <w:r w:rsidDel="00000000" w:rsidR="00000000" w:rsidRPr="00000000">
          <w:rPr>
            <w:color w:val="1155cc"/>
            <w:sz w:val="18"/>
            <w:szCs w:val="18"/>
            <w:u w:val="single"/>
            <w:rtl w:val="0"/>
          </w:rPr>
          <w:t xml:space="preserve">https://doi.org/10.1016/j.devcel.2016.10.006</w:t>
        </w:r>
      </w:hyperlink>
      <w:r w:rsidDel="00000000" w:rsidR="00000000" w:rsidRPr="00000000">
        <w:rPr>
          <w:sz w:val="18"/>
          <w:szCs w:val="18"/>
          <w:rtl w:val="0"/>
        </w:rPr>
        <w:t xml:space="preserve"> </w:t>
      </w:r>
    </w:p>
    <w:p w:rsidR="00000000" w:rsidDel="00000000" w:rsidP="00000000" w:rsidRDefault="00000000" w:rsidRPr="00000000" w14:paraId="00000070">
      <w:pPr>
        <w:jc w:val="both"/>
        <w:rPr>
          <w:sz w:val="18"/>
          <w:szCs w:val="18"/>
        </w:rPr>
      </w:pPr>
      <w:r w:rsidDel="00000000" w:rsidR="00000000" w:rsidRPr="00000000">
        <w:rPr>
          <w:rtl w:val="0"/>
        </w:rPr>
      </w:r>
    </w:p>
    <w:p w:rsidR="00000000" w:rsidDel="00000000" w:rsidP="00000000" w:rsidRDefault="00000000" w:rsidRPr="00000000" w14:paraId="00000071">
      <w:pPr>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w:t>
      </w:r>
      <w:hyperlink r:id="rId20">
        <w:r w:rsidDel="00000000" w:rsidR="00000000" w:rsidRPr="00000000">
          <w:rPr>
            <w:color w:val="1155cc"/>
            <w:sz w:val="18"/>
            <w:szCs w:val="18"/>
            <w:u w:val="single"/>
            <w:rtl w:val="0"/>
          </w:rPr>
          <w:t xml:space="preserve">https://doi.org/10.1038/nrm.2017.127</w:t>
        </w:r>
      </w:hyperlink>
      <w:r w:rsidDel="00000000" w:rsidR="00000000" w:rsidRPr="00000000">
        <w:rPr>
          <w:sz w:val="18"/>
          <w:szCs w:val="18"/>
          <w:rtl w:val="0"/>
        </w:rPr>
        <w:t xml:space="preserve"> </w:t>
      </w:r>
    </w:p>
    <w:p w:rsidR="00000000" w:rsidDel="00000000" w:rsidP="00000000" w:rsidRDefault="00000000" w:rsidRPr="00000000" w14:paraId="00000072">
      <w:pPr>
        <w:jc w:val="both"/>
        <w:rPr>
          <w:sz w:val="18"/>
          <w:szCs w:val="18"/>
        </w:rPr>
      </w:pPr>
      <w:r w:rsidDel="00000000" w:rsidR="00000000" w:rsidRPr="00000000">
        <w:rPr>
          <w:rtl w:val="0"/>
        </w:rPr>
      </w:r>
    </w:p>
    <w:p w:rsidR="00000000" w:rsidDel="00000000" w:rsidP="00000000" w:rsidRDefault="00000000" w:rsidRPr="00000000" w14:paraId="00000073">
      <w:pPr>
        <w:jc w:val="both"/>
        <w:rPr>
          <w:sz w:val="18"/>
          <w:szCs w:val="18"/>
        </w:rPr>
      </w:pPr>
      <w:r w:rsidDel="00000000" w:rsidR="00000000" w:rsidRPr="00000000">
        <w:rPr>
          <w:sz w:val="18"/>
          <w:szCs w:val="18"/>
          <w:rtl w:val="0"/>
        </w:rPr>
        <w:t xml:space="preserve">Piel, M., Meyer, P., Khodjakov, A., Rieder, C. L., &amp; Bornens, M. (2000). The respective contributions of the mother and daughter centrioles to centrosome activity and behavior in vertebrate cells. Journal of Cell Biology, 149(2), 317–330. </w:t>
      </w:r>
      <w:hyperlink r:id="rId21">
        <w:r w:rsidDel="00000000" w:rsidR="00000000" w:rsidRPr="00000000">
          <w:rPr>
            <w:color w:val="1155cc"/>
            <w:sz w:val="18"/>
            <w:szCs w:val="18"/>
            <w:u w:val="single"/>
            <w:rtl w:val="0"/>
          </w:rPr>
          <w:t xml:space="preserve">https://doi.org/10.1083/jcb.149.2.317</w:t>
        </w:r>
      </w:hyperlink>
      <w:r w:rsidDel="00000000" w:rsidR="00000000" w:rsidRPr="00000000">
        <w:rPr>
          <w:sz w:val="18"/>
          <w:szCs w:val="18"/>
          <w:rtl w:val="0"/>
        </w:rPr>
        <w:t xml:space="preserve"> </w:t>
      </w:r>
    </w:p>
    <w:p w:rsidR="00000000" w:rsidDel="00000000" w:rsidP="00000000" w:rsidRDefault="00000000" w:rsidRPr="00000000" w14:paraId="00000074">
      <w:pPr>
        <w:jc w:val="both"/>
        <w:rPr>
          <w:sz w:val="18"/>
          <w:szCs w:val="18"/>
        </w:rPr>
      </w:pPr>
      <w:r w:rsidDel="00000000" w:rsidR="00000000" w:rsidRPr="00000000">
        <w:rPr>
          <w:rtl w:val="0"/>
        </w:rPr>
      </w:r>
    </w:p>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Preibisch, S., Saalfeld, S., Schindelin, J., &amp; Tomancak, P. (2010). Software for bead-based registration of selective plane illumination microscopy data. Nature Methods, 7(6), 418–419. </w:t>
      </w:r>
      <w:hyperlink r:id="rId22">
        <w:r w:rsidDel="00000000" w:rsidR="00000000" w:rsidRPr="00000000">
          <w:rPr>
            <w:color w:val="1155cc"/>
            <w:sz w:val="18"/>
            <w:szCs w:val="18"/>
            <w:u w:val="single"/>
            <w:rtl w:val="0"/>
          </w:rPr>
          <w:t xml:space="preserve">https://doi.org/10.1038/nmeth0610-418</w:t>
        </w:r>
      </w:hyperlink>
      <w:r w:rsidDel="00000000" w:rsidR="00000000" w:rsidRPr="00000000">
        <w:rPr>
          <w:sz w:val="18"/>
          <w:szCs w:val="18"/>
          <w:rtl w:val="0"/>
        </w:rPr>
        <w:t xml:space="preserve"> </w:t>
      </w:r>
    </w:p>
    <w:p w:rsidR="00000000" w:rsidDel="00000000" w:rsidP="00000000" w:rsidRDefault="00000000" w:rsidRPr="00000000" w14:paraId="00000076">
      <w:pPr>
        <w:jc w:val="both"/>
        <w:rPr>
          <w:sz w:val="18"/>
          <w:szCs w:val="18"/>
        </w:rPr>
      </w:pPr>
      <w:r w:rsidDel="00000000" w:rsidR="00000000" w:rsidRPr="00000000">
        <w:rPr>
          <w:rtl w:val="0"/>
        </w:rPr>
      </w:r>
    </w:p>
    <w:p w:rsidR="00000000" w:rsidDel="00000000" w:rsidP="00000000" w:rsidRDefault="00000000" w:rsidRPr="00000000" w14:paraId="00000077">
      <w:pPr>
        <w:jc w:val="both"/>
        <w:rPr>
          <w:sz w:val="18"/>
          <w:szCs w:val="18"/>
        </w:rPr>
      </w:pPr>
      <w:r w:rsidDel="00000000" w:rsidR="00000000" w:rsidRPr="00000000">
        <w:rPr>
          <w:sz w:val="18"/>
          <w:szCs w:val="18"/>
          <w:rtl w:val="0"/>
        </w:rPr>
        <w:t xml:space="preserve">Sage, D., Donati, L., Soulez, F., Fortun, D., Schmit, G., Seitz, A., Guiet, R., Vonesch, C., &amp; Unser, M. (2017). DeconvolutionLab2: An open-source software for deconvolution microscopy. Methods, 115, 28–41. </w:t>
      </w:r>
      <w:hyperlink r:id="rId23">
        <w:r w:rsidDel="00000000" w:rsidR="00000000" w:rsidRPr="00000000">
          <w:rPr>
            <w:color w:val="1155cc"/>
            <w:sz w:val="18"/>
            <w:szCs w:val="18"/>
            <w:u w:val="single"/>
            <w:rtl w:val="0"/>
          </w:rPr>
          <w:t xml:space="preserve">https://doi.org/10.1016/j.ymeth.2016.12.015</w:t>
        </w:r>
      </w:hyperlink>
      <w:r w:rsidDel="00000000" w:rsidR="00000000" w:rsidRPr="00000000">
        <w:rPr>
          <w:sz w:val="18"/>
          <w:szCs w:val="18"/>
          <w:rtl w:val="0"/>
        </w:rPr>
        <w:t xml:space="preserve"> </w:t>
      </w:r>
    </w:p>
    <w:p w:rsidR="00000000" w:rsidDel="00000000" w:rsidP="00000000" w:rsidRDefault="00000000" w:rsidRPr="00000000" w14:paraId="00000078">
      <w:pPr>
        <w:jc w:val="both"/>
        <w:rPr>
          <w:sz w:val="18"/>
          <w:szCs w:val="18"/>
        </w:rPr>
      </w:pPr>
      <w:r w:rsidDel="00000000" w:rsidR="00000000" w:rsidRPr="00000000">
        <w:rPr>
          <w:rtl w:val="0"/>
        </w:rPr>
      </w:r>
    </w:p>
    <w:p w:rsidR="00000000" w:rsidDel="00000000" w:rsidP="00000000" w:rsidRDefault="00000000" w:rsidRPr="00000000" w14:paraId="00000079">
      <w:pPr>
        <w:jc w:val="both"/>
        <w:rPr>
          <w:sz w:val="18"/>
          <w:szCs w:val="18"/>
        </w:rPr>
      </w:pPr>
      <w:r w:rsidDel="00000000" w:rsidR="00000000" w:rsidRPr="00000000">
        <w:rPr>
          <w:sz w:val="18"/>
          <w:szCs w:val="18"/>
          <w:rtl w:val="0"/>
        </w:rPr>
        <w:t xml:space="preserve">Sillibourne, J. E., Specht, C. G., Izeddin, I., Hurbain, I., Tran, P., Triller, A., Darzacq, X., Dahan, M., &amp; Bornens, M. (2011). Assessing the localization of centrosomal proteins by PALM/STORM nanoscopy. Cytoskeleton, 68(11), 619–627. </w:t>
      </w:r>
      <w:hyperlink r:id="rId24">
        <w:r w:rsidDel="00000000" w:rsidR="00000000" w:rsidRPr="00000000">
          <w:rPr>
            <w:color w:val="1155cc"/>
            <w:sz w:val="18"/>
            <w:szCs w:val="18"/>
            <w:u w:val="single"/>
            <w:rtl w:val="0"/>
          </w:rPr>
          <w:t xml:space="preserve">https://doi.org/10.1002/cm.20536</w:t>
        </w:r>
      </w:hyperlink>
      <w:r w:rsidDel="00000000" w:rsidR="00000000" w:rsidRPr="00000000">
        <w:rPr>
          <w:sz w:val="18"/>
          <w:szCs w:val="18"/>
          <w:rtl w:val="0"/>
        </w:rPr>
        <w:t xml:space="preserve"> </w:t>
      </w:r>
    </w:p>
    <w:p w:rsidR="00000000" w:rsidDel="00000000" w:rsidP="00000000" w:rsidRDefault="00000000" w:rsidRPr="00000000" w14:paraId="0000007A">
      <w:pPr>
        <w:jc w:val="both"/>
        <w:rPr>
          <w:sz w:val="18"/>
          <w:szCs w:val="18"/>
        </w:rPr>
      </w:pPr>
      <w:r w:rsidDel="00000000" w:rsidR="00000000" w:rsidRPr="00000000">
        <w:rPr>
          <w:rtl w:val="0"/>
        </w:rPr>
      </w:r>
    </w:p>
    <w:p w:rsidR="00000000" w:rsidDel="00000000" w:rsidP="00000000" w:rsidRDefault="00000000" w:rsidRPr="00000000" w14:paraId="0000007B">
      <w:pPr>
        <w:jc w:val="both"/>
        <w:rPr>
          <w:sz w:val="18"/>
          <w:szCs w:val="18"/>
        </w:rPr>
      </w:pPr>
      <w:r w:rsidDel="00000000" w:rsidR="00000000" w:rsidRPr="00000000">
        <w:rPr>
          <w:sz w:val="18"/>
          <w:szCs w:val="18"/>
          <w:rtl w:val="0"/>
        </w:rPr>
        <w:t xml:space="preserve">Tanenbaum, M. E., Gilbert, L. A., Qi, L. S., Weissman, J. S., &amp; Vale, R. D. (2014). A protein-tagging system for signal amplification in gene expression and fluorescence imaging. Cell, 159(3), 635–646. </w:t>
      </w:r>
      <w:hyperlink r:id="rId25">
        <w:r w:rsidDel="00000000" w:rsidR="00000000" w:rsidRPr="00000000">
          <w:rPr>
            <w:color w:val="1155cc"/>
            <w:sz w:val="18"/>
            <w:szCs w:val="18"/>
            <w:u w:val="single"/>
            <w:rtl w:val="0"/>
          </w:rPr>
          <w:t xml:space="preserve">https://doi.org/10.1016/j.cell.2014.09.039</w:t>
        </w:r>
      </w:hyperlink>
      <w:r w:rsidDel="00000000" w:rsidR="00000000" w:rsidRPr="00000000">
        <w:rPr>
          <w:sz w:val="18"/>
          <w:szCs w:val="18"/>
          <w:rtl w:val="0"/>
        </w:rPr>
        <w:t xml:space="preserve"> </w:t>
      </w:r>
    </w:p>
    <w:p w:rsidR="00000000" w:rsidDel="00000000" w:rsidP="00000000" w:rsidRDefault="00000000" w:rsidRPr="00000000" w14:paraId="0000007C">
      <w:pPr>
        <w:jc w:val="both"/>
        <w:rPr>
          <w:sz w:val="18"/>
          <w:szCs w:val="18"/>
        </w:rPr>
      </w:pPr>
      <w:r w:rsidDel="00000000" w:rsidR="00000000" w:rsidRPr="00000000">
        <w:rPr>
          <w:rtl w:val="0"/>
        </w:rPr>
      </w:r>
    </w:p>
    <w:p w:rsidR="00000000" w:rsidDel="00000000" w:rsidP="00000000" w:rsidRDefault="00000000" w:rsidRPr="00000000" w14:paraId="0000007D">
      <w:pPr>
        <w:jc w:val="both"/>
        <w:rPr>
          <w:sz w:val="18"/>
          <w:szCs w:val="18"/>
        </w:rPr>
      </w:pPr>
      <w:r w:rsidDel="00000000" w:rsidR="00000000" w:rsidRPr="00000000">
        <w:rPr>
          <w:sz w:val="18"/>
          <w:szCs w:val="18"/>
          <w:rtl w:val="0"/>
        </w:rPr>
        <w:t xml:space="preserve">Tinevez, J. Y., Perry, N., Schindelin, J., Hoopes, G. M., Reynolds, G. D., Laplantine, E., Bednarek, S. Y., Shorte, S. L., &amp; Eliceiri, K. W. (2017). TrackMate: An open and extensible platform for single-particle tracking. Methods, 115, 80–90. </w:t>
      </w:r>
      <w:hyperlink r:id="rId26">
        <w:r w:rsidDel="00000000" w:rsidR="00000000" w:rsidRPr="00000000">
          <w:rPr>
            <w:color w:val="1155cc"/>
            <w:sz w:val="18"/>
            <w:szCs w:val="18"/>
            <w:u w:val="single"/>
            <w:rtl w:val="0"/>
          </w:rPr>
          <w:t xml:space="preserve">https://doi.org/10.1016/j.ymeth.2016.09.016</w:t>
        </w:r>
      </w:hyperlink>
      <w:r w:rsidDel="00000000" w:rsidR="00000000" w:rsidRPr="00000000">
        <w:rPr>
          <w:sz w:val="18"/>
          <w:szCs w:val="18"/>
          <w:rtl w:val="0"/>
        </w:rPr>
        <w:t xml:space="preserve"> </w:t>
      </w:r>
    </w:p>
    <w:p w:rsidR="00000000" w:rsidDel="00000000" w:rsidP="00000000" w:rsidRDefault="00000000" w:rsidRPr="00000000" w14:paraId="0000007E">
      <w:pPr>
        <w:jc w:val="both"/>
        <w:rPr>
          <w:sz w:val="18"/>
          <w:szCs w:val="18"/>
        </w:rPr>
      </w:pPr>
      <w:r w:rsidDel="00000000" w:rsidR="00000000" w:rsidRPr="00000000">
        <w:rPr>
          <w:rtl w:val="0"/>
        </w:rPr>
      </w:r>
    </w:p>
    <w:p w:rsidR="00000000" w:rsidDel="00000000" w:rsidP="00000000" w:rsidRDefault="00000000" w:rsidRPr="00000000" w14:paraId="0000007F">
      <w:pPr>
        <w:rPr>
          <w:sz w:val="14"/>
          <w:szCs w:val="14"/>
        </w:rPr>
      </w:pPr>
      <w:r w:rsidDel="00000000" w:rsidR="00000000" w:rsidRPr="00000000">
        <w:rPr>
          <w:sz w:val="18"/>
          <w:szCs w:val="18"/>
          <w:rtl w:val="0"/>
        </w:rPr>
        <w:t xml:space="preserve">Tkemaladze, J. (2026). Old Centrioles Make Old Bodies. Annals of Rejuvenation Science, 1(1). DOI : </w:t>
      </w:r>
      <w:hyperlink r:id="rId27">
        <w:r w:rsidDel="00000000" w:rsidR="00000000" w:rsidRPr="00000000">
          <w:rPr>
            <w:color w:val="1155cc"/>
            <w:sz w:val="18"/>
            <w:szCs w:val="18"/>
            <w:u w:val="single"/>
            <w:rtl w:val="0"/>
          </w:rPr>
          <w:t xml:space="preserve">https://doi.org/10.65649/yx9sn772</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nrm.2017.127" TargetMode="External"/><Relationship Id="rId22" Type="http://schemas.openxmlformats.org/officeDocument/2006/relationships/hyperlink" Target="https://doi.org/10.1038/nmeth0610-418" TargetMode="External"/><Relationship Id="rId21" Type="http://schemas.openxmlformats.org/officeDocument/2006/relationships/hyperlink" Target="https://doi.org/10.1083/jcb.149.2.317" TargetMode="External"/><Relationship Id="rId24" Type="http://schemas.openxmlformats.org/officeDocument/2006/relationships/hyperlink" Target="https://doi.org/10.1002/cm.20536" TargetMode="External"/><Relationship Id="rId23" Type="http://schemas.openxmlformats.org/officeDocument/2006/relationships/hyperlink" Target="https://doi.org/10.1016/j.ymeth.2016.12.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7554/eLife.16270" TargetMode="External"/><Relationship Id="rId26" Type="http://schemas.openxmlformats.org/officeDocument/2006/relationships/hyperlink" Target="https://doi.org/10.1016/j.ymeth.2016.09.016" TargetMode="External"/><Relationship Id="rId25" Type="http://schemas.openxmlformats.org/officeDocument/2006/relationships/hyperlink" Target="https://doi.org/10.1016/j.cell.2014.09.039" TargetMode="External"/><Relationship Id="rId27" Type="http://schemas.openxmlformats.org/officeDocument/2006/relationships/hyperlink" Target="https://doi.org/10.65649/yx9sn772" TargetMode="Externa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1016/j.cub.2009.07.034" TargetMode="External"/><Relationship Id="rId8" Type="http://schemas.openxmlformats.org/officeDocument/2006/relationships/hyperlink" Target="https://doi.org/10.1126/science.1257998" TargetMode="External"/><Relationship Id="rId11" Type="http://schemas.openxmlformats.org/officeDocument/2006/relationships/hyperlink" Target="https://doi.org/10.1002/bies.201700003" TargetMode="External"/><Relationship Id="rId10" Type="http://schemas.openxmlformats.org/officeDocument/2006/relationships/hyperlink" Target="https://doi.org/10.1038/ncb1320" TargetMode="External"/><Relationship Id="rId13" Type="http://schemas.openxmlformats.org/officeDocument/2006/relationships/hyperlink" Target="https://doi.org/10.1016/j.tcb.2016.07.003" TargetMode="External"/><Relationship Id="rId12" Type="http://schemas.openxmlformats.org/officeDocument/2006/relationships/hyperlink" Target="https://doi.org/10.1038/nmeth.1237" TargetMode="External"/><Relationship Id="rId15" Type="http://schemas.openxmlformats.org/officeDocument/2006/relationships/hyperlink" Target="https://doi.org/10.1016/j.bpj.2012.05.015" TargetMode="External"/><Relationship Id="rId14" Type="http://schemas.openxmlformats.org/officeDocument/2006/relationships/hyperlink" Target="https://doi.org/10.1186/1756-8935-7-8" TargetMode="External"/><Relationship Id="rId17" Type="http://schemas.openxmlformats.org/officeDocument/2006/relationships/hyperlink" Target="https://doi.org/10.1038/nmeth.2972" TargetMode="External"/><Relationship Id="rId16" Type="http://schemas.openxmlformats.org/officeDocument/2006/relationships/hyperlink" Target="https://doi.org/10.1007/s10059-009-0017-z" TargetMode="External"/><Relationship Id="rId19" Type="http://schemas.openxmlformats.org/officeDocument/2006/relationships/hyperlink" Target="https://doi.org/10.1016/j.devcel.2016.10.006" TargetMode="External"/><Relationship Id="rId18" Type="http://schemas.openxmlformats.org/officeDocument/2006/relationships/hyperlink" Target="https://doi.org/10.1038/nmeth.117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