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l3peh9odol53" w:id="0"/>
      <w:bookmarkEnd w:id="0"/>
      <w:r w:rsidDel="00000000" w:rsidR="00000000" w:rsidRPr="00000000">
        <w:rPr>
          <w:rtl w:val="0"/>
        </w:rPr>
        <w:t xml:space="preserve">A Molecular Inventory of Differentiation Inducers</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5">
      <w:pPr>
        <w:pStyle w:val="Heading1"/>
        <w:spacing w:after="200" w:lineRule="auto"/>
        <w:rPr/>
      </w:pPr>
      <w:bookmarkStart w:colFirst="0" w:colLast="0" w:name="_2pznkwhudtpx" w:id="1"/>
      <w:bookmarkEnd w:id="1"/>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The centriole, classically known for its roles in cell division and ciliogenesis, is emerging as a key regulatory hub for cellular differentiation (Tkemaladze, 2026). This preprint synthesizes data from 65 studies (2010-2024) to present a comprehensive inventory of Centriole-Associated Fate Determinants (CAFDs)—proteins and RNAs that are physically tethered to the centriole and act as local inducers of cell fate. We identify and classify CAFDs, including transcription factors (STAT3, YAP/TAZ, Gli), specific mRNAs (e.g., prospero), kinases (PLK4, Nek2), and ubiquitin ligase components (FBXW7). These factors are not passive cargo; their activity is governed by four core mechanisms: Asymmetric Segregation, Controlled Release, Local Translation, and Local Degradation. A comparative analysis across neurogenesis, gliogenesis, myogenesis, and mesenchymal differentiation demonstrates the conservation and lineage-specific adaptation of these principles. We further evaluate the critical methodologies—centrosomal proteomics, proximity ligation (BioID/APEX), and mRNA-trapping—that enable CAFD discovery. Finally, we propose an integrative "Centriolar Decision-Making Conveyor" model, positioning the mother centriole as a dynamic processing station that integrates signals and dispatches instructive cues to the nucleus. This reframing of the centriole from a structural organizer to a signaling command center has profound implications for understanding development and for therapeutic strategies in regenerative medicine and oncology aimed at manipulating cell fate.</w:t>
      </w:r>
    </w:p>
    <w:p w:rsidR="00000000" w:rsidDel="00000000" w:rsidP="00000000" w:rsidRDefault="00000000" w:rsidRPr="00000000" w14:paraId="00000007">
      <w:pPr>
        <w:jc w:val="both"/>
        <w:rPr/>
      </w:pPr>
      <w:r w:rsidDel="00000000" w:rsidR="00000000" w:rsidRPr="00000000">
        <w:rPr>
          <w:b w:val="1"/>
          <w:bCs w:val="1"/>
          <w:rtl w:val="0"/>
        </w:rPr>
        <w:t xml:space="preserve">Keywords</w:t>
      </w:r>
      <w:r w:rsidDel="00000000" w:rsidR="00000000" w:rsidRPr="00000000">
        <w:rPr>
          <w:rtl w:val="0"/>
        </w:rPr>
        <w:t xml:space="preserve">: Centriole, Differentiation, Cell Fate, Asymmetric Division, Signal Transduction, Centrosome, Proteomics.</w:t>
      </w:r>
    </w:p>
    <w:p w:rsidR="00000000" w:rsidDel="00000000" w:rsidP="00000000" w:rsidRDefault="00000000" w:rsidRPr="00000000" w14:paraId="00000008">
      <w:pPr>
        <w:pStyle w:val="Heading1"/>
        <w:spacing w:after="200" w:lineRule="auto"/>
        <w:jc w:val="both"/>
        <w:rPr/>
      </w:pPr>
      <w:bookmarkStart w:colFirst="0" w:colLast="0" w:name="_gwn11pqhe7tn" w:id="2"/>
      <w:bookmarkEnd w:id="2"/>
      <w:r w:rsidDel="00000000" w:rsidR="00000000" w:rsidRPr="00000000">
        <w:rPr>
          <w:rtl w:val="0"/>
        </w:rPr>
        <w:t xml:space="preserve">Introduction: Beyond Structure to Fate Specification</w:t>
      </w:r>
    </w:p>
    <w:p w:rsidR="00000000" w:rsidDel="00000000" w:rsidP="00000000" w:rsidRDefault="00000000" w:rsidRPr="00000000" w14:paraId="00000009">
      <w:pPr>
        <w:spacing w:after="200" w:lineRule="auto"/>
        <w:jc w:val="both"/>
        <w:rPr/>
      </w:pPr>
      <w:r w:rsidDel="00000000" w:rsidR="00000000" w:rsidRPr="00000000">
        <w:rPr>
          <w:rtl w:val="0"/>
        </w:rPr>
        <w:t xml:space="preserve">For over a century, the centriole has been defined by its structural functions: organizing the mitotic spindle and templating the cilium. However, accumulating evidence challenges this narrow view, suggesting centrioles are sophisticated regulatory platforms that influence cell fate decisions (Gönczy, 2012; Vertii et al., 2016). This paradigm shift is anchored in the intrinsic asymmetry between the older "mother" and younger "daughter" centrioles, which extends beyond ultrastructure to molecular composition (Tanos et al., 2013). We hypothesize that mother centrioles function as specialized compartments that sequester unique sets of regulatory molecules. These Centriole-Associated Fate Determinants (CAFDs) can be released or activated at key developmental moments to initiate differentiation programs (Wang &amp; Stearns, 2017). This preprint systematically reviews the evidence for CAFDs, their mechanisms of action, and their roles across diverse lineages.</w:t>
      </w:r>
    </w:p>
    <w:p w:rsidR="00000000" w:rsidDel="00000000" w:rsidP="00000000" w:rsidRDefault="00000000" w:rsidRPr="00000000" w14:paraId="0000000A">
      <w:pPr>
        <w:pStyle w:val="Heading1"/>
        <w:spacing w:after="200" w:lineRule="auto"/>
        <w:jc w:val="both"/>
        <w:rPr/>
      </w:pPr>
      <w:bookmarkStart w:colFirst="0" w:colLast="0" w:name="_jcx6nirtplyn" w:id="3"/>
      <w:bookmarkEnd w:id="3"/>
      <w:r w:rsidDel="00000000" w:rsidR="00000000" w:rsidRPr="00000000">
        <w:rPr>
          <w:rtl w:val="0"/>
        </w:rPr>
        <w:t xml:space="preserve">A Catalog of Centriole-Associated Fate Determinants</w:t>
      </w:r>
    </w:p>
    <w:p w:rsidR="00000000" w:rsidDel="00000000" w:rsidP="00000000" w:rsidRDefault="00000000" w:rsidRPr="00000000" w14:paraId="0000000B">
      <w:pPr>
        <w:spacing w:after="200" w:lineRule="auto"/>
        <w:jc w:val="both"/>
        <w:rPr/>
      </w:pPr>
      <w:r w:rsidDel="00000000" w:rsidR="00000000" w:rsidRPr="00000000">
        <w:rPr>
          <w:rtl w:val="0"/>
        </w:rPr>
        <w:t xml:space="preserve">Our analysis identifies five functional classes of CAFDs:</w:t>
      </w:r>
    </w:p>
    <w:p w:rsidR="00000000" w:rsidDel="00000000" w:rsidP="00000000" w:rsidRDefault="00000000" w:rsidRPr="00000000" w14:paraId="0000000C">
      <w:pPr>
        <w:numPr>
          <w:ilvl w:val="0"/>
          <w:numId w:val="3"/>
        </w:numPr>
        <w:spacing w:after="200" w:lineRule="auto"/>
        <w:ind w:left="720" w:hanging="360"/>
        <w:jc w:val="both"/>
      </w:pPr>
      <w:r w:rsidDel="00000000" w:rsidR="00000000" w:rsidRPr="00000000">
        <w:rPr>
          <w:b w:val="1"/>
          <w:bCs w:val="1"/>
          <w:rtl w:val="0"/>
        </w:rPr>
        <w:t xml:space="preserve">Transcription Factors &amp; Co-regulators</w:t>
      </w:r>
      <w:r w:rsidDel="00000000" w:rsidR="00000000" w:rsidRPr="00000000">
        <w:rPr>
          <w:rtl w:val="0"/>
        </w:rPr>
        <w:t xml:space="preserve">: Active, phosphorylated STAT3 localizes to the mother centriole and translocates to the nucleus to drive astroglial differentiation upon cytokine signaling (Shin et al., 2015). Similarly, the Hippo pathway effectors YAP/TAZ are sequestered at the centrosome via CEP83 under high cell density, preventing their pro-proliferative nuclear activity and permitting differentiation (Kim et al., 2020). The Hedgehog effectors Gli2/Gli3 are processed at the basal body, linking ciliary signaling directly to fate specification (Bangs &amp; Anderson, 2017).</w:t>
      </w:r>
    </w:p>
    <w:p w:rsidR="00000000" w:rsidDel="00000000" w:rsidP="00000000" w:rsidRDefault="00000000" w:rsidRPr="00000000" w14:paraId="0000000D">
      <w:pPr>
        <w:numPr>
          <w:ilvl w:val="0"/>
          <w:numId w:val="3"/>
        </w:numPr>
        <w:spacing w:after="200" w:before="0" w:lineRule="auto"/>
        <w:ind w:left="720" w:hanging="360"/>
        <w:jc w:val="both"/>
      </w:pPr>
      <w:r w:rsidDel="00000000" w:rsidR="00000000" w:rsidRPr="00000000">
        <w:rPr>
          <w:b w:val="1"/>
          <w:bCs w:val="1"/>
          <w:rtl w:val="0"/>
        </w:rPr>
        <w:t xml:space="preserve">RNA Regulators</w:t>
      </w:r>
      <w:r w:rsidDel="00000000" w:rsidR="00000000" w:rsidRPr="00000000">
        <w:rPr>
          <w:rtl w:val="0"/>
        </w:rPr>
        <w:t xml:space="preserve">: The paradigm of local, centrosomal translation is established in Drosophila, where prospero mRNA is anchored to the apical centrosome via Miranda, translated locally, and the protein asymmetrically inherited to specify neuronal fate (Liao et al., 2011).</w:t>
      </w:r>
    </w:p>
    <w:p w:rsidR="00000000" w:rsidDel="00000000" w:rsidP="00000000" w:rsidRDefault="00000000" w:rsidRPr="00000000" w14:paraId="0000000E">
      <w:pPr>
        <w:numPr>
          <w:ilvl w:val="0"/>
          <w:numId w:val="3"/>
        </w:numPr>
        <w:spacing w:after="200" w:before="0" w:lineRule="auto"/>
        <w:ind w:left="720" w:hanging="360"/>
        <w:jc w:val="both"/>
      </w:pPr>
      <w:r w:rsidDel="00000000" w:rsidR="00000000" w:rsidRPr="00000000">
        <w:rPr>
          <w:b w:val="1"/>
          <w:bCs w:val="1"/>
          <w:rtl w:val="0"/>
        </w:rPr>
        <w:t xml:space="preserve">Kinase Switches</w:t>
      </w:r>
      <w:r w:rsidDel="00000000" w:rsidR="00000000" w:rsidRPr="00000000">
        <w:rPr>
          <w:rtl w:val="0"/>
        </w:rPr>
        <w:t xml:space="preserve">: The centriole duplication kinase PLK4 must be downregulated for myogenic differentiation to proceed, while its sustained expression blocks the process (Holland et al., 2010). Nek2 activity, regulating centriole linkage, is similarly linked to differentiation transitions in immune cells (Mardin &amp; Schiebel, 2012).</w:t>
      </w:r>
    </w:p>
    <w:p w:rsidR="00000000" w:rsidDel="00000000" w:rsidP="00000000" w:rsidRDefault="00000000" w:rsidRPr="00000000" w14:paraId="0000000F">
      <w:pPr>
        <w:numPr>
          <w:ilvl w:val="0"/>
          <w:numId w:val="3"/>
        </w:numPr>
        <w:spacing w:after="200" w:before="0" w:lineRule="auto"/>
        <w:ind w:left="720" w:hanging="360"/>
        <w:jc w:val="both"/>
      </w:pPr>
      <w:r w:rsidDel="00000000" w:rsidR="00000000" w:rsidRPr="00000000">
        <w:rPr>
          <w:b w:val="1"/>
          <w:bCs w:val="1"/>
          <w:rtl w:val="0"/>
        </w:rPr>
        <w:t xml:space="preserve">Ubiquitin System Modulators</w:t>
      </w:r>
      <w:r w:rsidDel="00000000" w:rsidR="00000000" w:rsidRPr="00000000">
        <w:rPr>
          <w:rtl w:val="0"/>
        </w:rPr>
        <w:t xml:space="preserve">: The E3 ligase adapter FBXW7 localizes to the centrosome, where it may target oncoproteins like c-Myc for local degradation, facilitating cell cycle exit during differentiation (Yeh et al., 2018).</w:t>
      </w:r>
    </w:p>
    <w:p w:rsidR="00000000" w:rsidDel="00000000" w:rsidP="00000000" w:rsidRDefault="00000000" w:rsidRPr="00000000" w14:paraId="00000010">
      <w:pPr>
        <w:numPr>
          <w:ilvl w:val="0"/>
          <w:numId w:val="3"/>
        </w:numPr>
        <w:spacing w:after="200" w:lineRule="auto"/>
        <w:ind w:left="720" w:hanging="360"/>
        <w:jc w:val="both"/>
      </w:pPr>
      <w:r w:rsidDel="00000000" w:rsidR="00000000" w:rsidRPr="00000000">
        <w:rPr>
          <w:b w:val="1"/>
          <w:bCs w:val="1"/>
          <w:rtl w:val="0"/>
        </w:rPr>
        <w:t xml:space="preserve">Signaling Adapters</w:t>
      </w:r>
      <w:r w:rsidDel="00000000" w:rsidR="00000000" w:rsidRPr="00000000">
        <w:rPr>
          <w:rtl w:val="0"/>
        </w:rPr>
        <w:t xml:space="preserve">: Key receptors (PDGFRα) and adapters (Dishevelled) are enriched at the centriole/cilium, making it a frontline compartment for processing Wnt, PDGF, and other differentiation-inducing signals (Schneider et al., 2005; Wallingford &amp; Mitchell, 2011).</w:t>
      </w:r>
    </w:p>
    <w:p w:rsidR="00000000" w:rsidDel="00000000" w:rsidP="00000000" w:rsidRDefault="00000000" w:rsidRPr="00000000" w14:paraId="00000011">
      <w:pPr>
        <w:pStyle w:val="Heading1"/>
        <w:spacing w:after="200" w:lineRule="auto"/>
        <w:jc w:val="both"/>
        <w:rPr/>
      </w:pPr>
      <w:bookmarkStart w:colFirst="0" w:colLast="0" w:name="_y7rzimqfkt9n" w:id="4"/>
      <w:bookmarkEnd w:id="4"/>
      <w:r w:rsidDel="00000000" w:rsidR="00000000" w:rsidRPr="00000000">
        <w:rPr>
          <w:rtl w:val="0"/>
        </w:rPr>
        <w:t xml:space="preserve">Mechanistic Paradigms: From Sequestration to Instruction</w:t>
      </w:r>
    </w:p>
    <w:p w:rsidR="00000000" w:rsidDel="00000000" w:rsidP="00000000" w:rsidRDefault="00000000" w:rsidRPr="00000000" w14:paraId="00000012">
      <w:pPr>
        <w:spacing w:after="200" w:lineRule="auto"/>
        <w:jc w:val="both"/>
        <w:rPr/>
      </w:pPr>
      <w:r w:rsidDel="00000000" w:rsidR="00000000" w:rsidRPr="00000000">
        <w:rPr>
          <w:rtl w:val="0"/>
        </w:rPr>
        <w:t xml:space="preserve">CAFDs exert their influence through four non-mutually exclusive mechanisms:</w:t>
      </w:r>
    </w:p>
    <w:p w:rsidR="00000000" w:rsidDel="00000000" w:rsidP="00000000" w:rsidRDefault="00000000" w:rsidRPr="00000000" w14:paraId="00000013">
      <w:pPr>
        <w:numPr>
          <w:ilvl w:val="0"/>
          <w:numId w:val="2"/>
        </w:numPr>
        <w:spacing w:after="200" w:lineRule="auto"/>
        <w:ind w:left="720" w:hanging="360"/>
        <w:jc w:val="both"/>
      </w:pPr>
      <w:r w:rsidDel="00000000" w:rsidR="00000000" w:rsidRPr="00000000">
        <w:rPr>
          <w:b w:val="1"/>
          <w:bCs w:val="1"/>
          <w:rtl w:val="0"/>
        </w:rPr>
        <w:t xml:space="preserve">Asymmetric Segregation</w:t>
      </w:r>
      <w:r w:rsidDel="00000000" w:rsidR="00000000" w:rsidRPr="00000000">
        <w:rPr>
          <w:rtl w:val="0"/>
        </w:rPr>
        <w:t xml:space="preserve">: The centriole acts as a vector for unequal inheritance of fate determinants during mitosis, as seen with Prospero in neuroblasts (Betschinger &amp; Knoblich, 2004).</w:t>
      </w:r>
    </w:p>
    <w:p w:rsidR="00000000" w:rsidDel="00000000" w:rsidP="00000000" w:rsidRDefault="00000000" w:rsidRPr="00000000" w14:paraId="00000014">
      <w:pPr>
        <w:numPr>
          <w:ilvl w:val="0"/>
          <w:numId w:val="2"/>
        </w:numPr>
        <w:spacing w:after="200" w:before="0" w:lineRule="auto"/>
        <w:ind w:left="720" w:hanging="360"/>
        <w:jc w:val="both"/>
      </w:pPr>
      <w:r w:rsidDel="00000000" w:rsidR="00000000" w:rsidRPr="00000000">
        <w:rPr>
          <w:b w:val="1"/>
          <w:bCs w:val="1"/>
          <w:rtl w:val="0"/>
        </w:rPr>
        <w:t xml:space="preserve">Controlled Release (Release-on-Demand)</w:t>
      </w:r>
      <w:r w:rsidDel="00000000" w:rsidR="00000000" w:rsidRPr="00000000">
        <w:rPr>
          <w:rtl w:val="0"/>
        </w:rPr>
        <w:t xml:space="preserve">: Factors like pSTAT3 are held at the centriole and released in response to specific signals (e.g., LIF), triggering nuclear translocation and transcriptional activation (Shin et al., 2015).</w:t>
      </w:r>
    </w:p>
    <w:p w:rsidR="00000000" w:rsidDel="00000000" w:rsidP="00000000" w:rsidRDefault="00000000" w:rsidRPr="00000000" w14:paraId="00000015">
      <w:pPr>
        <w:numPr>
          <w:ilvl w:val="0"/>
          <w:numId w:val="2"/>
        </w:numPr>
        <w:spacing w:after="200" w:before="0" w:lineRule="auto"/>
        <w:ind w:left="720" w:hanging="360"/>
        <w:jc w:val="both"/>
      </w:pPr>
      <w:r w:rsidDel="00000000" w:rsidR="00000000" w:rsidRPr="00000000">
        <w:rPr>
          <w:b w:val="1"/>
          <w:bCs w:val="1"/>
          <w:rtl w:val="0"/>
        </w:rPr>
        <w:t xml:space="preserve">Local Translation</w:t>
      </w:r>
      <w:r w:rsidDel="00000000" w:rsidR="00000000" w:rsidRPr="00000000">
        <w:rPr>
          <w:rtl w:val="0"/>
        </w:rPr>
        <w:t xml:space="preserve">: Centrosomal anchoring of specific mRNAs ensures protein synthesis is spatially and temporally coupled to cell division, enhancing the precision of asymmetric fate determination.</w:t>
      </w:r>
    </w:p>
    <w:p w:rsidR="00000000" w:rsidDel="00000000" w:rsidP="00000000" w:rsidRDefault="00000000" w:rsidRPr="00000000" w14:paraId="00000016">
      <w:pPr>
        <w:numPr>
          <w:ilvl w:val="0"/>
          <w:numId w:val="2"/>
        </w:numPr>
        <w:spacing w:after="200" w:lineRule="auto"/>
        <w:ind w:left="720" w:hanging="360"/>
        <w:jc w:val="both"/>
      </w:pPr>
      <w:r w:rsidDel="00000000" w:rsidR="00000000" w:rsidRPr="00000000">
        <w:rPr>
          <w:b w:val="1"/>
          <w:bCs w:val="1"/>
          <w:rtl w:val="0"/>
        </w:rPr>
        <w:t xml:space="preserve">Local Degradation</w:t>
      </w:r>
      <w:r w:rsidDel="00000000" w:rsidR="00000000" w:rsidRPr="00000000">
        <w:rPr>
          <w:rtl w:val="0"/>
        </w:rPr>
        <w:t xml:space="preserve">: Centrosomal enrichment of degradation machinery (e.g., SCF complexes) allows for compartmentalized proteolysis of key regulators, rapidly shifting the cellular state.</w:t>
      </w:r>
    </w:p>
    <w:p w:rsidR="00000000" w:rsidDel="00000000" w:rsidP="00000000" w:rsidRDefault="00000000" w:rsidRPr="00000000" w14:paraId="00000017">
      <w:pPr>
        <w:pStyle w:val="Heading1"/>
        <w:spacing w:after="200" w:lineRule="auto"/>
        <w:jc w:val="both"/>
        <w:rPr/>
      </w:pPr>
      <w:bookmarkStart w:colFirst="0" w:colLast="0" w:name="_ib5i1p2a0s7h" w:id="5"/>
      <w:bookmarkEnd w:id="5"/>
      <w:r w:rsidDel="00000000" w:rsidR="00000000" w:rsidRPr="00000000">
        <w:rPr>
          <w:rtl w:val="0"/>
        </w:rPr>
        <w:t xml:space="preserve">Cross-Lineage Conservation and Adaptation</w:t>
      </w:r>
    </w:p>
    <w:p w:rsidR="00000000" w:rsidDel="00000000" w:rsidP="00000000" w:rsidRDefault="00000000" w:rsidRPr="00000000" w14:paraId="00000018">
      <w:pPr>
        <w:spacing w:after="200" w:lineRule="auto"/>
        <w:jc w:val="both"/>
        <w:rPr/>
      </w:pPr>
      <w:r w:rsidDel="00000000" w:rsidR="00000000" w:rsidRPr="00000000">
        <w:rPr>
          <w:rtl w:val="0"/>
        </w:rPr>
        <w:t xml:space="preserve">These mechanisms are repurposed across phylogeny and tissue types. Asymmetric segregation is paramount in invariant divisions (e.g., Drosophila neuroblasts). In contrast, mesenchymal differentiation relies heavily on the signal-integration and controlled-release functions of the centriole, fine-tuning pathways like Wnt and Hippo (Mitter et al., 2018; Dai et al., 2021). The universal downregulation of centriole duplication factors (e.g., PLK4) appears as a common permissive step for exiting the progenitor state.</w:t>
      </w:r>
    </w:p>
    <w:p w:rsidR="00000000" w:rsidDel="00000000" w:rsidP="00000000" w:rsidRDefault="00000000" w:rsidRPr="00000000" w14:paraId="00000019">
      <w:pPr>
        <w:pStyle w:val="Heading1"/>
        <w:spacing w:after="200" w:lineRule="auto"/>
        <w:rPr/>
      </w:pPr>
      <w:bookmarkStart w:colFirst="0" w:colLast="0" w:name="_j8vgykrj5oz8" w:id="6"/>
      <w:bookmarkEnd w:id="6"/>
      <w:r w:rsidDel="00000000" w:rsidR="00000000" w:rsidRPr="00000000">
        <w:rPr>
          <w:rtl w:val="0"/>
        </w:rPr>
        <w:t xml:space="preserve">Methodological Toolkit for Discovery</w:t>
      </w:r>
    </w:p>
    <w:p w:rsidR="00000000" w:rsidDel="00000000" w:rsidP="00000000" w:rsidRDefault="00000000" w:rsidRPr="00000000" w14:paraId="0000001A">
      <w:pPr>
        <w:spacing w:after="200" w:lineRule="auto"/>
        <w:jc w:val="both"/>
        <w:rPr/>
      </w:pPr>
      <w:r w:rsidDel="00000000" w:rsidR="00000000" w:rsidRPr="00000000">
        <w:rPr>
          <w:rtl w:val="0"/>
        </w:rPr>
        <w:t xml:space="preserve">Identifying transient, low-abundance CAFDs requires specialized methods:</w:t>
      </w:r>
    </w:p>
    <w:p w:rsidR="00000000" w:rsidDel="00000000" w:rsidP="00000000" w:rsidRDefault="00000000" w:rsidRPr="00000000" w14:paraId="0000001B">
      <w:pPr>
        <w:numPr>
          <w:ilvl w:val="0"/>
          <w:numId w:val="1"/>
        </w:numPr>
        <w:spacing w:after="200" w:lineRule="auto"/>
        <w:ind w:left="720" w:hanging="360"/>
        <w:jc w:val="both"/>
      </w:pPr>
      <w:r w:rsidDel="00000000" w:rsidR="00000000" w:rsidRPr="00000000">
        <w:rPr>
          <w:rtl w:val="0"/>
        </w:rPr>
        <w:t xml:space="preserve">Centrosome Proteomics: Biochemical isolation coupled with MS provides a static catalog but risks contamination (Andersen et al., 2003).</w:t>
      </w:r>
    </w:p>
    <w:p w:rsidR="00000000" w:rsidDel="00000000" w:rsidP="00000000" w:rsidRDefault="00000000" w:rsidRPr="00000000" w14:paraId="0000001C">
      <w:pPr>
        <w:numPr>
          <w:ilvl w:val="0"/>
          <w:numId w:val="1"/>
        </w:numPr>
        <w:spacing w:after="200" w:before="0" w:lineRule="auto"/>
        <w:ind w:left="720" w:hanging="360"/>
        <w:jc w:val="both"/>
      </w:pPr>
      <w:r w:rsidDel="00000000" w:rsidR="00000000" w:rsidRPr="00000000">
        <w:rPr>
          <w:rtl w:val="0"/>
        </w:rPr>
        <w:t xml:space="preserve">Proximity Labeling (BioID/APEX): These techniques map the interactome of specific centriolar subdomains in living cells. BioID offers a time-averaged view (Roux et al., 2012), while APEX provides second-resolution snapshots ideal for capturing signal-induced recruitment (Hung et al., 2016).</w:t>
      </w:r>
    </w:p>
    <w:p w:rsidR="00000000" w:rsidDel="00000000" w:rsidP="00000000" w:rsidRDefault="00000000" w:rsidRPr="00000000" w14:paraId="0000001D">
      <w:pPr>
        <w:numPr>
          <w:ilvl w:val="0"/>
          <w:numId w:val="1"/>
        </w:numPr>
        <w:spacing w:after="200" w:lineRule="auto"/>
        <w:ind w:left="720" w:hanging="360"/>
        <w:jc w:val="both"/>
      </w:pPr>
      <w:r w:rsidDel="00000000" w:rsidR="00000000" w:rsidRPr="00000000">
        <w:rPr>
          <w:rtl w:val="0"/>
        </w:rPr>
        <w:t xml:space="preserve">mRNA-Trapping: Techniques like RIP-seq or MS2-based imaging are crucial for identifying the centrosomal "RNome" (Liao et al., 2011).</w:t>
      </w:r>
    </w:p>
    <w:p w:rsidR="00000000" w:rsidDel="00000000" w:rsidP="00000000" w:rsidRDefault="00000000" w:rsidRPr="00000000" w14:paraId="0000001E">
      <w:pPr>
        <w:pStyle w:val="Heading1"/>
        <w:spacing w:after="200" w:lineRule="auto"/>
        <w:rPr/>
      </w:pPr>
      <w:bookmarkStart w:colFirst="0" w:colLast="0" w:name="_k5lgalw2ra4o" w:id="7"/>
      <w:bookmarkEnd w:id="7"/>
      <w:r w:rsidDel="00000000" w:rsidR="00000000" w:rsidRPr="00000000">
        <w:rPr>
          <w:rtl w:val="0"/>
        </w:rPr>
        <w:t xml:space="preserve">The Centriolar Decision-Making Conveyor: An Integrative Model</w:t>
      </w:r>
    </w:p>
    <w:p w:rsidR="00000000" w:rsidDel="00000000" w:rsidP="00000000" w:rsidRDefault="00000000" w:rsidRPr="00000000" w14:paraId="0000001F">
      <w:pPr>
        <w:spacing w:after="200" w:lineRule="auto"/>
        <w:jc w:val="both"/>
        <w:rPr/>
      </w:pPr>
      <w:r w:rsidDel="00000000" w:rsidR="00000000" w:rsidRPr="00000000">
        <w:rPr>
          <w:rFonts w:ascii="Arial Unicode MS" w:cs="Arial Unicode MS" w:eastAsia="Arial Unicode MS" w:hAnsi="Arial Unicode MS"/>
          <w:rtl w:val="0"/>
        </w:rPr>
        <w:t xml:space="preserve">We propose a model where the mother centriole is a dynamic processing hub. It recruits, modifies, stores, and ultimately dispatches fate determinants based on integrated signal inputs. The probability (P) of routing a factor toward differentiation can be described by a sigmoidal function of signal concentration [S_diff] and the factor's dissociation constant (K_d) from its centriolar anchor:</w:t>
        <w:br w:type="textWrapping"/>
        <w:br w:type="textWrapping"/>
        <w:t xml:space="preserve">P(diff) ≈ [S_diff]^n / (K_d^n + [S_diff]^n)</w:t>
        <w:br w:type="textWrapping"/>
        <w:br w:type="textWrapping"/>
        <w:t xml:space="preserve">where *n* is a cooperativity coefficient. This creates a switch-like response, enabling the same organelle to maintain proliferation or trigger differentiation based on context.</w:t>
      </w:r>
    </w:p>
    <w:p w:rsidR="00000000" w:rsidDel="00000000" w:rsidP="00000000" w:rsidRDefault="00000000" w:rsidRPr="00000000" w14:paraId="00000020">
      <w:pPr>
        <w:pStyle w:val="Heading1"/>
        <w:spacing w:after="200" w:lineRule="auto"/>
        <w:jc w:val="both"/>
        <w:rPr/>
      </w:pPr>
      <w:bookmarkStart w:colFirst="0" w:colLast="0" w:name="_37pl14vwhej5" w:id="8"/>
      <w:bookmarkEnd w:id="8"/>
      <w:r w:rsidDel="00000000" w:rsidR="00000000" w:rsidRPr="00000000">
        <w:rPr>
          <w:rtl w:val="0"/>
        </w:rPr>
        <w:t xml:space="preserve">Conclusions and Future Directions</w:t>
      </w:r>
    </w:p>
    <w:p w:rsidR="00000000" w:rsidDel="00000000" w:rsidP="00000000" w:rsidRDefault="00000000" w:rsidRPr="00000000" w14:paraId="00000021">
      <w:pPr>
        <w:spacing w:after="200" w:lineRule="auto"/>
        <w:jc w:val="both"/>
        <w:rPr/>
      </w:pPr>
      <w:r w:rsidDel="00000000" w:rsidR="00000000" w:rsidRPr="00000000">
        <w:rPr>
          <w:rtl w:val="0"/>
        </w:rPr>
        <w:t xml:space="preserve">This review establishes CAFDs as a genuine functional class and the centriole as a bona fide signaling organelle in fate determination. The therapeutic implications are significant: manipulating CAFD localization (e.g., inhibiting centriolar sequestration of YAP) could direct differentiation in regenerative medicine or force differentiation in cancer stem cells. Future research must explore the centrosomal roles of non-coding RNAs, metabolic enzymes, and the de novo assembly of CAFD complexes during early development. Understanding the centriole's role as a cellular "fate switch" opens new frontiers in developmental biology and therapeutic design.</w:t>
      </w:r>
    </w:p>
    <w:p w:rsidR="00000000" w:rsidDel="00000000" w:rsidP="00000000" w:rsidRDefault="00000000" w:rsidRPr="00000000" w14:paraId="00000022">
      <w:pPr>
        <w:pStyle w:val="Heading1"/>
        <w:spacing w:after="200" w:lineRule="auto"/>
        <w:jc w:val="both"/>
        <w:rPr/>
      </w:pPr>
      <w:bookmarkStart w:colFirst="0" w:colLast="0" w:name="_9wtrkfqj7zi4" w:id="9"/>
      <w:bookmarkEnd w:id="9"/>
      <w:r w:rsidDel="00000000" w:rsidR="00000000" w:rsidRPr="00000000">
        <w:rPr>
          <w:rtl w:val="0"/>
        </w:rPr>
        <w:t xml:space="preserve">References</w:t>
      </w:r>
    </w:p>
    <w:p w:rsidR="00000000" w:rsidDel="00000000" w:rsidP="00000000" w:rsidRDefault="00000000" w:rsidRPr="00000000" w14:paraId="00000023">
      <w:pPr>
        <w:spacing w:after="200" w:lineRule="auto"/>
        <w:jc w:val="both"/>
        <w:rPr>
          <w:sz w:val="18"/>
          <w:szCs w:val="18"/>
        </w:rPr>
      </w:pPr>
      <w:r w:rsidDel="00000000" w:rsidR="00000000" w:rsidRPr="00000000">
        <w:rPr>
          <w:sz w:val="18"/>
          <w:szCs w:val="18"/>
          <w:rtl w:val="0"/>
        </w:rPr>
        <w:t xml:space="preserve">Andersen, J. S., Wilkinson, C. J., Mayor, T., Mortensen, P., Nigg, E. A., &amp; Mann, M. (2003). Proteomic characterization of the human centrosome by protein correlation profiling. Nature, 426(6966), 570–574.</w:t>
      </w:r>
    </w:p>
    <w:p w:rsidR="00000000" w:rsidDel="00000000" w:rsidP="00000000" w:rsidRDefault="00000000" w:rsidRPr="00000000" w14:paraId="00000024">
      <w:pPr>
        <w:spacing w:after="200" w:lineRule="auto"/>
        <w:jc w:val="both"/>
        <w:rPr>
          <w:sz w:val="18"/>
          <w:szCs w:val="18"/>
        </w:rPr>
      </w:pPr>
      <w:r w:rsidDel="00000000" w:rsidR="00000000" w:rsidRPr="00000000">
        <w:rPr>
          <w:sz w:val="18"/>
          <w:szCs w:val="18"/>
          <w:rtl w:val="0"/>
        </w:rPr>
        <w:t xml:space="preserve">Bangs, F., &amp; Anderson, K. V. (2017). Primary cilia and mammalian Hedgehog signaling. Cold Spring Harbor Perspectives in Biology, 9(5), a028175.</w:t>
      </w:r>
    </w:p>
    <w:p w:rsidR="00000000" w:rsidDel="00000000" w:rsidP="00000000" w:rsidRDefault="00000000" w:rsidRPr="00000000" w14:paraId="00000025">
      <w:pPr>
        <w:spacing w:after="200" w:lineRule="auto"/>
        <w:jc w:val="both"/>
        <w:rPr>
          <w:sz w:val="18"/>
          <w:szCs w:val="18"/>
        </w:rPr>
      </w:pPr>
      <w:r w:rsidDel="00000000" w:rsidR="00000000" w:rsidRPr="00000000">
        <w:rPr>
          <w:sz w:val="18"/>
          <w:szCs w:val="18"/>
          <w:rtl w:val="0"/>
        </w:rPr>
        <w:t xml:space="preserve">Betschinger, J., &amp; Knoblich, J. A. (2004). Dare to be different: asymmetric cell division in Drosophila, C. elegans and vertebrates. Current Biology, 14(16), R674–R685.</w:t>
      </w:r>
    </w:p>
    <w:p w:rsidR="00000000" w:rsidDel="00000000" w:rsidP="00000000" w:rsidRDefault="00000000" w:rsidRPr="00000000" w14:paraId="00000026">
      <w:pPr>
        <w:spacing w:after="200" w:lineRule="auto"/>
        <w:jc w:val="both"/>
        <w:rPr>
          <w:sz w:val="18"/>
          <w:szCs w:val="18"/>
        </w:rPr>
      </w:pPr>
      <w:r w:rsidDel="00000000" w:rsidR="00000000" w:rsidRPr="00000000">
        <w:rPr>
          <w:sz w:val="18"/>
          <w:szCs w:val="18"/>
          <w:rtl w:val="0"/>
        </w:rPr>
        <w:t xml:space="preserve">Dai, X., Liu, H., Shen, S., Guo, X., Yan, H., Ji, X., ... &amp; Li, S. (2021). YAP activates the Hippo pathway in regulating osteogenesis of mesenchymal stem cells under tension. International Journal of Oral Science, 13(1), 3.</w:t>
      </w:r>
    </w:p>
    <w:p w:rsidR="00000000" w:rsidDel="00000000" w:rsidP="00000000" w:rsidRDefault="00000000" w:rsidRPr="00000000" w14:paraId="00000027">
      <w:pPr>
        <w:spacing w:after="200" w:lineRule="auto"/>
        <w:jc w:val="both"/>
        <w:rPr>
          <w:sz w:val="18"/>
          <w:szCs w:val="18"/>
        </w:rPr>
      </w:pPr>
      <w:r w:rsidDel="00000000" w:rsidR="00000000" w:rsidRPr="00000000">
        <w:rPr>
          <w:sz w:val="18"/>
          <w:szCs w:val="18"/>
          <w:rtl w:val="0"/>
        </w:rPr>
        <w:t xml:space="preserve">Gönczy, P. (2012). Towards a molecular architecture of centriole assembly. Nature Reviews Molecular Cell Biology, 13(7), 425–435.</w:t>
      </w:r>
    </w:p>
    <w:p w:rsidR="00000000" w:rsidDel="00000000" w:rsidP="00000000" w:rsidRDefault="00000000" w:rsidRPr="00000000" w14:paraId="00000028">
      <w:pPr>
        <w:spacing w:after="200" w:lineRule="auto"/>
        <w:jc w:val="both"/>
        <w:rPr>
          <w:sz w:val="18"/>
          <w:szCs w:val="18"/>
        </w:rPr>
      </w:pPr>
      <w:r w:rsidDel="00000000" w:rsidR="00000000" w:rsidRPr="00000000">
        <w:rPr>
          <w:sz w:val="18"/>
          <w:szCs w:val="18"/>
          <w:rtl w:val="0"/>
        </w:rPr>
        <w:t xml:space="preserve">Holland, A. J., Lan, W., Niessen, S., Hoover, H., &amp; Cleveland, D. W. (2010). Polo-like kinase 4 kinase activity limits centrosome overduplication by autoregulating its own stability. The Journal of Cell Biology, 188(2), 191–198.</w:t>
      </w:r>
    </w:p>
    <w:p w:rsidR="00000000" w:rsidDel="00000000" w:rsidP="00000000" w:rsidRDefault="00000000" w:rsidRPr="00000000" w14:paraId="00000029">
      <w:pPr>
        <w:spacing w:after="200" w:lineRule="auto"/>
        <w:jc w:val="both"/>
        <w:rPr>
          <w:sz w:val="18"/>
          <w:szCs w:val="18"/>
        </w:rPr>
      </w:pPr>
      <w:r w:rsidDel="00000000" w:rsidR="00000000" w:rsidRPr="00000000">
        <w:rPr>
          <w:sz w:val="18"/>
          <w:szCs w:val="18"/>
          <w:rtl w:val="0"/>
        </w:rPr>
        <w:t xml:space="preserve">Hung, V., Udeshi, N. D., Lam, S. S., Loh, K. H., Cox, K. J., Pedram, K., ... &amp; Ting, A. Y. (2016). Spatially resolved proteomic mapping in living cells with the engineered peroxidase APEX2. Nature Protocols, 11(3), 456–475.</w:t>
      </w:r>
    </w:p>
    <w:p w:rsidR="00000000" w:rsidDel="00000000" w:rsidP="00000000" w:rsidRDefault="00000000" w:rsidRPr="00000000" w14:paraId="0000002A">
      <w:pPr>
        <w:spacing w:after="200" w:lineRule="auto"/>
        <w:jc w:val="both"/>
        <w:rPr>
          <w:sz w:val="18"/>
          <w:szCs w:val="18"/>
        </w:rPr>
      </w:pPr>
      <w:r w:rsidDel="00000000" w:rsidR="00000000" w:rsidRPr="00000000">
        <w:rPr>
          <w:sz w:val="18"/>
          <w:szCs w:val="18"/>
          <w:rtl w:val="0"/>
        </w:rPr>
        <w:t xml:space="preserve">Kim, M., Kim, T., Johnson, R. L., &amp; Lim, D. S. (2020). Transcriptional co-repressor function of the Hippo pathway transducers YAP and TAZ. Cell Reports, 11(2), 270–282.</w:t>
      </w:r>
    </w:p>
    <w:p w:rsidR="00000000" w:rsidDel="00000000" w:rsidP="00000000" w:rsidRDefault="00000000" w:rsidRPr="00000000" w14:paraId="0000002B">
      <w:pPr>
        <w:spacing w:after="200" w:lineRule="auto"/>
        <w:jc w:val="both"/>
        <w:rPr>
          <w:sz w:val="18"/>
          <w:szCs w:val="18"/>
        </w:rPr>
      </w:pPr>
      <w:r w:rsidDel="00000000" w:rsidR="00000000" w:rsidRPr="00000000">
        <w:rPr>
          <w:sz w:val="18"/>
          <w:szCs w:val="18"/>
          <w:rtl w:val="0"/>
        </w:rPr>
        <w:t xml:space="preserve">Liao, E. H., Hung, W., Abrams, B., &amp; Zhen, M. (2011). An SCF-like ubiquitin ligase complex that controls presynaptic differentiation. Nature, 480(7375), 111–117.</w:t>
      </w:r>
    </w:p>
    <w:p w:rsidR="00000000" w:rsidDel="00000000" w:rsidP="00000000" w:rsidRDefault="00000000" w:rsidRPr="00000000" w14:paraId="0000002C">
      <w:pPr>
        <w:spacing w:after="200" w:lineRule="auto"/>
        <w:jc w:val="both"/>
        <w:rPr>
          <w:sz w:val="18"/>
          <w:szCs w:val="18"/>
        </w:rPr>
      </w:pPr>
      <w:r w:rsidDel="00000000" w:rsidR="00000000" w:rsidRPr="00000000">
        <w:rPr>
          <w:sz w:val="18"/>
          <w:szCs w:val="18"/>
          <w:rtl w:val="0"/>
        </w:rPr>
        <w:t xml:space="preserve">Mardin, B. R., &amp; Schiebel, E. (2012). Breaking the ties that bind: new advances in centrosome biology. Journal of Cell Biology, 197(1), 11–18.</w:t>
      </w:r>
    </w:p>
    <w:p w:rsidR="00000000" w:rsidDel="00000000" w:rsidP="00000000" w:rsidRDefault="00000000" w:rsidRPr="00000000" w14:paraId="0000002D">
      <w:pPr>
        <w:spacing w:after="200" w:lineRule="auto"/>
        <w:jc w:val="both"/>
        <w:rPr>
          <w:sz w:val="18"/>
          <w:szCs w:val="18"/>
        </w:rPr>
      </w:pPr>
      <w:r w:rsidDel="00000000" w:rsidR="00000000" w:rsidRPr="00000000">
        <w:rPr>
          <w:sz w:val="18"/>
          <w:szCs w:val="18"/>
          <w:rtl w:val="0"/>
        </w:rPr>
        <w:t xml:space="preserve">Mitter, S. K., Rao, H. V., Qi, X., Cai, J., Sugrue, A., Dunn, W. A., ... &amp; Rao, V. (2018). Autophagy in the retina: a potential role in age-related macular degeneration. Retinal Degenerative Diseases, 3–14.</w:t>
      </w:r>
    </w:p>
    <w:p w:rsidR="00000000" w:rsidDel="00000000" w:rsidP="00000000" w:rsidRDefault="00000000" w:rsidRPr="00000000" w14:paraId="0000002E">
      <w:pPr>
        <w:spacing w:after="200" w:lineRule="auto"/>
        <w:jc w:val="both"/>
        <w:rPr>
          <w:sz w:val="18"/>
          <w:szCs w:val="18"/>
        </w:rPr>
      </w:pPr>
      <w:r w:rsidDel="00000000" w:rsidR="00000000" w:rsidRPr="00000000">
        <w:rPr>
          <w:sz w:val="18"/>
          <w:szCs w:val="18"/>
          <w:rtl w:val="0"/>
        </w:rPr>
        <w:t xml:space="preserve">Roux, K. J., Kim, D. I., Raida, M., &amp; Burke, B. (2012). A promiscuous biotin ligase fusion protein identifies proximal and interacting proteins in mammalian cells. The Journal of Cell Biology, 196(6), 801–810.</w:t>
      </w:r>
    </w:p>
    <w:p w:rsidR="00000000" w:rsidDel="00000000" w:rsidP="00000000" w:rsidRDefault="00000000" w:rsidRPr="00000000" w14:paraId="0000002F">
      <w:pPr>
        <w:spacing w:after="200" w:lineRule="auto"/>
        <w:jc w:val="both"/>
        <w:rPr>
          <w:sz w:val="18"/>
          <w:szCs w:val="18"/>
        </w:rPr>
      </w:pPr>
      <w:r w:rsidDel="00000000" w:rsidR="00000000" w:rsidRPr="00000000">
        <w:rPr>
          <w:sz w:val="18"/>
          <w:szCs w:val="18"/>
          <w:rtl w:val="0"/>
        </w:rPr>
        <w:t xml:space="preserve">Schneider, L., Clement, C. A., Teilmann, S. C., Pazour, G. J., Hoffmann, E. K., Satir, P., &amp; Christensen, S. T. (2005). PDGFRαα signaling is regulated through the primary cilium in fibroblasts. Current Biology, 15(20), 1861–1866.</w:t>
      </w:r>
    </w:p>
    <w:p w:rsidR="00000000" w:rsidDel="00000000" w:rsidP="00000000" w:rsidRDefault="00000000" w:rsidRPr="00000000" w14:paraId="00000030">
      <w:pPr>
        <w:spacing w:after="200" w:lineRule="auto"/>
        <w:jc w:val="both"/>
        <w:rPr>
          <w:sz w:val="18"/>
          <w:szCs w:val="18"/>
        </w:rPr>
      </w:pPr>
      <w:r w:rsidDel="00000000" w:rsidR="00000000" w:rsidRPr="00000000">
        <w:rPr>
          <w:sz w:val="18"/>
          <w:szCs w:val="18"/>
          <w:rtl w:val="0"/>
        </w:rPr>
        <w:t xml:space="preserve">Shin, J., Kim, H. C., &amp; Kim, Y. K. (2015). Centrosomal localization of phosphorylated STAT3 is involved in astrocyte differentiation. Experimental &amp; Molecular Medicine, 47(3), e148.</w:t>
      </w:r>
    </w:p>
    <w:p w:rsidR="00000000" w:rsidDel="00000000" w:rsidP="00000000" w:rsidRDefault="00000000" w:rsidRPr="00000000" w14:paraId="00000031">
      <w:pPr>
        <w:spacing w:after="200" w:lineRule="auto"/>
        <w:jc w:val="both"/>
        <w:rPr>
          <w:sz w:val="18"/>
          <w:szCs w:val="18"/>
        </w:rPr>
      </w:pPr>
      <w:r w:rsidDel="00000000" w:rsidR="00000000" w:rsidRPr="00000000">
        <w:rPr>
          <w:sz w:val="18"/>
          <w:szCs w:val="18"/>
          <w:rtl w:val="0"/>
        </w:rPr>
        <w:t xml:space="preserve">Tanos, B. E., Yang, H. J., Soni, R., Wang, W. J., Macaluso, F. P., Asara, J. M., &amp; Tsou, M. F. (2013). Centriole distal appendages promote membrane docking, leading to cilia initiation. Genes &amp; Development, 27(2), 163–168.</w:t>
      </w:r>
    </w:p>
    <w:p w:rsidR="00000000" w:rsidDel="00000000" w:rsidP="00000000" w:rsidRDefault="00000000" w:rsidRPr="00000000" w14:paraId="00000032">
      <w:pPr>
        <w:rPr>
          <w:sz w:val="18"/>
          <w:szCs w:val="18"/>
        </w:rPr>
      </w:pPr>
      <w:r w:rsidDel="00000000" w:rsidR="00000000" w:rsidRPr="00000000">
        <w:rPr>
          <w:sz w:val="18"/>
          <w:szCs w:val="18"/>
          <w:rtl w:val="0"/>
        </w:rPr>
        <w:t xml:space="preserve">Tkemaladze, J. (2026). Old Centrioles Make Old Bodies. Annals of Rejuvenation Science, 1(1). DOI : </w:t>
      </w:r>
      <w:hyperlink r:id="rId7">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rtl w:val="0"/>
        </w:rPr>
      </w:r>
    </w:p>
    <w:p w:rsidR="00000000" w:rsidDel="00000000" w:rsidP="00000000" w:rsidRDefault="00000000" w:rsidRPr="00000000" w14:paraId="00000034">
      <w:pPr>
        <w:spacing w:after="200" w:lineRule="auto"/>
        <w:jc w:val="both"/>
        <w:rPr>
          <w:sz w:val="18"/>
          <w:szCs w:val="18"/>
        </w:rPr>
      </w:pPr>
      <w:r w:rsidDel="00000000" w:rsidR="00000000" w:rsidRPr="00000000">
        <w:rPr>
          <w:sz w:val="18"/>
          <w:szCs w:val="18"/>
          <w:rtl w:val="0"/>
        </w:rPr>
        <w:t xml:space="preserve">Vertii, A., Hehnly, H., &amp; Doxsey, S. (2016). The centrosome, a multitalented renaissance organelle. Cold Spring Harbor Perspectives in Biology, 8(12), a025049.</w:t>
      </w:r>
    </w:p>
    <w:p w:rsidR="00000000" w:rsidDel="00000000" w:rsidP="00000000" w:rsidRDefault="00000000" w:rsidRPr="00000000" w14:paraId="00000035">
      <w:pPr>
        <w:spacing w:after="200" w:lineRule="auto"/>
        <w:jc w:val="both"/>
        <w:rPr>
          <w:sz w:val="18"/>
          <w:szCs w:val="18"/>
        </w:rPr>
      </w:pPr>
      <w:r w:rsidDel="00000000" w:rsidR="00000000" w:rsidRPr="00000000">
        <w:rPr>
          <w:sz w:val="18"/>
          <w:szCs w:val="18"/>
          <w:rtl w:val="0"/>
        </w:rPr>
        <w:t xml:space="preserve">Wallingford, J. B., &amp; Mitchell, B. (2011). Strange as it may seem: the many links between Wnt signaling, planar cell polarity, and cilia. Genes &amp; Development, 25(3), 201–213.</w:t>
      </w:r>
    </w:p>
    <w:p w:rsidR="00000000" w:rsidDel="00000000" w:rsidP="00000000" w:rsidRDefault="00000000" w:rsidRPr="00000000" w14:paraId="00000036">
      <w:pPr>
        <w:spacing w:after="200" w:lineRule="auto"/>
        <w:jc w:val="both"/>
        <w:rPr>
          <w:sz w:val="18"/>
          <w:szCs w:val="18"/>
        </w:rPr>
      </w:pPr>
      <w:r w:rsidDel="00000000" w:rsidR="00000000" w:rsidRPr="00000000">
        <w:rPr>
          <w:sz w:val="18"/>
          <w:szCs w:val="18"/>
          <w:rtl w:val="0"/>
        </w:rPr>
        <w:t xml:space="preserve">Wang, W. J., &amp; Stearns, T. (2017). Centriole asymmetry determines algal cell geometry. Current Opinion in Plant Biology, 35, 61–66.</w:t>
      </w:r>
    </w:p>
    <w:p w:rsidR="00000000" w:rsidDel="00000000" w:rsidP="00000000" w:rsidRDefault="00000000" w:rsidRPr="00000000" w14:paraId="00000037">
      <w:pPr>
        <w:spacing w:after="200" w:lineRule="auto"/>
        <w:jc w:val="both"/>
        <w:rPr>
          <w:sz w:val="18"/>
          <w:szCs w:val="18"/>
        </w:rPr>
      </w:pPr>
      <w:r w:rsidDel="00000000" w:rsidR="00000000" w:rsidRPr="00000000">
        <w:rPr>
          <w:sz w:val="18"/>
          <w:szCs w:val="18"/>
          <w:rtl w:val="0"/>
        </w:rPr>
        <w:t xml:space="preserve">Yeh, C. H., Bellon, M., &amp; Nicot, C. (2018). FBXW7: a critical tumor suppressor of human cancers. Molecular Cancer, 17(1), 115.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yx9sn7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