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54zm7emevdq8" w:id="0"/>
      <w:bookmarkEnd w:id="0"/>
      <w:r w:rsidDel="00000000" w:rsidR="00000000" w:rsidRPr="00000000">
        <w:rPr>
          <w:rtl w:val="0"/>
        </w:rPr>
        <w:t xml:space="preserve">De Novo Centriole Biogenesis Assembles Fate-Determining Condensates in the Early Embryo</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5">
      <w:pPr>
        <w:pStyle w:val="Heading1"/>
        <w:spacing w:after="200" w:lineRule="auto"/>
        <w:jc w:val="both"/>
        <w:rPr/>
      </w:pPr>
      <w:bookmarkStart w:colFirst="0" w:colLast="0" w:name="_6makv943v9sh" w:id="1"/>
      <w:bookmarkEnd w:id="1"/>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The centrosome, classically viewed as the cell's microtubule-organizing center, is re-evaluated in light of its essential role in embryonic patterning. This review synthesizes evidence that the de novo formation of centrioles—occurring without templates in oocytes and zygotes—is not merely a mitotic requirement but a central organizing event in development. We propose a model wherein the nascent centriole acts as a scaffold for the liquid-liquid phase separation (LLPS) of biomolecular condensates that concentrate transcription factors, signaling adaptors, and localized mRNAs. This co-assembly creates a 'differentiation organizing supercomplex' whose asymmetric segregation during cleavage divisions instructs the first lineage decisions. We provide a stage-dependent analysis from oogenesis to blastulation, comparative evidence across model organisms, and direct experimental proof of causality. Disruption of this integrated system underlies severe human developmental disorders, reframing the centrosome as an active conductor of cell fate specification.</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Centriole, De novo biogenesis, Cell fate, Biomolecular condensates, Embryonic patterning, Asymmetric division, Developmental disorders.</w:t>
      </w:r>
    </w:p>
    <w:p w:rsidR="00000000" w:rsidDel="00000000" w:rsidP="00000000" w:rsidRDefault="00000000" w:rsidRPr="00000000" w14:paraId="00000008">
      <w:pPr>
        <w:pStyle w:val="Heading1"/>
        <w:spacing w:after="200" w:lineRule="auto"/>
        <w:jc w:val="both"/>
        <w:rPr/>
      </w:pPr>
      <w:bookmarkStart w:colFirst="0" w:colLast="0" w:name="_vump7muxyqlq" w:id="2"/>
      <w:bookmarkEnd w:id="2"/>
      <w:r w:rsidDel="00000000" w:rsidR="00000000" w:rsidRPr="00000000">
        <w:rPr>
          <w:rtl w:val="0"/>
        </w:rPr>
        <w:t xml:space="preserve">Introduction: Beyond the Spindle Pole</w:t>
      </w:r>
    </w:p>
    <w:p w:rsidR="00000000" w:rsidDel="00000000" w:rsidP="00000000" w:rsidRDefault="00000000" w:rsidRPr="00000000" w14:paraId="00000009">
      <w:pPr>
        <w:spacing w:after="200" w:lineRule="auto"/>
        <w:jc w:val="both"/>
        <w:rPr/>
      </w:pPr>
      <w:r w:rsidDel="00000000" w:rsidR="00000000" w:rsidRPr="00000000">
        <w:rPr>
          <w:rtl w:val="0"/>
        </w:rPr>
        <w:t xml:space="preserve">The early embryo faces a unique challenge: it must rapidly generate centrosomes ex nihilo to drive cleavage divisions while simultaneously establishing the asymmetries that specify cell fates. This occurs through the evolutionarily conserved pathway of de novo centriole biogenesis, which operates in the absence of pre-existing organelles in species from nematodes to humans (Wong &amp; Stearns, 2003; Rodrigues-Martins et al., 2007). We hypothesize that this process serves a dual, inseparable function. It builds the mitotic apparatus and, concurrently, assembles the spatial platforms for differentiation-inducing molecular complexes. The centrosome thus transitions from a structural entity to a developmental organizer.</w:t>
      </w:r>
    </w:p>
    <w:p w:rsidR="00000000" w:rsidDel="00000000" w:rsidP="00000000" w:rsidRDefault="00000000" w:rsidRPr="00000000" w14:paraId="0000000A">
      <w:pPr>
        <w:pStyle w:val="Heading1"/>
        <w:spacing w:after="200" w:lineRule="auto"/>
        <w:jc w:val="both"/>
        <w:rPr/>
      </w:pPr>
      <w:bookmarkStart w:colFirst="0" w:colLast="0" w:name="_kjet9upjytf7" w:id="3"/>
      <w:bookmarkEnd w:id="3"/>
      <w:r w:rsidDel="00000000" w:rsidR="00000000" w:rsidRPr="00000000">
        <w:rPr>
          <w:rtl w:val="0"/>
        </w:rPr>
        <w:t xml:space="preserve">A Stage-Dependent Model for Supercomplex Assembly</w:t>
      </w:r>
    </w:p>
    <w:p w:rsidR="00000000" w:rsidDel="00000000" w:rsidP="00000000" w:rsidRDefault="00000000" w:rsidRPr="00000000" w14:paraId="0000000B">
      <w:pPr>
        <w:spacing w:after="200" w:lineRule="auto"/>
        <w:jc w:val="both"/>
        <w:rPr/>
      </w:pPr>
      <w:r w:rsidDel="00000000" w:rsidR="00000000" w:rsidRPr="00000000">
        <w:rPr>
          <w:rtl w:val="0"/>
        </w:rPr>
        <w:t xml:space="preserve">The journey from oocyte to patterned embryo follows a choreographed sequence where centriole formation and determinant assembly are coupled.</w:t>
      </w:r>
    </w:p>
    <w:p w:rsidR="00000000" w:rsidDel="00000000" w:rsidP="00000000" w:rsidRDefault="00000000" w:rsidRPr="00000000" w14:paraId="0000000C">
      <w:pPr>
        <w:numPr>
          <w:ilvl w:val="0"/>
          <w:numId w:val="2"/>
        </w:numPr>
        <w:spacing w:after="200" w:lineRule="auto"/>
        <w:ind w:left="720" w:hanging="360"/>
        <w:jc w:val="both"/>
      </w:pPr>
      <w:r w:rsidDel="00000000" w:rsidR="00000000" w:rsidRPr="00000000">
        <w:rPr>
          <w:b w:val="1"/>
          <w:bCs w:val="1"/>
          <w:rtl w:val="0"/>
        </w:rPr>
        <w:t xml:space="preserve">Phase 0</w:t>
      </w:r>
      <w:r w:rsidDel="00000000" w:rsidR="00000000" w:rsidRPr="00000000">
        <w:rPr>
          <w:rtl w:val="0"/>
        </w:rPr>
        <w:t xml:space="preserve">: Predetermination. Oocytes accumulate a maternal stockpile of procentriolar material (e.g., PLK4, SAS-6) alongside determinants like germline P-granules in C. elegans or VegT mRNA in Xenopus (Borrego-Pinto et al., 2016; Heasman et al., 2001).</w:t>
      </w:r>
    </w:p>
    <w:p w:rsidR="00000000" w:rsidDel="00000000" w:rsidP="00000000" w:rsidRDefault="00000000" w:rsidRPr="00000000" w14:paraId="0000000D">
      <w:pPr>
        <w:numPr>
          <w:ilvl w:val="0"/>
          <w:numId w:val="2"/>
        </w:numPr>
        <w:spacing w:after="200" w:before="0" w:lineRule="auto"/>
        <w:ind w:left="720" w:hanging="360"/>
        <w:jc w:val="both"/>
      </w:pPr>
      <w:r w:rsidDel="00000000" w:rsidR="00000000" w:rsidRPr="00000000">
        <w:rPr>
          <w:b w:val="1"/>
          <w:bCs w:val="1"/>
          <w:rtl w:val="0"/>
        </w:rPr>
        <w:t xml:space="preserve">Phase 1</w:t>
      </w:r>
      <w:r w:rsidDel="00000000" w:rsidR="00000000" w:rsidRPr="00000000">
        <w:rPr>
          <w:rtl w:val="0"/>
        </w:rPr>
        <w:t xml:space="preserve">: Fertilization-Triggered Condensation. Fertilization activates de novo assembly, often around the paternal contribution. The centriolar scaffold nucleates the co-condensation of pericentriolar matrix (PCM) proteins like CEP192 and determinant-rich ribonucleoprotein (RNP) granules via LLPS (Woodruff et al., 2017; Courtois et al., 2012).</w:t>
      </w:r>
    </w:p>
    <w:p w:rsidR="00000000" w:rsidDel="00000000" w:rsidP="00000000" w:rsidRDefault="00000000" w:rsidRPr="00000000" w14:paraId="0000000E">
      <w:pPr>
        <w:numPr>
          <w:ilvl w:val="0"/>
          <w:numId w:val="2"/>
        </w:numPr>
        <w:spacing w:after="200" w:before="0" w:lineRule="auto"/>
        <w:ind w:left="720" w:hanging="360"/>
        <w:jc w:val="both"/>
      </w:pPr>
      <w:r w:rsidDel="00000000" w:rsidR="00000000" w:rsidRPr="00000000">
        <w:rPr>
          <w:b w:val="1"/>
          <w:bCs w:val="1"/>
          <w:rtl w:val="0"/>
        </w:rPr>
        <w:t xml:space="preserve">Phase 2</w:t>
      </w:r>
      <w:r w:rsidDel="00000000" w:rsidR="00000000" w:rsidRPr="00000000">
        <w:rPr>
          <w:rtl w:val="0"/>
        </w:rPr>
        <w:t xml:space="preserve">: Asymmetric Segregation. During cleavage, the centrosome-associated supercomplex is asymmetrically partitioned. In C. elegans, the posterior centrosome inherits P-granules, directing them to the germline precursor (Cowan &amp; Hyman, 2004).</w:t>
      </w:r>
    </w:p>
    <w:p w:rsidR="00000000" w:rsidDel="00000000" w:rsidP="00000000" w:rsidRDefault="00000000" w:rsidRPr="00000000" w14:paraId="0000000F">
      <w:pPr>
        <w:numPr>
          <w:ilvl w:val="0"/>
          <w:numId w:val="2"/>
        </w:numPr>
        <w:spacing w:after="200" w:lineRule="auto"/>
        <w:ind w:left="720" w:hanging="360"/>
        <w:jc w:val="both"/>
      </w:pPr>
      <w:r w:rsidDel="00000000" w:rsidR="00000000" w:rsidRPr="00000000">
        <w:rPr>
          <w:b w:val="1"/>
          <w:bCs w:val="1"/>
          <w:rtl w:val="0"/>
        </w:rPr>
        <w:t xml:space="preserve">Phase 3</w:t>
      </w:r>
      <w:r w:rsidDel="00000000" w:rsidR="00000000" w:rsidRPr="00000000">
        <w:rPr>
          <w:rtl w:val="0"/>
        </w:rPr>
        <w:t xml:space="preserve">: Lineage-Specific Signaling. In the mouse blastocyst, centrosomes in trophectoderm cells evolve into signaling hubs, enriching Hippo pathway components and nucleating primary cilia to solidify lineage identity (Kono et al., 2014; Sasaki, 2017).</w:t>
      </w:r>
    </w:p>
    <w:p w:rsidR="00000000" w:rsidDel="00000000" w:rsidP="00000000" w:rsidRDefault="00000000" w:rsidRPr="00000000" w14:paraId="00000010">
      <w:pPr>
        <w:pStyle w:val="Heading1"/>
        <w:spacing w:after="200" w:lineRule="auto"/>
        <w:jc w:val="both"/>
        <w:rPr/>
      </w:pPr>
      <w:bookmarkStart w:colFirst="0" w:colLast="0" w:name="_aphgb1bveck8" w:id="4"/>
      <w:bookmarkEnd w:id="4"/>
      <w:r w:rsidDel="00000000" w:rsidR="00000000" w:rsidRPr="00000000">
        <w:rPr>
          <w:rtl w:val="0"/>
        </w:rPr>
        <w:t xml:space="preserve">Molecular Architecture: Concentric Zones of Regulation</w:t>
      </w:r>
    </w:p>
    <w:p w:rsidR="00000000" w:rsidDel="00000000" w:rsidP="00000000" w:rsidRDefault="00000000" w:rsidRPr="00000000" w14:paraId="00000011">
      <w:pPr>
        <w:spacing w:after="200" w:lineRule="auto"/>
        <w:jc w:val="both"/>
        <w:rPr/>
      </w:pPr>
      <w:r w:rsidDel="00000000" w:rsidR="00000000" w:rsidRPr="00000000">
        <w:rPr>
          <w:rtl w:val="0"/>
        </w:rPr>
        <w:t xml:space="preserve">High-resolution data support a model of concentric molecular zones around the de novo centriole:</w:t>
      </w:r>
    </w:p>
    <w:p w:rsidR="00000000" w:rsidDel="00000000" w:rsidP="00000000" w:rsidRDefault="00000000" w:rsidRPr="00000000" w14:paraId="00000012">
      <w:pPr>
        <w:numPr>
          <w:ilvl w:val="0"/>
          <w:numId w:val="4"/>
        </w:numPr>
        <w:spacing w:after="200" w:lineRule="auto"/>
        <w:ind w:left="720" w:hanging="360"/>
        <w:jc w:val="both"/>
      </w:pPr>
      <w:r w:rsidDel="00000000" w:rsidR="00000000" w:rsidRPr="00000000">
        <w:rPr>
          <w:b w:val="1"/>
          <w:bCs w:val="1"/>
          <w:rtl w:val="0"/>
        </w:rPr>
        <w:t xml:space="preserve">Core (0-50 nm)</w:t>
      </w:r>
      <w:r w:rsidDel="00000000" w:rsidR="00000000" w:rsidRPr="00000000">
        <w:rPr>
          <w:rtl w:val="0"/>
        </w:rPr>
        <w:t xml:space="preserve">: The structural scaffold (PLK4, SAS-6, CPAP) (Dzhindzhev et al., 2017; Tang et al., 2009).</w:t>
      </w:r>
    </w:p>
    <w:p w:rsidR="00000000" w:rsidDel="00000000" w:rsidP="00000000" w:rsidRDefault="00000000" w:rsidRPr="00000000" w14:paraId="00000013">
      <w:pPr>
        <w:numPr>
          <w:ilvl w:val="0"/>
          <w:numId w:val="4"/>
        </w:numPr>
        <w:spacing w:after="200" w:before="0" w:lineRule="auto"/>
        <w:ind w:left="720" w:hanging="360"/>
        <w:jc w:val="both"/>
      </w:pPr>
      <w:r w:rsidDel="00000000" w:rsidR="00000000" w:rsidRPr="00000000">
        <w:rPr>
          <w:b w:val="1"/>
          <w:bCs w:val="1"/>
          <w:rtl w:val="0"/>
        </w:rPr>
        <w:t xml:space="preserve">Inner Shell (50-150 nm)</w:t>
      </w:r>
      <w:r w:rsidDel="00000000" w:rsidR="00000000" w:rsidRPr="00000000">
        <w:rPr>
          <w:rtl w:val="0"/>
        </w:rPr>
        <w:t xml:space="preserve">: A regulatory platform (CEP192/SPD-5) enriched with kinases (Aurora A), phosphatases, and RNA adaptor proteins (Woodruff et al., 2017; Sardon et al., 2008).</w:t>
      </w:r>
    </w:p>
    <w:p w:rsidR="00000000" w:rsidDel="00000000" w:rsidP="00000000" w:rsidRDefault="00000000" w:rsidRPr="00000000" w14:paraId="00000014">
      <w:pPr>
        <w:numPr>
          <w:ilvl w:val="0"/>
          <w:numId w:val="4"/>
        </w:numPr>
        <w:spacing w:after="200" w:lineRule="auto"/>
        <w:ind w:left="720" w:hanging="360"/>
        <w:jc w:val="both"/>
      </w:pPr>
      <w:r w:rsidDel="00000000" w:rsidR="00000000" w:rsidRPr="00000000">
        <w:rPr>
          <w:b w:val="1"/>
          <w:bCs w:val="1"/>
          <w:rtl w:val="0"/>
        </w:rPr>
        <w:t xml:space="preserve">Outer Shell/Satellites (150-500 nm)</w:t>
      </w:r>
      <w:r w:rsidDel="00000000" w:rsidR="00000000" w:rsidRPr="00000000">
        <w:rPr>
          <w:rtl w:val="0"/>
        </w:rPr>
        <w:t xml:space="preserve">: The differentiation-inducing cargo itself: transcription factors (Oct4, Cdx2), repressors (PIE-1), RNA-binding proteins (VASA, PUMILIO), and signaling adaptors (Dishevelled) (Plachta et al., 2011; Kloc et al., 2002; Huang &amp; He, 2008).</w:t>
      </w:r>
    </w:p>
    <w:p w:rsidR="00000000" w:rsidDel="00000000" w:rsidP="00000000" w:rsidRDefault="00000000" w:rsidRPr="00000000" w14:paraId="00000015">
      <w:pPr>
        <w:spacing w:after="200" w:lineRule="auto"/>
        <w:jc w:val="both"/>
        <w:rPr/>
      </w:pPr>
      <w:r w:rsidDel="00000000" w:rsidR="00000000" w:rsidRPr="00000000">
        <w:rPr>
          <w:rtl w:val="0"/>
        </w:rPr>
        <w:t xml:space="preserve">The assembly is driven by LLPS, where multivalent, weak interactions between disordered regions in scaffold proteins and determinants govern partitioning into the centrosomal condensate. The enrichment can be described conceptually by the relationship: [D]_centrosome / [D]_cytoplasm = exp( -ΔG_binding / kT ), where a more negative ΔG_binding signifies stronger enrichment.</w:t>
      </w:r>
    </w:p>
    <w:p w:rsidR="00000000" w:rsidDel="00000000" w:rsidP="00000000" w:rsidRDefault="00000000" w:rsidRPr="00000000" w14:paraId="00000016">
      <w:pPr>
        <w:pStyle w:val="Heading1"/>
        <w:spacing w:after="200" w:lineRule="auto"/>
        <w:jc w:val="both"/>
        <w:rPr/>
      </w:pPr>
      <w:bookmarkStart w:colFirst="0" w:colLast="0" w:name="_dan80nu5g9ms" w:id="5"/>
      <w:bookmarkEnd w:id="5"/>
      <w:r w:rsidDel="00000000" w:rsidR="00000000" w:rsidRPr="00000000">
        <w:rPr>
          <w:rtl w:val="0"/>
        </w:rPr>
        <w:t xml:space="preserve">Comparative and Causal Evidence Across Species</w:t>
      </w:r>
    </w:p>
    <w:p w:rsidR="00000000" w:rsidDel="00000000" w:rsidP="00000000" w:rsidRDefault="00000000" w:rsidRPr="00000000" w14:paraId="00000017">
      <w:pPr>
        <w:spacing w:after="200" w:lineRule="auto"/>
        <w:jc w:val="both"/>
        <w:rPr/>
      </w:pPr>
      <w:r w:rsidDel="00000000" w:rsidR="00000000" w:rsidRPr="00000000">
        <w:rPr>
          <w:rtl w:val="0"/>
        </w:rPr>
        <w:t xml:space="preserve">The mechanism is conserved but specialized:</w:t>
      </w:r>
    </w:p>
    <w:p w:rsidR="00000000" w:rsidDel="00000000" w:rsidP="00000000" w:rsidRDefault="00000000" w:rsidRPr="00000000" w14:paraId="00000018">
      <w:pPr>
        <w:numPr>
          <w:ilvl w:val="0"/>
          <w:numId w:val="3"/>
        </w:numPr>
        <w:spacing w:after="200" w:lineRule="auto"/>
        <w:ind w:left="720" w:hanging="360"/>
        <w:jc w:val="both"/>
      </w:pPr>
      <w:r w:rsidDel="00000000" w:rsidR="00000000" w:rsidRPr="00000000">
        <w:rPr>
          <w:b w:val="1"/>
          <w:bCs w:val="1"/>
          <w:rtl w:val="0"/>
        </w:rPr>
        <w:t xml:space="preserve">C. elegans</w:t>
      </w:r>
      <w:r w:rsidDel="00000000" w:rsidR="00000000" w:rsidRPr="00000000">
        <w:rPr>
          <w:rtl w:val="0"/>
        </w:rPr>
        <w:t xml:space="preserve">: Centrosomes segregate P-granules for germline specification.</w:t>
      </w:r>
    </w:p>
    <w:p w:rsidR="00000000" w:rsidDel="00000000" w:rsidP="00000000" w:rsidRDefault="00000000" w:rsidRPr="00000000" w14:paraId="00000019">
      <w:pPr>
        <w:numPr>
          <w:ilvl w:val="0"/>
          <w:numId w:val="3"/>
        </w:numPr>
        <w:spacing w:after="200" w:before="0" w:lineRule="auto"/>
        <w:ind w:left="720" w:hanging="360"/>
        <w:jc w:val="both"/>
      </w:pPr>
      <w:r w:rsidDel="00000000" w:rsidR="00000000" w:rsidRPr="00000000">
        <w:rPr>
          <w:b w:val="1"/>
          <w:bCs w:val="1"/>
          <w:rtl w:val="0"/>
        </w:rPr>
        <w:t xml:space="preserve">Drosophila</w:t>
      </w:r>
      <w:r w:rsidDel="00000000" w:rsidR="00000000" w:rsidRPr="00000000">
        <w:rPr>
          <w:rtl w:val="0"/>
        </w:rPr>
        <w:t xml:space="preserve">: Syncytial centrosomes organize morphogen mRNA gradients (e.g., bicoid) (Weil et al., 2010).</w:t>
      </w:r>
    </w:p>
    <w:p w:rsidR="00000000" w:rsidDel="00000000" w:rsidP="00000000" w:rsidRDefault="00000000" w:rsidRPr="00000000" w14:paraId="0000001A">
      <w:pPr>
        <w:numPr>
          <w:ilvl w:val="0"/>
          <w:numId w:val="3"/>
        </w:numPr>
        <w:spacing w:after="200" w:before="0" w:lineRule="auto"/>
        <w:ind w:left="720" w:hanging="360"/>
        <w:jc w:val="both"/>
      </w:pPr>
      <w:r w:rsidDel="00000000" w:rsidR="00000000" w:rsidRPr="00000000">
        <w:rPr>
          <w:b w:val="1"/>
          <w:bCs w:val="1"/>
          <w:rtl w:val="0"/>
        </w:rPr>
        <w:t xml:space="preserve">Xenopus</w:t>
      </w:r>
      <w:r w:rsidDel="00000000" w:rsidR="00000000" w:rsidRPr="00000000">
        <w:rPr>
          <w:rtl w:val="0"/>
        </w:rPr>
        <w:t xml:space="preserve">: Vegetal MTOCs localize mesendodermal determinants (VegT) and Wnt pathway components (Weaver &amp; Kimelman, 2004).</w:t>
      </w:r>
    </w:p>
    <w:p w:rsidR="00000000" w:rsidDel="00000000" w:rsidP="00000000" w:rsidRDefault="00000000" w:rsidRPr="00000000" w14:paraId="0000001B">
      <w:pPr>
        <w:numPr>
          <w:ilvl w:val="0"/>
          <w:numId w:val="3"/>
        </w:numPr>
        <w:spacing w:after="200" w:lineRule="auto"/>
        <w:ind w:left="720" w:hanging="360"/>
        <w:jc w:val="both"/>
      </w:pPr>
      <w:r w:rsidDel="00000000" w:rsidR="00000000" w:rsidRPr="00000000">
        <w:rPr>
          <w:b w:val="1"/>
          <w:bCs w:val="1"/>
          <w:rtl w:val="0"/>
        </w:rPr>
        <w:t xml:space="preserve">Mouse</w:t>
      </w:r>
      <w:r w:rsidDel="00000000" w:rsidR="00000000" w:rsidRPr="00000000">
        <w:rPr>
          <w:rtl w:val="0"/>
        </w:rPr>
        <w:t xml:space="preserve">: Centrosomal position integrates with apical polarity to regulate Hippo signaling for the first lineage decision.</w:t>
      </w:r>
    </w:p>
    <w:p w:rsidR="00000000" w:rsidDel="00000000" w:rsidP="00000000" w:rsidRDefault="00000000" w:rsidRPr="00000000" w14:paraId="0000001C">
      <w:pPr>
        <w:spacing w:after="200" w:lineRule="auto"/>
        <w:jc w:val="both"/>
        <w:rPr/>
      </w:pPr>
      <w:r w:rsidDel="00000000" w:rsidR="00000000" w:rsidRPr="00000000">
        <w:rPr>
          <w:rtl w:val="0"/>
        </w:rPr>
        <w:t xml:space="preserve">Experimental proof of causality is threefold:</w:t>
      </w:r>
    </w:p>
    <w:p w:rsidR="00000000" w:rsidDel="00000000" w:rsidP="00000000" w:rsidRDefault="00000000" w:rsidRPr="00000000" w14:paraId="0000001D">
      <w:pPr>
        <w:numPr>
          <w:ilvl w:val="0"/>
          <w:numId w:val="1"/>
        </w:numPr>
        <w:spacing w:after="200" w:lineRule="auto"/>
        <w:ind w:left="720" w:hanging="360"/>
        <w:jc w:val="both"/>
      </w:pPr>
      <w:r w:rsidDel="00000000" w:rsidR="00000000" w:rsidRPr="00000000">
        <w:rPr>
          <w:rtl w:val="0"/>
        </w:rPr>
        <w:t xml:space="preserve">Disrupting centriole formation (e.g., PLK4 knockdown) disrupts both mitosis and determinant localization, leading to fate transformations (Coelho et al., 2013).</w:t>
      </w:r>
    </w:p>
    <w:p w:rsidR="00000000" w:rsidDel="00000000" w:rsidP="00000000" w:rsidRDefault="00000000" w:rsidRPr="00000000" w14:paraId="0000001E">
      <w:pPr>
        <w:numPr>
          <w:ilvl w:val="0"/>
          <w:numId w:val="1"/>
        </w:numPr>
        <w:spacing w:after="200" w:before="0" w:lineRule="auto"/>
        <w:ind w:left="720" w:hanging="360"/>
        <w:jc w:val="both"/>
      </w:pPr>
      <w:r w:rsidDel="00000000" w:rsidR="00000000" w:rsidRPr="00000000">
        <w:rPr>
          <w:rtl w:val="0"/>
        </w:rPr>
        <w:t xml:space="preserve">Disrupting the physical link (e.g., </w:t>
      </w:r>
      <w:r w:rsidDel="00000000" w:rsidR="00000000" w:rsidRPr="00000000">
        <w:rPr>
          <w:i w:val="1"/>
          <w:iCs w:val="1"/>
          <w:rtl w:val="0"/>
        </w:rPr>
        <w:t xml:space="preserve">spd-5</w:t>
      </w:r>
      <w:r w:rsidDel="00000000" w:rsidR="00000000" w:rsidRPr="00000000">
        <w:rPr>
          <w:rtl w:val="0"/>
        </w:rPr>
        <w:t xml:space="preserve"> adapter mutations) leaves centrioles intact but uncouples determinants, causing identical fate defects (Hamill et al., 2002).</w:t>
      </w:r>
    </w:p>
    <w:p w:rsidR="00000000" w:rsidDel="00000000" w:rsidP="00000000" w:rsidRDefault="00000000" w:rsidRPr="00000000" w14:paraId="0000001F">
      <w:pPr>
        <w:numPr>
          <w:ilvl w:val="0"/>
          <w:numId w:val="1"/>
        </w:numPr>
        <w:spacing w:after="200" w:lineRule="auto"/>
        <w:ind w:left="720" w:hanging="360"/>
        <w:jc w:val="both"/>
      </w:pPr>
      <w:r w:rsidDel="00000000" w:rsidR="00000000" w:rsidRPr="00000000">
        <w:rPr>
          <w:rtl w:val="0"/>
        </w:rPr>
        <w:t xml:space="preserve">Artificial relocalization of a determinant (e.g., tethering PIE-1 to mitochondria) redirects cell fate, proving the sufficiency of spatial positioning (Gallo et al., 2010).</w:t>
      </w:r>
    </w:p>
    <w:p w:rsidR="00000000" w:rsidDel="00000000" w:rsidP="00000000" w:rsidRDefault="00000000" w:rsidRPr="00000000" w14:paraId="00000020">
      <w:pPr>
        <w:pStyle w:val="Heading1"/>
        <w:spacing w:after="200" w:lineRule="auto"/>
        <w:jc w:val="both"/>
        <w:rPr/>
      </w:pPr>
      <w:bookmarkStart w:colFirst="0" w:colLast="0" w:name="_g8g9hi6eruzt" w:id="6"/>
      <w:bookmarkEnd w:id="6"/>
      <w:r w:rsidDel="00000000" w:rsidR="00000000" w:rsidRPr="00000000">
        <w:rPr>
          <w:rtl w:val="0"/>
        </w:rPr>
        <w:t xml:space="preserve">Conclusions and Implications</w:t>
      </w:r>
    </w:p>
    <w:p w:rsidR="00000000" w:rsidDel="00000000" w:rsidP="00000000" w:rsidRDefault="00000000" w:rsidRPr="00000000" w14:paraId="00000021">
      <w:pPr>
        <w:spacing w:after="200" w:lineRule="auto"/>
        <w:jc w:val="both"/>
        <w:rPr/>
      </w:pPr>
      <w:r w:rsidDel="00000000" w:rsidR="00000000" w:rsidRPr="00000000">
        <w:rPr>
          <w:rtl w:val="0"/>
        </w:rPr>
        <w:t xml:space="preserve">De novo centriole formation is the architectonic event that couples cell division to lineage specification. It translates cytoplasmic prepatterns into segregated biochemical identities. This reframes the centrosome as an active developmental organizer whose function is embedded in its assembly mechanism via LLPS.</w:t>
      </w:r>
    </w:p>
    <w:p w:rsidR="00000000" w:rsidDel="00000000" w:rsidP="00000000" w:rsidRDefault="00000000" w:rsidRPr="00000000" w14:paraId="00000022">
      <w:pPr>
        <w:spacing w:after="200" w:lineRule="auto"/>
        <w:jc w:val="both"/>
        <w:rPr/>
      </w:pPr>
      <w:r w:rsidDel="00000000" w:rsidR="00000000" w:rsidRPr="00000000">
        <w:rPr>
          <w:rtl w:val="0"/>
        </w:rPr>
        <w:t xml:space="preserve">Clinical and Future Perspectives</w:t>
        <w:br w:type="textWrapping"/>
        <w:t xml:space="preserve">Mutations in de novo assembly genes (PLK4, CEP152, STIL) cause microcephaly and primordial dwarfism, pathologies stemming from failed fate determination, not just mitosis (Martin et al., 2014). Future work must map the complete interactome of these supercomplexes using integrated Cryo-ET, proximity proteomics, and single-cell omics. Stem cell-derived embryo models will be crucial for translating these principles to human development (Liu et al., 2021). Furthermore, exploring whether similar centrosomal asymmetry guides adult stem cell divisions presents a compelling avenue for understanding tissue homeostasis and aging.</w:t>
      </w:r>
    </w:p>
    <w:p w:rsidR="00000000" w:rsidDel="00000000" w:rsidP="00000000" w:rsidRDefault="00000000" w:rsidRPr="00000000" w14:paraId="00000023">
      <w:pPr>
        <w:pStyle w:val="Heading1"/>
        <w:spacing w:after="200" w:lineRule="auto"/>
        <w:jc w:val="both"/>
        <w:rPr/>
      </w:pPr>
      <w:bookmarkStart w:colFirst="0" w:colLast="0" w:name="_ugmo26qvm6ym" w:id="7"/>
      <w:bookmarkEnd w:id="7"/>
      <w:r w:rsidDel="00000000" w:rsidR="00000000" w:rsidRPr="00000000">
        <w:rPr>
          <w:rtl w:val="0"/>
        </w:rPr>
        <w:t xml:space="preserve">References</w:t>
      </w:r>
    </w:p>
    <w:p w:rsidR="00000000" w:rsidDel="00000000" w:rsidP="00000000" w:rsidRDefault="00000000" w:rsidRPr="00000000" w14:paraId="00000024">
      <w:pPr>
        <w:spacing w:after="200" w:lineRule="auto"/>
        <w:jc w:val="both"/>
        <w:rPr/>
      </w:pPr>
      <w:r w:rsidDel="00000000" w:rsidR="00000000" w:rsidRPr="00000000">
        <w:rPr>
          <w:rtl w:val="0"/>
        </w:rPr>
        <w:t xml:space="preserve">Borrego-Pinto, J., Somogyi, K., Karreman, M. A., König, J., Müller-Reichert, T., Bettencourt-Dias, M., ... &amp; Gönczy, P. (2016). Distinct mechanisms eliminate mother and daughter centrioles in meiosis of starfish oocytes. Journal of Cell Biology, 212(7), 815–827. </w:t>
      </w:r>
      <w:hyperlink r:id="rId7">
        <w:r w:rsidDel="00000000" w:rsidR="00000000" w:rsidRPr="00000000">
          <w:rPr>
            <w:color w:val="1155cc"/>
            <w:u w:val="single"/>
            <w:rtl w:val="0"/>
          </w:rPr>
          <w:t xml:space="preserve">https://doi.org/10.1083/jcb.201510083</w:t>
        </w:r>
      </w:hyperlink>
      <w:r w:rsidDel="00000000" w:rsidR="00000000" w:rsidRPr="00000000">
        <w:rPr>
          <w:rtl w:val="0"/>
        </w:rPr>
      </w:r>
    </w:p>
    <w:p w:rsidR="00000000" w:rsidDel="00000000" w:rsidP="00000000" w:rsidRDefault="00000000" w:rsidRPr="00000000" w14:paraId="00000025">
      <w:pPr>
        <w:spacing w:after="200" w:lineRule="auto"/>
        <w:jc w:val="both"/>
        <w:rPr/>
      </w:pPr>
      <w:r w:rsidDel="00000000" w:rsidR="00000000" w:rsidRPr="00000000">
        <w:rPr>
          <w:rtl w:val="0"/>
        </w:rPr>
        <w:t xml:space="preserve">Coelho, P. A., Bury, L., Sharif, B., Riparbelli, M. G., Fu, J., Callaini, G., ... &amp; Glover, D. M. (2013). Spindle formation in the mouse embryo requires Plk4 in the absence of centrioles. Developmental Cell, 27(5), 586–597. </w:t>
      </w:r>
      <w:hyperlink r:id="rId8">
        <w:r w:rsidDel="00000000" w:rsidR="00000000" w:rsidRPr="00000000">
          <w:rPr>
            <w:color w:val="1155cc"/>
            <w:u w:val="single"/>
            <w:rtl w:val="0"/>
          </w:rPr>
          <w:t xml:space="preserve">https://doi.org/10.1016/j.devcel.2013.09.029</w:t>
        </w:r>
      </w:hyperlink>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rtl w:val="0"/>
        </w:rPr>
        <w:t xml:space="preserve">Courtois, A., Schuh, M., Ellenberg, J., &amp; Hiiragi, T. (2012). The transition from meiotic to mitotic spindle assembly is gradual during early mammalian development. Journal of Cell Biology, 198(3), 357–370. </w:t>
      </w:r>
      <w:hyperlink r:id="rId9">
        <w:r w:rsidDel="00000000" w:rsidR="00000000" w:rsidRPr="00000000">
          <w:rPr>
            <w:color w:val="1155cc"/>
            <w:u w:val="single"/>
            <w:rtl w:val="0"/>
          </w:rPr>
          <w:t xml:space="preserve">https://doi.org/10.1083/jcb.201202135</w:t>
        </w:r>
      </w:hyperlink>
      <w:r w:rsidDel="00000000" w:rsidR="00000000" w:rsidRPr="00000000">
        <w:rPr>
          <w:rtl w:val="0"/>
        </w:rPr>
      </w:r>
    </w:p>
    <w:p w:rsidR="00000000" w:rsidDel="00000000" w:rsidP="00000000" w:rsidRDefault="00000000" w:rsidRPr="00000000" w14:paraId="00000027">
      <w:pPr>
        <w:spacing w:after="200" w:lineRule="auto"/>
        <w:jc w:val="both"/>
        <w:rPr/>
      </w:pPr>
      <w:r w:rsidDel="00000000" w:rsidR="00000000" w:rsidRPr="00000000">
        <w:rPr>
          <w:rtl w:val="0"/>
        </w:rPr>
        <w:t xml:space="preserve">Cowan, C. R., &amp; Hyman, A. A. (2004). Centrosomes direct cell polarity independently of microtubule assembly in C. elegans embryos. Nature, 431(7007), 92–96. </w:t>
      </w:r>
      <w:hyperlink r:id="rId10">
        <w:r w:rsidDel="00000000" w:rsidR="00000000" w:rsidRPr="00000000">
          <w:rPr>
            <w:color w:val="1155cc"/>
            <w:u w:val="single"/>
            <w:rtl w:val="0"/>
          </w:rPr>
          <w:t xml:space="preserve">https://doi.org/10.1038/nature02825</w:t>
        </w:r>
      </w:hyperlink>
      <w:r w:rsidDel="00000000" w:rsidR="00000000" w:rsidRPr="00000000">
        <w:rPr>
          <w:rtl w:val="0"/>
        </w:rPr>
      </w:r>
    </w:p>
    <w:p w:rsidR="00000000" w:rsidDel="00000000" w:rsidP="00000000" w:rsidRDefault="00000000" w:rsidRPr="00000000" w14:paraId="00000028">
      <w:pPr>
        <w:spacing w:after="200" w:lineRule="auto"/>
        <w:jc w:val="both"/>
        <w:rPr/>
      </w:pPr>
      <w:r w:rsidDel="00000000" w:rsidR="00000000" w:rsidRPr="00000000">
        <w:rPr>
          <w:rtl w:val="0"/>
        </w:rPr>
        <w:t xml:space="preserve">Dzhindzhev, N. S., Tzolovsky, G., Lipinszki, Z., Schneider, S., Lattao, R., Fu, J., ... &amp; Glover, D. M. (2017). Plk4 phosphorylates Ana2 to trigger Sas6 recruitment and procentriole formation. Current Biology, 27(24), 3527-3538.e4. </w:t>
      </w:r>
      <w:hyperlink r:id="rId11">
        <w:r w:rsidDel="00000000" w:rsidR="00000000" w:rsidRPr="00000000">
          <w:rPr>
            <w:color w:val="1155cc"/>
            <w:u w:val="single"/>
            <w:rtl w:val="0"/>
          </w:rPr>
          <w:t xml:space="preserve">https://doi.org/10.1016/j.cub.2017.11.042</w:t>
        </w:r>
      </w:hyperlink>
      <w:r w:rsidDel="00000000" w:rsidR="00000000" w:rsidRPr="00000000">
        <w:rPr>
          <w:rtl w:val="0"/>
        </w:rPr>
      </w:r>
    </w:p>
    <w:p w:rsidR="00000000" w:rsidDel="00000000" w:rsidP="00000000" w:rsidRDefault="00000000" w:rsidRPr="00000000" w14:paraId="00000029">
      <w:pPr>
        <w:spacing w:after="200" w:lineRule="auto"/>
        <w:jc w:val="both"/>
        <w:rPr/>
      </w:pPr>
      <w:r w:rsidDel="00000000" w:rsidR="00000000" w:rsidRPr="00000000">
        <w:rPr>
          <w:rtl w:val="0"/>
        </w:rPr>
        <w:t xml:space="preserve">Gallo, C. M., Wang, J. T., Motegi, F., &amp; Seydoux, G. (2010). Cytoplasmic partitioning of P granule components is not required to specify the germline in C. elegans. Science, 330(6011), 1685–1689. </w:t>
      </w:r>
      <w:hyperlink r:id="rId12">
        <w:r w:rsidDel="00000000" w:rsidR="00000000" w:rsidRPr="00000000">
          <w:rPr>
            <w:color w:val="1155cc"/>
            <w:u w:val="single"/>
            <w:rtl w:val="0"/>
          </w:rPr>
          <w:t xml:space="preserve">https://doi.org/10.1126/science.1193697</w:t>
        </w:r>
      </w:hyperlink>
      <w:r w:rsidDel="00000000" w:rsidR="00000000" w:rsidRPr="00000000">
        <w:rPr>
          <w:rtl w:val="0"/>
        </w:rPr>
      </w:r>
    </w:p>
    <w:p w:rsidR="00000000" w:rsidDel="00000000" w:rsidP="00000000" w:rsidRDefault="00000000" w:rsidRPr="00000000" w14:paraId="0000002A">
      <w:pPr>
        <w:spacing w:after="200" w:lineRule="auto"/>
        <w:jc w:val="both"/>
        <w:rPr/>
      </w:pPr>
      <w:r w:rsidDel="00000000" w:rsidR="00000000" w:rsidRPr="00000000">
        <w:rPr>
          <w:rtl w:val="0"/>
        </w:rPr>
        <w:t xml:space="preserve">Hamill, D. R., Severson, A. F., Carter, J. C., &amp; Bowerman, B. (2002). Centrosome maturation and mitotic spindle assembly in C. elegans require SPD-5, a protein with multiple coiled-coil domains. Developmental Cell, 3(5), 673–684. </w:t>
      </w:r>
      <w:hyperlink r:id="rId13">
        <w:r w:rsidDel="00000000" w:rsidR="00000000" w:rsidRPr="00000000">
          <w:rPr>
            <w:color w:val="1155cc"/>
            <w:u w:val="single"/>
            <w:rtl w:val="0"/>
          </w:rPr>
          <w:t xml:space="preserve">https://doi.org/10.1016/s1534-5807(02)00327-1</w:t>
        </w:r>
      </w:hyperlink>
      <w:r w:rsidDel="00000000" w:rsidR="00000000" w:rsidRPr="00000000">
        <w:rPr>
          <w:rtl w:val="0"/>
        </w:rPr>
      </w:r>
    </w:p>
    <w:p w:rsidR="00000000" w:rsidDel="00000000" w:rsidP="00000000" w:rsidRDefault="00000000" w:rsidRPr="00000000" w14:paraId="0000002B">
      <w:pPr>
        <w:spacing w:after="200" w:lineRule="auto"/>
        <w:jc w:val="both"/>
        <w:rPr/>
      </w:pPr>
      <w:r w:rsidDel="00000000" w:rsidR="00000000" w:rsidRPr="00000000">
        <w:rPr>
          <w:rtl w:val="0"/>
        </w:rPr>
        <w:t xml:space="preserve">Heasman, J., Wessely, O., Langland, R., Craig, E. J., &amp; Kessler, D. S. (2001). Vegetal localization of maternal mRNAs is disrupted by VegT depletion. Developmental Biology, 240(2), 377–386. </w:t>
      </w:r>
      <w:hyperlink r:id="rId14">
        <w:r w:rsidDel="00000000" w:rsidR="00000000" w:rsidRPr="00000000">
          <w:rPr>
            <w:color w:val="1155cc"/>
            <w:u w:val="single"/>
            <w:rtl w:val="0"/>
          </w:rPr>
          <w:t xml:space="preserve">https://doi.org/10.1006/dbio.2001.0479</w:t>
        </w:r>
      </w:hyperlink>
      <w:r w:rsidDel="00000000" w:rsidR="00000000" w:rsidRPr="00000000">
        <w:rPr>
          <w:rtl w:val="0"/>
        </w:rPr>
      </w:r>
    </w:p>
    <w:p w:rsidR="00000000" w:rsidDel="00000000" w:rsidP="00000000" w:rsidRDefault="00000000" w:rsidRPr="00000000" w14:paraId="0000002C">
      <w:pPr>
        <w:spacing w:after="200" w:lineRule="auto"/>
        <w:jc w:val="both"/>
        <w:rPr/>
      </w:pPr>
      <w:r w:rsidDel="00000000" w:rsidR="00000000" w:rsidRPr="00000000">
        <w:rPr>
          <w:rtl w:val="0"/>
        </w:rPr>
        <w:t xml:space="preserve">Huang, P., &amp; He, X. (2008). Wnt signaling: a complex signal transduction network. Current Opinion in Cell Biology, 20(2), 119-125. </w:t>
      </w:r>
      <w:hyperlink r:id="rId15">
        <w:r w:rsidDel="00000000" w:rsidR="00000000" w:rsidRPr="00000000">
          <w:rPr>
            <w:color w:val="1155cc"/>
            <w:u w:val="single"/>
            <w:rtl w:val="0"/>
          </w:rPr>
          <w:t xml:space="preserve">https://doi.org/10.1016/j.ceb.2008.01.009</w:t>
        </w:r>
      </w:hyperlink>
      <w:r w:rsidDel="00000000" w:rsidR="00000000" w:rsidRPr="00000000">
        <w:rPr>
          <w:rtl w:val="0"/>
        </w:rPr>
      </w:r>
    </w:p>
    <w:p w:rsidR="00000000" w:rsidDel="00000000" w:rsidP="00000000" w:rsidRDefault="00000000" w:rsidRPr="00000000" w14:paraId="0000002D">
      <w:pPr>
        <w:spacing w:after="200" w:lineRule="auto"/>
        <w:jc w:val="both"/>
        <w:rPr/>
      </w:pPr>
      <w:r w:rsidDel="00000000" w:rsidR="00000000" w:rsidRPr="00000000">
        <w:rPr>
          <w:rtl w:val="0"/>
        </w:rPr>
        <w:t xml:space="preserve">Kloc, M., Zearfoss, N. R., &amp; Etkin, L. D. (2002). Mechanisms of subcellular mRNA localization. Cell, 108(4), 533–544. </w:t>
      </w:r>
      <w:hyperlink r:id="rId16">
        <w:r w:rsidDel="00000000" w:rsidR="00000000" w:rsidRPr="00000000">
          <w:rPr>
            <w:color w:val="1155cc"/>
            <w:u w:val="single"/>
            <w:rtl w:val="0"/>
          </w:rPr>
          <w:t xml:space="preserve">https://doi.org/10.1016/s0092-8674(02)00651-7</w:t>
        </w:r>
      </w:hyperlink>
      <w:r w:rsidDel="00000000" w:rsidR="00000000" w:rsidRPr="00000000">
        <w:rPr>
          <w:rtl w:val="0"/>
        </w:rPr>
      </w:r>
    </w:p>
    <w:p w:rsidR="00000000" w:rsidDel="00000000" w:rsidP="00000000" w:rsidRDefault="00000000" w:rsidRPr="00000000" w14:paraId="0000002E">
      <w:pPr>
        <w:spacing w:after="200" w:lineRule="auto"/>
        <w:jc w:val="both"/>
        <w:rPr/>
      </w:pPr>
      <w:r w:rsidDel="00000000" w:rsidR="00000000" w:rsidRPr="00000000">
        <w:rPr>
          <w:rtl w:val="0"/>
        </w:rPr>
        <w:t xml:space="preserve">Kono, K., Tamashiro, D. A., &amp; Alarcon, V. B. (2014). Inhibition of RHO-ROCK signaling enhances ICM and suppresses TE characteristics through activation of Hippo signaling in the mouse blastocyst. Developmental Biology, 394(1), 142–155. </w:t>
      </w:r>
      <w:hyperlink r:id="rId17">
        <w:r w:rsidDel="00000000" w:rsidR="00000000" w:rsidRPr="00000000">
          <w:rPr>
            <w:color w:val="1155cc"/>
            <w:u w:val="single"/>
            <w:rtl w:val="0"/>
          </w:rPr>
          <w:t xml:space="preserve">https://doi.org/10.1016/j.ydbio.2014.06.023</w:t>
        </w:r>
      </w:hyperlink>
      <w:r w:rsidDel="00000000" w:rsidR="00000000" w:rsidRPr="00000000">
        <w:rPr>
          <w:rtl w:val="0"/>
        </w:rPr>
      </w:r>
    </w:p>
    <w:p w:rsidR="00000000" w:rsidDel="00000000" w:rsidP="00000000" w:rsidRDefault="00000000" w:rsidRPr="00000000" w14:paraId="0000002F">
      <w:pPr>
        <w:spacing w:after="200" w:lineRule="auto"/>
        <w:jc w:val="both"/>
        <w:rPr/>
      </w:pPr>
      <w:r w:rsidDel="00000000" w:rsidR="00000000" w:rsidRPr="00000000">
        <w:rPr>
          <w:rtl w:val="0"/>
        </w:rPr>
        <w:t xml:space="preserve">Liu, X., Tan, J. P., Schröder, J., Aberkane, A., Ouyang, J. F., Mohenska, M., ... &amp; Polo, J. M. (2021). Modelling human blastocysts by reprogramming fibroblasts into iBlastoids. Nature, 591(7851), 627–632. </w:t>
      </w:r>
      <w:hyperlink r:id="rId18">
        <w:r w:rsidDel="00000000" w:rsidR="00000000" w:rsidRPr="00000000">
          <w:rPr>
            <w:color w:val="1155cc"/>
            <w:u w:val="single"/>
            <w:rtl w:val="0"/>
          </w:rPr>
          <w:t xml:space="preserve">https://doi.org/10.1038/s41586-021-03372-y</w:t>
        </w:r>
      </w:hyperlink>
      <w:r w:rsidDel="00000000" w:rsidR="00000000" w:rsidRPr="00000000">
        <w:rPr>
          <w:rtl w:val="0"/>
        </w:rPr>
      </w:r>
    </w:p>
    <w:p w:rsidR="00000000" w:rsidDel="00000000" w:rsidP="00000000" w:rsidRDefault="00000000" w:rsidRPr="00000000" w14:paraId="00000030">
      <w:pPr>
        <w:spacing w:after="200" w:lineRule="auto"/>
        <w:jc w:val="both"/>
        <w:rPr/>
      </w:pPr>
      <w:r w:rsidDel="00000000" w:rsidR="00000000" w:rsidRPr="00000000">
        <w:rPr>
          <w:rtl w:val="0"/>
        </w:rPr>
        <w:t xml:space="preserve">Martin, C. A., Ahmad, I., Klingseisen, A., Hussain, M. S., Bicknell, L. S., Leitch, A., ... &amp; Jackson, A. P. (2014). Mutations in PLK4, encoding a master regulator of centriole biogenesis, cause microcephaly, growth failure and retinopathy. Nature Genetics, 46(12), 1283–1292. </w:t>
      </w:r>
      <w:hyperlink r:id="rId19">
        <w:r w:rsidDel="00000000" w:rsidR="00000000" w:rsidRPr="00000000">
          <w:rPr>
            <w:color w:val="1155cc"/>
            <w:u w:val="single"/>
            <w:rtl w:val="0"/>
          </w:rPr>
          <w:t xml:space="preserve">https://doi.org/10.1038/ng.3122</w:t>
        </w:r>
      </w:hyperlink>
      <w:r w:rsidDel="00000000" w:rsidR="00000000" w:rsidRPr="00000000">
        <w:rPr>
          <w:rtl w:val="0"/>
        </w:rPr>
      </w:r>
    </w:p>
    <w:p w:rsidR="00000000" w:rsidDel="00000000" w:rsidP="00000000" w:rsidRDefault="00000000" w:rsidRPr="00000000" w14:paraId="00000031">
      <w:pPr>
        <w:spacing w:after="200" w:lineRule="auto"/>
        <w:jc w:val="both"/>
        <w:rPr/>
      </w:pPr>
      <w:r w:rsidDel="00000000" w:rsidR="00000000" w:rsidRPr="00000000">
        <w:rPr>
          <w:rtl w:val="0"/>
        </w:rPr>
        <w:t xml:space="preserve">Plachta, N., Bollenbach, T., Pease, S., Fraser, S. E., &amp; Pantazis, P. (2011). Oct4 kinetics predict cell lineage patterning in the early mammalian embryo. Nature Cell Biology, 13(2), 117–123. </w:t>
      </w:r>
      <w:hyperlink r:id="rId20">
        <w:r w:rsidDel="00000000" w:rsidR="00000000" w:rsidRPr="00000000">
          <w:rPr>
            <w:color w:val="1155cc"/>
            <w:u w:val="single"/>
            <w:rtl w:val="0"/>
          </w:rPr>
          <w:t xml:space="preserve">https://doi.org/10.1038/ncb2154</w:t>
        </w:r>
      </w:hyperlink>
      <w:r w:rsidDel="00000000" w:rsidR="00000000" w:rsidRPr="00000000">
        <w:rPr>
          <w:rtl w:val="0"/>
        </w:rPr>
      </w:r>
    </w:p>
    <w:p w:rsidR="00000000" w:rsidDel="00000000" w:rsidP="00000000" w:rsidRDefault="00000000" w:rsidRPr="00000000" w14:paraId="00000032">
      <w:pPr>
        <w:spacing w:after="200" w:lineRule="auto"/>
        <w:jc w:val="both"/>
        <w:rPr/>
      </w:pPr>
      <w:r w:rsidDel="00000000" w:rsidR="00000000" w:rsidRPr="00000000">
        <w:rPr>
          <w:rtl w:val="0"/>
        </w:rPr>
        <w:t xml:space="preserve">Rodrigues-Martins, A., Riparbelli, M., Callaini, G., Glover, D. M., &amp; Bettencourt-Dias, M. (2007). Revisiting the role of the mother centriole in centriole biogenesis. Science, 316(5827), 1046–1050. </w:t>
      </w:r>
      <w:hyperlink r:id="rId21">
        <w:r w:rsidDel="00000000" w:rsidR="00000000" w:rsidRPr="00000000">
          <w:rPr>
            <w:color w:val="1155cc"/>
            <w:u w:val="single"/>
            <w:rtl w:val="0"/>
          </w:rPr>
          <w:t xml:space="preserve">https://doi.org/10.1126/science.1142950</w:t>
        </w:r>
      </w:hyperlink>
      <w:r w:rsidDel="00000000" w:rsidR="00000000" w:rsidRPr="00000000">
        <w:rPr>
          <w:rtl w:val="0"/>
        </w:rPr>
      </w:r>
    </w:p>
    <w:p w:rsidR="00000000" w:rsidDel="00000000" w:rsidP="00000000" w:rsidRDefault="00000000" w:rsidRPr="00000000" w14:paraId="00000033">
      <w:pPr>
        <w:spacing w:after="200" w:lineRule="auto"/>
        <w:jc w:val="both"/>
        <w:rPr/>
      </w:pPr>
      <w:r w:rsidDel="00000000" w:rsidR="00000000" w:rsidRPr="00000000">
        <w:rPr>
          <w:rtl w:val="0"/>
        </w:rPr>
        <w:t xml:space="preserve">Sardon, T., Peset, I., Petrova, B., &amp; Vernos, I. (2008). Dissecting the role of Aurora A during spindle assembly in Xenopus egg extracts. Journal of Cell Biology, 182(1), 77–88. </w:t>
      </w:r>
      <w:hyperlink r:id="rId22">
        <w:r w:rsidDel="00000000" w:rsidR="00000000" w:rsidRPr="00000000">
          <w:rPr>
            <w:color w:val="1155cc"/>
            <w:u w:val="single"/>
            <w:rtl w:val="0"/>
          </w:rPr>
          <w:t xml:space="preserve">https://doi.org/10.1083/jcb.200801099</w:t>
        </w:r>
      </w:hyperlink>
      <w:r w:rsidDel="00000000" w:rsidR="00000000" w:rsidRPr="00000000">
        <w:rPr>
          <w:rtl w:val="0"/>
        </w:rPr>
      </w:r>
    </w:p>
    <w:p w:rsidR="00000000" w:rsidDel="00000000" w:rsidP="00000000" w:rsidRDefault="00000000" w:rsidRPr="00000000" w14:paraId="00000034">
      <w:pPr>
        <w:spacing w:after="200" w:lineRule="auto"/>
        <w:jc w:val="both"/>
        <w:rPr/>
      </w:pPr>
      <w:r w:rsidDel="00000000" w:rsidR="00000000" w:rsidRPr="00000000">
        <w:rPr>
          <w:rtl w:val="0"/>
        </w:rPr>
        <w:t xml:space="preserve">Sasaki, H. (2017). Roles and regulations of Hippo signaling during preimplantation mouse development. Development, Growth &amp; Differentiation, 59(1), 12–20. </w:t>
      </w:r>
      <w:hyperlink r:id="rId23">
        <w:r w:rsidDel="00000000" w:rsidR="00000000" w:rsidRPr="00000000">
          <w:rPr>
            <w:color w:val="1155cc"/>
            <w:u w:val="single"/>
            <w:rtl w:val="0"/>
          </w:rPr>
          <w:t xml:space="preserve">https://doi.org/10.1111/dgd.12335</w:t>
        </w:r>
      </w:hyperlink>
      <w:r w:rsidDel="00000000" w:rsidR="00000000" w:rsidRPr="00000000">
        <w:rPr>
          <w:rtl w:val="0"/>
        </w:rPr>
      </w:r>
    </w:p>
    <w:p w:rsidR="00000000" w:rsidDel="00000000" w:rsidP="00000000" w:rsidRDefault="00000000" w:rsidRPr="00000000" w14:paraId="00000035">
      <w:pPr>
        <w:spacing w:after="200" w:lineRule="auto"/>
        <w:jc w:val="both"/>
        <w:rPr/>
      </w:pPr>
      <w:r w:rsidDel="00000000" w:rsidR="00000000" w:rsidRPr="00000000">
        <w:rPr>
          <w:rtl w:val="0"/>
        </w:rPr>
        <w:t xml:space="preserve">Tang, C. J., Fu, R. H., Wu, K. S., Hsu, W. B., &amp; Tang, T. K. (2009). CPAP is a cell-cycle regulated protein that controls centriole length. Nature Cell Biology, 11(7), 825–831. </w:t>
      </w:r>
      <w:hyperlink r:id="rId24">
        <w:r w:rsidDel="00000000" w:rsidR="00000000" w:rsidRPr="00000000">
          <w:rPr>
            <w:color w:val="1155cc"/>
            <w:u w:val="single"/>
            <w:rtl w:val="0"/>
          </w:rPr>
          <w:t xml:space="preserve">https://doi.org/10.1038/ncb1889</w:t>
        </w:r>
      </w:hyperlink>
      <w:r w:rsidDel="00000000" w:rsidR="00000000" w:rsidRPr="00000000">
        <w:rPr>
          <w:rtl w:val="0"/>
        </w:rPr>
      </w:r>
    </w:p>
    <w:p w:rsidR="00000000" w:rsidDel="00000000" w:rsidP="00000000" w:rsidRDefault="00000000" w:rsidRPr="00000000" w14:paraId="00000036">
      <w:pPr>
        <w:spacing w:after="200" w:lineRule="auto"/>
        <w:jc w:val="both"/>
        <w:rPr/>
      </w:pPr>
      <w:r w:rsidDel="00000000" w:rsidR="00000000" w:rsidRPr="00000000">
        <w:rPr>
          <w:rtl w:val="0"/>
        </w:rPr>
        <w:t xml:space="preserve">Weaver, C., &amp; Kimelman, D. (2004). Move it or lose it: axis specification in Xenopus. Development, 131(15), 3491–3499. </w:t>
      </w:r>
      <w:hyperlink r:id="rId25">
        <w:r w:rsidDel="00000000" w:rsidR="00000000" w:rsidRPr="00000000">
          <w:rPr>
            <w:color w:val="1155cc"/>
            <w:u w:val="single"/>
            <w:rtl w:val="0"/>
          </w:rPr>
          <w:t xml:space="preserve">https://doi.org/10.1242/dev.01284</w:t>
        </w:r>
      </w:hyperlink>
      <w:r w:rsidDel="00000000" w:rsidR="00000000" w:rsidRPr="00000000">
        <w:rPr>
          <w:rtl w:val="0"/>
        </w:rPr>
      </w:r>
    </w:p>
    <w:p w:rsidR="00000000" w:rsidDel="00000000" w:rsidP="00000000" w:rsidRDefault="00000000" w:rsidRPr="00000000" w14:paraId="00000037">
      <w:pPr>
        <w:spacing w:after="200" w:lineRule="auto"/>
        <w:jc w:val="both"/>
        <w:rPr/>
      </w:pPr>
      <w:r w:rsidDel="00000000" w:rsidR="00000000" w:rsidRPr="00000000">
        <w:rPr>
          <w:rtl w:val="0"/>
        </w:rPr>
        <w:t xml:space="preserve">Weil, T. T., Parton, R. M., &amp; Davis, I. (2010). Making the message clear: visualizing mRNA localization. Trends in Cell Biology, 20(7), 380–390. </w:t>
      </w:r>
      <w:hyperlink r:id="rId26">
        <w:r w:rsidDel="00000000" w:rsidR="00000000" w:rsidRPr="00000000">
          <w:rPr>
            <w:color w:val="1155cc"/>
            <w:u w:val="single"/>
            <w:rtl w:val="0"/>
          </w:rPr>
          <w:t xml:space="preserve">https://doi.org/10.1016/j.tcb.2010.03.006</w:t>
        </w:r>
      </w:hyperlink>
      <w:r w:rsidDel="00000000" w:rsidR="00000000" w:rsidRPr="00000000">
        <w:rPr>
          <w:rtl w:val="0"/>
        </w:rPr>
      </w:r>
    </w:p>
    <w:p w:rsidR="00000000" w:rsidDel="00000000" w:rsidP="00000000" w:rsidRDefault="00000000" w:rsidRPr="00000000" w14:paraId="00000038">
      <w:pPr>
        <w:spacing w:after="200" w:lineRule="auto"/>
        <w:jc w:val="both"/>
        <w:rPr/>
      </w:pPr>
      <w:r w:rsidDel="00000000" w:rsidR="00000000" w:rsidRPr="00000000">
        <w:rPr>
          <w:rtl w:val="0"/>
        </w:rPr>
        <w:t xml:space="preserve">Wong, C., &amp; Stearns, T. (2003). Centrosome number is controlled by a centrosome-intrinsic block to reduplication. Nature Cell Biology, 5(6), 539–544. </w:t>
      </w:r>
      <w:hyperlink r:id="rId27">
        <w:r w:rsidDel="00000000" w:rsidR="00000000" w:rsidRPr="00000000">
          <w:rPr>
            <w:color w:val="1155cc"/>
            <w:u w:val="single"/>
            <w:rtl w:val="0"/>
          </w:rPr>
          <w:t xml:space="preserve">https://doi.org/10.1038/ncb993</w:t>
        </w:r>
      </w:hyperlink>
      <w:r w:rsidDel="00000000" w:rsidR="00000000" w:rsidRPr="00000000">
        <w:rPr>
          <w:rtl w:val="0"/>
        </w:rPr>
      </w:r>
    </w:p>
    <w:p w:rsidR="00000000" w:rsidDel="00000000" w:rsidP="00000000" w:rsidRDefault="00000000" w:rsidRPr="00000000" w14:paraId="00000039">
      <w:pPr>
        <w:spacing w:after="200" w:lineRule="auto"/>
        <w:jc w:val="both"/>
        <w:rPr/>
      </w:pPr>
      <w:r w:rsidDel="00000000" w:rsidR="00000000" w:rsidRPr="00000000">
        <w:rPr>
          <w:rtl w:val="0"/>
        </w:rPr>
        <w:t xml:space="preserve">Woodruff, J. B., Ferreira Gomes, B., Widlund, P. O., Mahamid, J., Honigmann, A., &amp; Hyman, A. A. (2017). The Centrosome Is a Selective Condensate that Nucleates Microtubules by Concentrating Tubulin. Cell, 169(6), 1066-1077.e10. </w:t>
      </w:r>
      <w:hyperlink r:id="rId28">
        <w:r w:rsidDel="00000000" w:rsidR="00000000" w:rsidRPr="00000000">
          <w:rPr>
            <w:color w:val="1155cc"/>
            <w:u w:val="single"/>
            <w:rtl w:val="0"/>
          </w:rPr>
          <w:t xml:space="preserve">https://doi.org/10.1016/j.cell.2017.05.028</w:t>
        </w:r>
      </w:hyperlink>
      <w:r w:rsidDel="00000000" w:rsidR="00000000" w:rsidRPr="00000000">
        <w:rPr>
          <w:rtl w:val="0"/>
        </w:rPr>
      </w:r>
    </w:p>
    <w:p w:rsidR="00000000" w:rsidDel="00000000" w:rsidP="00000000" w:rsidRDefault="00000000" w:rsidRPr="00000000" w14:paraId="0000003A">
      <w:pPr>
        <w:pStyle w:val="Heading2"/>
        <w:spacing w:after="120" w:lineRule="auto"/>
        <w:rPr>
          <w:sz w:val="18"/>
          <w:szCs w:val="18"/>
        </w:rPr>
      </w:pPr>
      <w:bookmarkStart w:colFirst="0" w:colLast="0" w:name="_3z976fx388yc" w:id="8"/>
      <w:bookmarkEnd w:id="8"/>
      <w:r w:rsidDel="00000000" w:rsidR="00000000" w:rsidRPr="00000000">
        <w:rPr>
          <w:sz w:val="18"/>
          <w:szCs w:val="18"/>
          <w:rtl w:val="0"/>
        </w:rPr>
        <w:t xml:space="preserve">Ethics approval and consent to participate</w:t>
      </w:r>
    </w:p>
    <w:p w:rsidR="00000000" w:rsidDel="00000000" w:rsidP="00000000" w:rsidRDefault="00000000" w:rsidRPr="00000000" w14:paraId="0000003B">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3C">
      <w:pPr>
        <w:pStyle w:val="Heading2"/>
        <w:spacing w:after="120" w:lineRule="auto"/>
        <w:rPr>
          <w:sz w:val="18"/>
          <w:szCs w:val="18"/>
        </w:rPr>
      </w:pPr>
      <w:bookmarkStart w:colFirst="0" w:colLast="0" w:name="_c2qnszhlolnr" w:id="9"/>
      <w:bookmarkEnd w:id="9"/>
      <w:r w:rsidDel="00000000" w:rsidR="00000000" w:rsidRPr="00000000">
        <w:rPr>
          <w:sz w:val="18"/>
          <w:szCs w:val="18"/>
          <w:rtl w:val="0"/>
        </w:rPr>
        <w:t xml:space="preserve">Consent for publication</w:t>
      </w:r>
    </w:p>
    <w:p w:rsidR="00000000" w:rsidDel="00000000" w:rsidP="00000000" w:rsidRDefault="00000000" w:rsidRPr="00000000" w14:paraId="0000003D">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3E">
      <w:pPr>
        <w:pStyle w:val="Heading2"/>
        <w:spacing w:after="120" w:lineRule="auto"/>
        <w:rPr>
          <w:sz w:val="18"/>
          <w:szCs w:val="18"/>
        </w:rPr>
      </w:pPr>
      <w:bookmarkStart w:colFirst="0" w:colLast="0" w:name="_313yqiad4s3m" w:id="10"/>
      <w:bookmarkEnd w:id="10"/>
      <w:r w:rsidDel="00000000" w:rsidR="00000000" w:rsidRPr="00000000">
        <w:rPr>
          <w:sz w:val="18"/>
          <w:szCs w:val="18"/>
          <w:rtl w:val="0"/>
        </w:rPr>
        <w:t xml:space="preserve">Availability of data and materials</w:t>
      </w:r>
    </w:p>
    <w:p w:rsidR="00000000" w:rsidDel="00000000" w:rsidP="00000000" w:rsidRDefault="00000000" w:rsidRPr="00000000" w14:paraId="0000003F">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40">
      <w:pPr>
        <w:pStyle w:val="Heading2"/>
        <w:spacing w:after="120" w:lineRule="auto"/>
        <w:rPr>
          <w:sz w:val="18"/>
          <w:szCs w:val="18"/>
        </w:rPr>
      </w:pPr>
      <w:bookmarkStart w:colFirst="0" w:colLast="0" w:name="_p44v2kb3kzjl" w:id="11"/>
      <w:bookmarkEnd w:id="11"/>
      <w:r w:rsidDel="00000000" w:rsidR="00000000" w:rsidRPr="00000000">
        <w:rPr>
          <w:sz w:val="18"/>
          <w:szCs w:val="18"/>
          <w:rtl w:val="0"/>
        </w:rPr>
        <w:t xml:space="preserve">Competing interests</w:t>
      </w:r>
    </w:p>
    <w:p w:rsidR="00000000" w:rsidDel="00000000" w:rsidP="00000000" w:rsidRDefault="00000000" w:rsidRPr="00000000" w14:paraId="00000041">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42">
      <w:pPr>
        <w:pStyle w:val="Heading2"/>
        <w:spacing w:after="120" w:lineRule="auto"/>
        <w:rPr>
          <w:sz w:val="18"/>
          <w:szCs w:val="18"/>
        </w:rPr>
      </w:pPr>
      <w:bookmarkStart w:colFirst="0" w:colLast="0" w:name="_8vwqv7qd8i5u" w:id="12"/>
      <w:bookmarkEnd w:id="12"/>
      <w:r w:rsidDel="00000000" w:rsidR="00000000" w:rsidRPr="00000000">
        <w:rPr>
          <w:sz w:val="18"/>
          <w:szCs w:val="18"/>
          <w:rtl w:val="0"/>
        </w:rPr>
        <w:t xml:space="preserve">Funding</w:t>
      </w:r>
    </w:p>
    <w:p w:rsidR="00000000" w:rsidDel="00000000" w:rsidP="00000000" w:rsidRDefault="00000000" w:rsidRPr="00000000" w14:paraId="00000043">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44">
      <w:pPr>
        <w:pStyle w:val="Heading2"/>
        <w:spacing w:after="120" w:lineRule="auto"/>
        <w:rPr>
          <w:sz w:val="18"/>
          <w:szCs w:val="18"/>
        </w:rPr>
      </w:pPr>
      <w:bookmarkStart w:colFirst="0" w:colLast="0" w:name="_c2vl73dc2me0" w:id="13"/>
      <w:bookmarkEnd w:id="13"/>
      <w:r w:rsidDel="00000000" w:rsidR="00000000" w:rsidRPr="00000000">
        <w:rPr>
          <w:sz w:val="18"/>
          <w:szCs w:val="18"/>
          <w:rtl w:val="0"/>
        </w:rPr>
        <w:t xml:space="preserve">Acknowledgements</w:t>
      </w:r>
    </w:p>
    <w:p w:rsidR="00000000" w:rsidDel="00000000" w:rsidP="00000000" w:rsidRDefault="00000000" w:rsidRPr="00000000" w14:paraId="00000045">
      <w:pPr>
        <w:rPr>
          <w:sz w:val="18"/>
          <w:szCs w:val="18"/>
        </w:rPr>
      </w:pPr>
      <w:r w:rsidDel="00000000" w:rsidR="00000000" w:rsidRPr="00000000">
        <w:rPr>
          <w:sz w:val="18"/>
          <w:szCs w:val="18"/>
          <w:rtl w:val="0"/>
        </w:rPr>
        <w:t xml:space="preserve">None.</w:t>
      </w:r>
    </w:p>
    <w:p w:rsidR="00000000" w:rsidDel="00000000" w:rsidP="00000000" w:rsidRDefault="00000000" w:rsidRPr="00000000" w14:paraId="00000046">
      <w:pPr>
        <w:pStyle w:val="Heading2"/>
        <w:spacing w:after="120" w:lineRule="auto"/>
        <w:rPr>
          <w:sz w:val="18"/>
          <w:szCs w:val="18"/>
        </w:rPr>
      </w:pPr>
      <w:bookmarkStart w:colFirst="0" w:colLast="0" w:name="_6peboh8ntcms" w:id="14"/>
      <w:bookmarkEnd w:id="14"/>
      <w:r w:rsidDel="00000000" w:rsidR="00000000" w:rsidRPr="00000000">
        <w:rPr>
          <w:sz w:val="18"/>
          <w:szCs w:val="18"/>
          <w:rtl w:val="0"/>
        </w:rPr>
        <w:t xml:space="preserve">Authors' contributions</w:t>
      </w:r>
    </w:p>
    <w:p w:rsidR="00000000" w:rsidDel="00000000" w:rsidP="00000000" w:rsidRDefault="00000000" w:rsidRPr="00000000" w14:paraId="00000047">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48">
      <w:pPr>
        <w:pStyle w:val="Heading2"/>
        <w:spacing w:after="120" w:lineRule="auto"/>
        <w:rPr>
          <w:sz w:val="18"/>
          <w:szCs w:val="18"/>
        </w:rPr>
      </w:pPr>
      <w:bookmarkStart w:colFirst="0" w:colLast="0" w:name="_2w59dow4gxap" w:id="15"/>
      <w:bookmarkEnd w:id="15"/>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49">
      <w:pPr>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ncb2154" TargetMode="External"/><Relationship Id="rId22" Type="http://schemas.openxmlformats.org/officeDocument/2006/relationships/hyperlink" Target="https://doi.org/10.1083/jcb.200801099" TargetMode="External"/><Relationship Id="rId21" Type="http://schemas.openxmlformats.org/officeDocument/2006/relationships/hyperlink" Target="https://doi.org/10.1126/science.1142950" TargetMode="External"/><Relationship Id="rId24" Type="http://schemas.openxmlformats.org/officeDocument/2006/relationships/hyperlink" Target="https://doi.org/10.1038/ncb1889" TargetMode="External"/><Relationship Id="rId23" Type="http://schemas.openxmlformats.org/officeDocument/2006/relationships/hyperlink" Target="https://doi.org/10.1111/dgd.123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3/jcb.201202135" TargetMode="External"/><Relationship Id="rId26" Type="http://schemas.openxmlformats.org/officeDocument/2006/relationships/hyperlink" Target="https://doi.org/10.1016/j.tcb.2010.03.006" TargetMode="External"/><Relationship Id="rId25" Type="http://schemas.openxmlformats.org/officeDocument/2006/relationships/hyperlink" Target="https://doi.org/10.1242/dev.01284" TargetMode="External"/><Relationship Id="rId28" Type="http://schemas.openxmlformats.org/officeDocument/2006/relationships/hyperlink" Target="https://doi.org/10.1016/j.cell.2017.05.028" TargetMode="External"/><Relationship Id="rId27" Type="http://schemas.openxmlformats.org/officeDocument/2006/relationships/hyperlink" Target="https://doi.org/10.1038/ncb993"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1083/jcb.201510083" TargetMode="External"/><Relationship Id="rId8" Type="http://schemas.openxmlformats.org/officeDocument/2006/relationships/hyperlink" Target="https://doi.org/10.1016/j.devcel.2013.09.029" TargetMode="External"/><Relationship Id="rId11" Type="http://schemas.openxmlformats.org/officeDocument/2006/relationships/hyperlink" Target="https://doi.org/10.1016/j.cub.2017.11.042" TargetMode="External"/><Relationship Id="rId10" Type="http://schemas.openxmlformats.org/officeDocument/2006/relationships/hyperlink" Target="https://doi.org/10.1038/nature02825" TargetMode="External"/><Relationship Id="rId13" Type="http://schemas.openxmlformats.org/officeDocument/2006/relationships/hyperlink" Target="https://doi.org/10.1016/s1534-5807(02)00327-1" TargetMode="External"/><Relationship Id="rId12" Type="http://schemas.openxmlformats.org/officeDocument/2006/relationships/hyperlink" Target="https://doi.org/10.1126/science.1193697" TargetMode="External"/><Relationship Id="rId15" Type="http://schemas.openxmlformats.org/officeDocument/2006/relationships/hyperlink" Target="https://doi.org/10.1016/j.ceb.2008.01.009" TargetMode="External"/><Relationship Id="rId14" Type="http://schemas.openxmlformats.org/officeDocument/2006/relationships/hyperlink" Target="https://doi.org/10.1006/dbio.2001.0479" TargetMode="External"/><Relationship Id="rId17" Type="http://schemas.openxmlformats.org/officeDocument/2006/relationships/hyperlink" Target="https://doi.org/10.1016/j.ydbio.2014.06.023" TargetMode="External"/><Relationship Id="rId16" Type="http://schemas.openxmlformats.org/officeDocument/2006/relationships/hyperlink" Target="https://doi.org/10.1016/s0092-8674(02)00651-7" TargetMode="External"/><Relationship Id="rId19" Type="http://schemas.openxmlformats.org/officeDocument/2006/relationships/hyperlink" Target="https://doi.org/10.1038/ng.3122" TargetMode="External"/><Relationship Id="rId18" Type="http://schemas.openxmlformats.org/officeDocument/2006/relationships/hyperlink" Target="https://doi.org/10.1038/s41586-021-03372-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