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jc w:val="both"/>
        <w:rPr/>
      </w:pPr>
      <w:bookmarkStart w:colFirst="0" w:colLast="0" w:name="_rkvowaofl1sy" w:id="0"/>
      <w:bookmarkEnd w:id="0"/>
      <w:r w:rsidDel="00000000" w:rsidR="00000000" w:rsidRPr="00000000">
        <w:rPr>
          <w:rtl w:val="0"/>
        </w:rPr>
        <w:t xml:space="preserve">The Centrosomal Ledger Hypothesis</w:t>
      </w:r>
    </w:p>
    <w:p w:rsidR="00000000" w:rsidDel="00000000" w:rsidP="00000000" w:rsidRDefault="00000000" w:rsidRPr="00000000" w14:paraId="00000002">
      <w:pPr>
        <w:pStyle w:val="Subtitle"/>
        <w:spacing w:after="200" w:lineRule="auto"/>
        <w:jc w:val="both"/>
        <w:rPr/>
      </w:pPr>
      <w:bookmarkStart w:colFirst="0" w:colLast="0" w:name="_hvkkbubmgbpw" w:id="1"/>
      <w:bookmarkEnd w:id="1"/>
      <w:r w:rsidDel="00000000" w:rsidR="00000000" w:rsidRPr="00000000">
        <w:rPr>
          <w:rtl w:val="0"/>
        </w:rPr>
        <w:t xml:space="preserve">A structural organelle encodes cellular memory, guiding fate and driving disease.</w:t>
      </w:r>
    </w:p>
    <w:p w:rsidR="00000000" w:rsidDel="00000000" w:rsidP="00000000" w:rsidRDefault="00000000" w:rsidRPr="00000000" w14:paraId="00000003">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4">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5">
      <w:pPr>
        <w:rPr>
          <w:b w:val="1"/>
          <w:bCs w:val="1"/>
          <w:sz w:val="18"/>
          <w:szCs w:val="18"/>
        </w:rPr>
      </w:pPr>
      <w:r w:rsidDel="00000000" w:rsidR="00000000" w:rsidRPr="00000000">
        <w:rPr>
          <w:b w:val="1"/>
          <w:bCs w:val="1"/>
          <w:sz w:val="18"/>
          <w:szCs w:val="18"/>
          <w:rtl w:val="0"/>
        </w:rPr>
        <w:t xml:space="preserve">E-Mail</w:t>
      </w:r>
      <w:r w:rsidDel="00000000" w:rsidR="00000000" w:rsidRPr="00000000">
        <w:rPr>
          <w:b w:val="1"/>
          <w:bCs w:val="1"/>
          <w:sz w:val="18"/>
          <w:szCs w:val="18"/>
          <w:rtl w:val="0"/>
        </w:rPr>
        <w:t xml:space="preserve">: </w:t>
      </w:r>
      <w:r w:rsidDel="00000000" w:rsidR="00000000" w:rsidRPr="00000000">
        <w:rPr>
          <w:rFonts w:ascii="Roboto" w:cs="Roboto" w:eastAsia="Roboto" w:hAnsi="Roboto"/>
          <w:color w:val="0f1115"/>
          <w:sz w:val="18"/>
          <w:szCs w:val="18"/>
          <w:highlight w:val="white"/>
          <w:rtl w:val="0"/>
        </w:rPr>
        <w:t xml:space="preserve">djabbat@gmail.com</w:t>
      </w:r>
      <w:r w:rsidDel="00000000" w:rsidR="00000000" w:rsidRPr="00000000">
        <w:rPr>
          <w:rtl w:val="0"/>
        </w:rPr>
      </w:r>
    </w:p>
    <w:p w:rsidR="00000000" w:rsidDel="00000000" w:rsidP="00000000" w:rsidRDefault="00000000" w:rsidRPr="00000000" w14:paraId="00000006">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spacing w:after="200" w:lineRule="auto"/>
        <w:jc w:val="both"/>
        <w:rPr/>
      </w:pPr>
      <w:bookmarkStart w:colFirst="0" w:colLast="0" w:name="_wqxckwq8a5pf" w:id="2"/>
      <w:bookmarkEnd w:id="2"/>
      <w:r w:rsidDel="00000000" w:rsidR="00000000" w:rsidRPr="00000000">
        <w:rPr>
          <w:rtl w:val="0"/>
        </w:rPr>
        <w:t xml:space="preserve">Preprint Summary</w:t>
      </w:r>
    </w:p>
    <w:p w:rsidR="00000000" w:rsidDel="00000000" w:rsidP="00000000" w:rsidRDefault="00000000" w:rsidRPr="00000000" w14:paraId="00000008">
      <w:pPr>
        <w:spacing w:after="200" w:lineRule="auto"/>
        <w:jc w:val="both"/>
        <w:rPr/>
      </w:pPr>
      <w:r w:rsidDel="00000000" w:rsidR="00000000" w:rsidRPr="00000000">
        <w:rPr>
          <w:rtl w:val="0"/>
        </w:rPr>
        <w:t xml:space="preserve">This manuscript proposes a fundamental expansion of centrosome function beyond its canonical role in cytoskeletal organization. We synthesize the Centrosomal Ledger Hypothesis, positing that the mother centriole acts as a non-genomic information storage device. It encodes a high-dimensional molecular memory of cellular history—integrating proteomic, post-translational, and stoichiometric data—which actively instructs future cell fate decisions. The model makes a critical, falsifiable prediction: this distributed memory is undetectable by bulk-cell analyses and requires centrosome-resolved multi-omics for its investigation. We further argue that dysregulation of this ledger—through corruption or erosion—is a central mechanistic driver of cancer and aging, offering a novel organelle-centric axis for translational research.</w:t>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Centrosome, Cellular Memory, Cell Fate, Asymmetric Division, Multi-Omics, Cancer, Aging.</w:t>
      </w:r>
    </w:p>
    <w:p w:rsidR="00000000" w:rsidDel="00000000" w:rsidP="00000000" w:rsidRDefault="00000000" w:rsidRPr="00000000" w14:paraId="0000000A">
      <w:pPr>
        <w:pStyle w:val="Heading1"/>
        <w:spacing w:after="200" w:lineRule="auto"/>
        <w:rPr/>
      </w:pPr>
      <w:bookmarkStart w:colFirst="0" w:colLast="0" w:name="_my8nkmplinsk" w:id="3"/>
      <w:bookmarkEnd w:id="3"/>
      <w:r w:rsidDel="00000000" w:rsidR="00000000" w:rsidRPr="00000000">
        <w:rPr>
          <w:rtl w:val="0"/>
        </w:rPr>
        <w:t xml:space="preserve">1. The Need for a New Paradigm</w:t>
      </w:r>
    </w:p>
    <w:p w:rsidR="00000000" w:rsidDel="00000000" w:rsidP="00000000" w:rsidRDefault="00000000" w:rsidRPr="00000000" w14:paraId="0000000B">
      <w:pPr>
        <w:spacing w:after="200" w:lineRule="auto"/>
        <w:jc w:val="both"/>
        <w:rPr/>
      </w:pPr>
      <w:r w:rsidDel="00000000" w:rsidR="00000000" w:rsidRPr="00000000">
        <w:rPr>
          <w:rtl w:val="0"/>
        </w:rPr>
        <w:t xml:space="preserve">The centrosome has been classically defined as the primary microtubule-organizing center (MTOC), essential for mitotic spindle assembly and cell polarity (Conduit, Wainman, &amp; Raff, 2015). However, this structural view cannot explain key observations: the non-random, asymmetric inheritance of the older "mother" centriole in stem cells (Wang &amp; Seydoux, 2013), its persistence as a structurally continuous entity, and its role as a signaling hub for cell cycle and developmental pathways. These features suggest a deeper, mnemonic function. We propose that the centrosome, specifically the mother centriole, functions as a cellular ledger, a stable repository of multivariate molecular information that records history and instructs fate.</w:t>
      </w:r>
    </w:p>
    <w:p w:rsidR="00000000" w:rsidDel="00000000" w:rsidP="00000000" w:rsidRDefault="00000000" w:rsidRPr="00000000" w14:paraId="0000000C">
      <w:pPr>
        <w:pStyle w:val="Heading1"/>
        <w:spacing w:after="200" w:lineRule="auto"/>
        <w:rPr/>
      </w:pPr>
      <w:bookmarkStart w:colFirst="0" w:colLast="0" w:name="_ied4xu1nyg26" w:id="4"/>
      <w:bookmarkEnd w:id="4"/>
      <w:r w:rsidDel="00000000" w:rsidR="00000000" w:rsidRPr="00000000">
        <w:rPr>
          <w:rtl w:val="0"/>
        </w:rPr>
        <w:t xml:space="preserve">2. The Centrosomal Ledger: A Formal Model</w:t>
      </w:r>
    </w:p>
    <w:p w:rsidR="00000000" w:rsidDel="00000000" w:rsidP="00000000" w:rsidRDefault="00000000" w:rsidRPr="00000000" w14:paraId="0000000D">
      <w:pPr>
        <w:spacing w:after="200" w:lineRule="auto"/>
        <w:jc w:val="both"/>
        <w:rPr/>
      </w:pPr>
      <w:r w:rsidDel="00000000" w:rsidR="00000000" w:rsidRPr="00000000">
        <w:rPr>
          <w:rtl w:val="0"/>
        </w:rPr>
        <w:t xml:space="preserve">The ledger is not a single molecular marker but a multivariate state vector, V(t), representing the integrated molecular composition of the mother centriole at time *t*. This vector exists in a high-dimensional space defined by:</w:t>
      </w:r>
    </w:p>
    <w:p w:rsidR="00000000" w:rsidDel="00000000" w:rsidP="00000000" w:rsidRDefault="00000000" w:rsidRPr="00000000" w14:paraId="0000000E">
      <w:pPr>
        <w:numPr>
          <w:ilvl w:val="0"/>
          <w:numId w:val="3"/>
        </w:numPr>
        <w:spacing w:after="200" w:lineRule="auto"/>
        <w:ind w:left="720" w:hanging="360"/>
        <w:jc w:val="both"/>
      </w:pPr>
      <w:r w:rsidDel="00000000" w:rsidR="00000000" w:rsidRPr="00000000">
        <w:rPr>
          <w:rtl w:val="0"/>
        </w:rPr>
        <w:t xml:space="preserve">Proteome (P): Quantitative abundances of core structural and dynamically associated regulatory proteins.</w:t>
      </w:r>
    </w:p>
    <w:p w:rsidR="00000000" w:rsidDel="00000000" w:rsidP="00000000" w:rsidRDefault="00000000" w:rsidRPr="00000000" w14:paraId="0000000F">
      <w:pPr>
        <w:numPr>
          <w:ilvl w:val="0"/>
          <w:numId w:val="3"/>
        </w:numPr>
        <w:spacing w:after="200" w:before="0" w:lineRule="auto"/>
        <w:ind w:left="720" w:hanging="360"/>
        <w:jc w:val="both"/>
      </w:pPr>
      <w:r w:rsidDel="00000000" w:rsidR="00000000" w:rsidRPr="00000000">
        <w:rPr>
          <w:rtl w:val="0"/>
        </w:rPr>
        <w:t xml:space="preserve">PTMome (M): The combinatorial landscape of post-translational modifications (phosphorylation, ubiquitination, acetylation, glutamylation).</w:t>
      </w:r>
    </w:p>
    <w:p w:rsidR="00000000" w:rsidDel="00000000" w:rsidP="00000000" w:rsidRDefault="00000000" w:rsidRPr="00000000" w14:paraId="00000010">
      <w:pPr>
        <w:numPr>
          <w:ilvl w:val="0"/>
          <w:numId w:val="3"/>
        </w:numPr>
        <w:spacing w:after="200" w:lineRule="auto"/>
        <w:ind w:left="720" w:hanging="360"/>
        <w:jc w:val="both"/>
      </w:pPr>
      <w:r w:rsidDel="00000000" w:rsidR="00000000" w:rsidRPr="00000000">
        <w:rPr>
          <w:rtl w:val="0"/>
        </w:rPr>
        <w:t xml:space="preserve">Stoichiometric Ratios (R): Precise quantitative relationships within functional complexes (e.g., the ratio of PLK1 kinase to its scaffold CEP192).</w:t>
      </w:r>
    </w:p>
    <w:p w:rsidR="00000000" w:rsidDel="00000000" w:rsidP="00000000" w:rsidRDefault="00000000" w:rsidRPr="00000000" w14:paraId="00000011">
      <w:pPr>
        <w:spacing w:after="200" w:lineRule="auto"/>
        <w:jc w:val="both"/>
        <w:rPr/>
      </w:pPr>
      <w:r w:rsidDel="00000000" w:rsidR="00000000" w:rsidRPr="00000000">
        <w:rPr>
          <w:rtl w:val="0"/>
        </w:rPr>
        <w:t xml:space="preserve">Thus, V(t) = [P1, P2,... Pn; M1, M2,... Mm; R1, R2,... Rk]. This vector is dynamic; cellular experiences (DNA damage, metabolic stress, signaling events) act as inputs that "write" to the ledger by altering its components. Crucially, V(t) exhibits temporal integration—it reflects the cumulative history of inputs, not just the present state—and distributed coding, where information is stored in weak, correlated patterns across many features, ensuring robustness.</w:t>
      </w:r>
    </w:p>
    <w:p w:rsidR="00000000" w:rsidDel="00000000" w:rsidP="00000000" w:rsidRDefault="00000000" w:rsidRPr="00000000" w14:paraId="00000012">
      <w:pPr>
        <w:pStyle w:val="Heading1"/>
        <w:spacing w:after="200" w:lineRule="auto"/>
        <w:jc w:val="both"/>
        <w:rPr/>
      </w:pPr>
      <w:bookmarkStart w:colFirst="0" w:colLast="0" w:name="_cmq6ovvhykyy" w:id="5"/>
      <w:bookmarkEnd w:id="5"/>
      <w:r w:rsidDel="00000000" w:rsidR="00000000" w:rsidRPr="00000000">
        <w:rPr>
          <w:rtl w:val="0"/>
        </w:rPr>
        <w:t xml:space="preserve">3. The Ledger as a Fate Instructor</w:t>
      </w:r>
    </w:p>
    <w:p w:rsidR="00000000" w:rsidDel="00000000" w:rsidP="00000000" w:rsidRDefault="00000000" w:rsidRPr="00000000" w14:paraId="00000013">
      <w:pPr>
        <w:spacing w:after="200" w:lineRule="auto"/>
        <w:jc w:val="both"/>
        <w:rPr/>
      </w:pPr>
      <w:r w:rsidDel="00000000" w:rsidR="00000000" w:rsidRPr="00000000">
        <w:rPr>
          <w:rtl w:val="0"/>
        </w:rPr>
        <w:t xml:space="preserve">At cell division, the asymmetric inheritance of the mother centriole results in the non-random partitioning of V(t). The daughter cell receiving the mother centriole inherits the full historical record, while its sibling receives a newer, less informed version. This differential inheritance directly biases subsequent cellular behavior. The ledger can influence fate through several executable outputs:</w:t>
      </w:r>
    </w:p>
    <w:p w:rsidR="00000000" w:rsidDel="00000000" w:rsidP="00000000" w:rsidRDefault="00000000" w:rsidRPr="00000000" w14:paraId="00000014">
      <w:pPr>
        <w:numPr>
          <w:ilvl w:val="0"/>
          <w:numId w:val="4"/>
        </w:numPr>
        <w:spacing w:after="200" w:lineRule="auto"/>
        <w:ind w:left="720" w:hanging="360"/>
        <w:jc w:val="both"/>
      </w:pPr>
      <w:r w:rsidDel="00000000" w:rsidR="00000000" w:rsidRPr="00000000">
        <w:rPr>
          <w:rtl w:val="0"/>
        </w:rPr>
        <w:t xml:space="preserve">Spindle Orientation: The molecular state of the inherited centrosome can dictate mitotic spindle positioning, determining daughter cell placement relative to niche cues (Buchman &amp; Tsai, 2021).</w:t>
      </w:r>
    </w:p>
    <w:p w:rsidR="00000000" w:rsidDel="00000000" w:rsidP="00000000" w:rsidRDefault="00000000" w:rsidRPr="00000000" w14:paraId="00000015">
      <w:pPr>
        <w:numPr>
          <w:ilvl w:val="0"/>
          <w:numId w:val="4"/>
        </w:numPr>
        <w:spacing w:after="200" w:before="0" w:lineRule="auto"/>
        <w:ind w:left="720" w:hanging="360"/>
        <w:jc w:val="both"/>
      </w:pPr>
      <w:r w:rsidDel="00000000" w:rsidR="00000000" w:rsidRPr="00000000">
        <w:rPr>
          <w:rtl w:val="0"/>
        </w:rPr>
        <w:t xml:space="preserve">Asymmetric Cargo Segregation: The ledger state can influence the cortical association and microtubule-capture efficiency of cell fate determinants.</w:t>
      </w:r>
    </w:p>
    <w:p w:rsidR="00000000" w:rsidDel="00000000" w:rsidP="00000000" w:rsidRDefault="00000000" w:rsidRPr="00000000" w14:paraId="00000016">
      <w:pPr>
        <w:numPr>
          <w:ilvl w:val="0"/>
          <w:numId w:val="4"/>
        </w:numPr>
        <w:spacing w:after="200" w:lineRule="auto"/>
        <w:ind w:left="720" w:hanging="360"/>
        <w:jc w:val="both"/>
      </w:pPr>
      <w:r w:rsidDel="00000000" w:rsidR="00000000" w:rsidRPr="00000000">
        <w:rPr>
          <w:rtl w:val="0"/>
        </w:rPr>
        <w:t xml:space="preserve">Ciliary Signaling: As the mother centriole templates the primary cilium, its molecular state can pre-determine the cilium's signaling competency in the subsequent G1 phase (Pazour &amp; Witman, 2021).</w:t>
        <w:br w:type="textWrapping"/>
        <w:t xml:space="preserve">Thus, the ledger translates past experience into a present-day fate bias, functioning as a direct link between history and future.</w:t>
      </w:r>
    </w:p>
    <w:p w:rsidR="00000000" w:rsidDel="00000000" w:rsidP="00000000" w:rsidRDefault="00000000" w:rsidRPr="00000000" w14:paraId="00000017">
      <w:pPr>
        <w:pStyle w:val="Heading1"/>
        <w:spacing w:after="200" w:lineRule="auto"/>
        <w:jc w:val="both"/>
        <w:rPr/>
      </w:pPr>
      <w:bookmarkStart w:colFirst="0" w:colLast="0" w:name="_tv3hl52fylmz" w:id="6"/>
      <w:bookmarkEnd w:id="6"/>
      <w:r w:rsidDel="00000000" w:rsidR="00000000" w:rsidRPr="00000000">
        <w:rPr>
          <w:rtl w:val="0"/>
        </w:rPr>
        <w:t xml:space="preserve">4. A Falsifiable Hypothesis Requiring Centrosome-Resolved Multi-Omics</w:t>
      </w:r>
    </w:p>
    <w:p w:rsidR="00000000" w:rsidDel="00000000" w:rsidP="00000000" w:rsidRDefault="00000000" w:rsidRPr="00000000" w14:paraId="00000018">
      <w:pPr>
        <w:spacing w:after="200" w:lineRule="auto"/>
        <w:jc w:val="both"/>
        <w:rPr/>
      </w:pPr>
      <w:r w:rsidDel="00000000" w:rsidR="00000000" w:rsidRPr="00000000">
        <w:rPr>
          <w:rtl w:val="0"/>
        </w:rPr>
        <w:t xml:space="preserve">A central tenet of our model is its resistance to traditional experimental approaches. Bulk RNA-seq, proteomics, or phospho-proteomics irrevocably dilute the centrosomal signal within the vastly larger nuclear and cytoplasmic pools. Therefore, the hypothesis can only be tested—and falsified—through centrosome-resolved multi-omics. The critical experiment involves:</w:t>
      </w:r>
    </w:p>
    <w:p w:rsidR="00000000" w:rsidDel="00000000" w:rsidP="00000000" w:rsidRDefault="00000000" w:rsidRPr="00000000" w14:paraId="00000019">
      <w:pPr>
        <w:numPr>
          <w:ilvl w:val="0"/>
          <w:numId w:val="2"/>
        </w:numPr>
        <w:spacing w:after="200" w:lineRule="auto"/>
        <w:ind w:left="720" w:hanging="360"/>
        <w:jc w:val="both"/>
      </w:pPr>
      <w:r w:rsidDel="00000000" w:rsidR="00000000" w:rsidRPr="00000000">
        <w:rPr>
          <w:rtl w:val="0"/>
        </w:rPr>
        <w:t xml:space="preserve">Model Systems: Using asymmetrically dividing stem cells (neural, intestinal).</w:t>
      </w:r>
    </w:p>
    <w:p w:rsidR="00000000" w:rsidDel="00000000" w:rsidP="00000000" w:rsidRDefault="00000000" w:rsidRPr="00000000" w14:paraId="0000001A">
      <w:pPr>
        <w:numPr>
          <w:ilvl w:val="0"/>
          <w:numId w:val="2"/>
        </w:numPr>
        <w:spacing w:after="200" w:before="0" w:lineRule="auto"/>
        <w:ind w:left="720" w:hanging="360"/>
        <w:jc w:val="both"/>
      </w:pPr>
      <w:r w:rsidDel="00000000" w:rsidR="00000000" w:rsidRPr="00000000">
        <w:rPr>
          <w:rtl w:val="0"/>
        </w:rPr>
        <w:t xml:space="preserve">Centriole Age Discrimination: Pulse-chase labeling of centrioles (e.g., SNAP-tagged Centrin) to separate cells based on inherited centriole age (Wang et al., 2022).</w:t>
      </w:r>
    </w:p>
    <w:p w:rsidR="00000000" w:rsidDel="00000000" w:rsidP="00000000" w:rsidRDefault="00000000" w:rsidRPr="00000000" w14:paraId="0000001B">
      <w:pPr>
        <w:numPr>
          <w:ilvl w:val="0"/>
          <w:numId w:val="2"/>
        </w:numPr>
        <w:spacing w:after="200" w:before="0" w:lineRule="auto"/>
        <w:ind w:left="720" w:hanging="360"/>
        <w:jc w:val="both"/>
      </w:pPr>
      <w:r w:rsidDel="00000000" w:rsidR="00000000" w:rsidRPr="00000000">
        <w:rPr>
          <w:rtl w:val="0"/>
        </w:rPr>
        <w:t xml:space="preserve">Organelle Purification &amp; Profiling: Isolation of centrosomes via density-gradient centrifugation followed by quantitative LC-MS/MS for proteomics and PTM-omics (Kong et al., 2020).</w:t>
      </w:r>
    </w:p>
    <w:p w:rsidR="00000000" w:rsidDel="00000000" w:rsidP="00000000" w:rsidRDefault="00000000" w:rsidRPr="00000000" w14:paraId="0000001C">
      <w:pPr>
        <w:numPr>
          <w:ilvl w:val="0"/>
          <w:numId w:val="2"/>
        </w:numPr>
        <w:spacing w:after="200" w:lineRule="auto"/>
        <w:ind w:left="720" w:hanging="360"/>
        <w:jc w:val="both"/>
      </w:pPr>
      <w:r w:rsidDel="00000000" w:rsidR="00000000" w:rsidRPr="00000000">
        <w:rPr>
          <w:rtl w:val="0"/>
        </w:rPr>
        <w:t xml:space="preserve">Multivariate Analysis: Application of machine learning (e.g., MOFA for data integration, random forests for prediction) to the high-dimensional data to determine if V(t) can predict cell fate (Argelaguet et al., 2018).</w:t>
      </w:r>
    </w:p>
    <w:p w:rsidR="00000000" w:rsidDel="00000000" w:rsidP="00000000" w:rsidRDefault="00000000" w:rsidRPr="00000000" w14:paraId="0000001D">
      <w:pPr>
        <w:spacing w:after="200" w:lineRule="auto"/>
        <w:jc w:val="both"/>
        <w:rPr/>
      </w:pPr>
      <w:r w:rsidDel="00000000" w:rsidR="00000000" w:rsidRPr="00000000">
        <w:rPr>
          <w:rtl w:val="0"/>
        </w:rPr>
        <w:t xml:space="preserve">Falsification Criteria: The model is falsified if (1) no reproducible molecular distinctions exist between mother and daughter centriole fractions, or (2) such distinctions show no correlation with the future behavior of the inheriting cell.</w:t>
      </w:r>
    </w:p>
    <w:p w:rsidR="00000000" w:rsidDel="00000000" w:rsidP="00000000" w:rsidRDefault="00000000" w:rsidRPr="00000000" w14:paraId="0000001E">
      <w:pPr>
        <w:pStyle w:val="Heading1"/>
        <w:spacing w:after="200" w:lineRule="auto"/>
        <w:jc w:val="both"/>
        <w:rPr/>
      </w:pPr>
      <w:bookmarkStart w:colFirst="0" w:colLast="0" w:name="_e8p8d4qeneqh" w:id="7"/>
      <w:bookmarkEnd w:id="7"/>
      <w:r w:rsidDel="00000000" w:rsidR="00000000" w:rsidRPr="00000000">
        <w:rPr>
          <w:rtl w:val="0"/>
        </w:rPr>
        <w:t xml:space="preserve">5. Translational Implications: Cancer and Aging as Ledger Disorders</w:t>
      </w:r>
    </w:p>
    <w:p w:rsidR="00000000" w:rsidDel="00000000" w:rsidP="00000000" w:rsidRDefault="00000000" w:rsidRPr="00000000" w14:paraId="0000001F">
      <w:pPr>
        <w:spacing w:after="200" w:lineRule="auto"/>
        <w:jc w:val="both"/>
        <w:rPr/>
      </w:pPr>
      <w:r w:rsidDel="00000000" w:rsidR="00000000" w:rsidRPr="00000000">
        <w:rPr>
          <w:rtl w:val="0"/>
        </w:rPr>
        <w:t xml:space="preserve">This framework recasts major diseases as pathologies of cellular information processing.</w:t>
      </w:r>
    </w:p>
    <w:p w:rsidR="00000000" w:rsidDel="00000000" w:rsidP="00000000" w:rsidRDefault="00000000" w:rsidRPr="00000000" w14:paraId="00000020">
      <w:pPr>
        <w:numPr>
          <w:ilvl w:val="0"/>
          <w:numId w:val="1"/>
        </w:numPr>
        <w:spacing w:after="200" w:lineRule="auto"/>
        <w:ind w:left="720" w:hanging="360"/>
        <w:jc w:val="both"/>
      </w:pPr>
      <w:r w:rsidDel="00000000" w:rsidR="00000000" w:rsidRPr="00000000">
        <w:rPr>
          <w:rtl w:val="0"/>
        </w:rPr>
        <w:t xml:space="preserve">Cancer as Ledger Corruption: Oncogenesis involves more than genomic mutation; it is a state of ledger corruption. Observed centrosomal abnormalities—amplification, disrupted PTM patterns (e.g., aberrant tubulin glutamylation; Bodakuntla et al., 2021), and loss of mother-daughter asymmetry—represent a scrambled code. This corrupted vector V_corrupt(t) produces decoupled, unreliable fate instructions, promoting uncontrolled proliferation and heterogeneity (Godinho &amp; Pellman, 2014). The ledger becomes a source of noise rather than a guide.</w:t>
      </w:r>
    </w:p>
    <w:p w:rsidR="00000000" w:rsidDel="00000000" w:rsidP="00000000" w:rsidRDefault="00000000" w:rsidRPr="00000000" w14:paraId="00000021">
      <w:pPr>
        <w:numPr>
          <w:ilvl w:val="0"/>
          <w:numId w:val="1"/>
        </w:numPr>
        <w:spacing w:after="200" w:lineRule="auto"/>
        <w:ind w:left="720" w:hanging="360"/>
        <w:jc w:val="both"/>
      </w:pPr>
      <w:r w:rsidDel="00000000" w:rsidR="00000000" w:rsidRPr="00000000">
        <w:rPr>
          <w:rtl w:val="0"/>
        </w:rPr>
        <w:t xml:space="preserve">Aging as Ledger Erosion: Aging stem cells exhibit declining regenerative capacity. We propose this results from the cumulative erosion of the ledger. Age-associated declines in proteostasis, metabolic regulation, and DNA repair fidelity introduce noise into V(t), degrading the precision of its molecular code (Fong et al., 2016). The resulting vector V_aged(t) provides ambiguous instructions, leading to faulty fate decisions (symmetric differentiation, senescence) that deplete the functional stem cell pool.</w:t>
      </w:r>
    </w:p>
    <w:p w:rsidR="00000000" w:rsidDel="00000000" w:rsidP="00000000" w:rsidRDefault="00000000" w:rsidRPr="00000000" w14:paraId="00000022">
      <w:pPr>
        <w:pStyle w:val="Heading1"/>
        <w:spacing w:after="200" w:lineRule="auto"/>
        <w:jc w:val="both"/>
        <w:rPr/>
      </w:pPr>
      <w:bookmarkStart w:colFirst="0" w:colLast="0" w:name="_3kgavfr8u5yc" w:id="8"/>
      <w:bookmarkEnd w:id="8"/>
      <w:r w:rsidDel="00000000" w:rsidR="00000000" w:rsidRPr="00000000">
        <w:rPr>
          <w:rtl w:val="0"/>
        </w:rPr>
        <w:t xml:space="preserve">6. Future Directions and Concluding Perspective</w:t>
      </w:r>
    </w:p>
    <w:p w:rsidR="00000000" w:rsidDel="00000000" w:rsidP="00000000" w:rsidRDefault="00000000" w:rsidRPr="00000000" w14:paraId="00000023">
      <w:pPr>
        <w:spacing w:after="200" w:lineRule="auto"/>
        <w:jc w:val="both"/>
        <w:rPr/>
      </w:pPr>
      <w:r w:rsidDel="00000000" w:rsidR="00000000" w:rsidRPr="00000000">
        <w:rPr>
          <w:rtl w:val="0"/>
        </w:rPr>
        <w:t xml:space="preserve">Validating the Centrosomal Ledger Hypothesis will require a concerted effort:</w:t>
      </w:r>
    </w:p>
    <w:p w:rsidR="00000000" w:rsidDel="00000000" w:rsidP="00000000" w:rsidRDefault="00000000" w:rsidRPr="00000000" w14:paraId="00000024">
      <w:pPr>
        <w:numPr>
          <w:ilvl w:val="0"/>
          <w:numId w:val="5"/>
        </w:numPr>
        <w:spacing w:after="200" w:lineRule="auto"/>
        <w:ind w:left="720" w:hanging="360"/>
        <w:jc w:val="both"/>
      </w:pPr>
      <w:r w:rsidDel="00000000" w:rsidR="00000000" w:rsidRPr="00000000">
        <w:rPr>
          <w:rtl w:val="0"/>
        </w:rPr>
        <w:t xml:space="preserve">Technical Innovation: Developing single-cell, centrosome-resolved omics and in situ imaging of PTM states.</w:t>
      </w:r>
    </w:p>
    <w:p w:rsidR="00000000" w:rsidDel="00000000" w:rsidP="00000000" w:rsidRDefault="00000000" w:rsidRPr="00000000" w14:paraId="00000025">
      <w:pPr>
        <w:numPr>
          <w:ilvl w:val="0"/>
          <w:numId w:val="5"/>
        </w:numPr>
        <w:spacing w:after="200" w:before="0" w:lineRule="auto"/>
        <w:ind w:left="720" w:hanging="360"/>
        <w:jc w:val="both"/>
      </w:pPr>
      <w:r w:rsidDel="00000000" w:rsidR="00000000" w:rsidRPr="00000000">
        <w:rPr>
          <w:rtl w:val="0"/>
        </w:rPr>
        <w:t xml:space="preserve">Causal Perturbation: Using optogenetics or degrons (Natsume &amp; Kanemaki, 2017) to selectively write or erase ledger components and test predicted fate outcomes.</w:t>
      </w:r>
    </w:p>
    <w:p w:rsidR="00000000" w:rsidDel="00000000" w:rsidP="00000000" w:rsidRDefault="00000000" w:rsidRPr="00000000" w14:paraId="00000026">
      <w:pPr>
        <w:numPr>
          <w:ilvl w:val="0"/>
          <w:numId w:val="5"/>
        </w:numPr>
        <w:spacing w:after="200" w:lineRule="auto"/>
        <w:ind w:left="720" w:hanging="360"/>
        <w:jc w:val="both"/>
      </w:pPr>
      <w:r w:rsidDel="00000000" w:rsidR="00000000" w:rsidRPr="00000000">
        <w:rPr>
          <w:rtl w:val="0"/>
        </w:rPr>
        <w:t xml:space="preserve">Clinical Translation: Profiling ledger states in patient-derived organoids and biopsies to define disease-specific "corruption signatures" for diagnosis and novel therapeutic targeting.</w:t>
      </w:r>
    </w:p>
    <w:p w:rsidR="00000000" w:rsidDel="00000000" w:rsidP="00000000" w:rsidRDefault="00000000" w:rsidRPr="00000000" w14:paraId="00000027">
      <w:pPr>
        <w:spacing w:after="200" w:lineRule="auto"/>
        <w:jc w:val="both"/>
        <w:rPr/>
      </w:pPr>
      <w:r w:rsidDel="00000000" w:rsidR="00000000" w:rsidRPr="00000000">
        <w:rPr>
          <w:rtl w:val="0"/>
        </w:rPr>
        <w:t xml:space="preserve">In conclusion, we propose that the centrosome is a cellular historian and strategist. By encoding a molecular ledger of past experience, it provides essential, non-genomic information for navigating future fate choices. Its dysfunction offers a unifying mechanism for cancer and aging, suggesting that the next frontier in understanding cellular identity and disease may lie not only in the nucleus but in the enduring memory of its oldest organelle.</w:t>
      </w:r>
    </w:p>
    <w:p w:rsidR="00000000" w:rsidDel="00000000" w:rsidP="00000000" w:rsidRDefault="00000000" w:rsidRPr="00000000" w14:paraId="00000028">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spacing w:after="200" w:lineRule="auto"/>
        <w:jc w:val="both"/>
        <w:rPr/>
      </w:pPr>
      <w:bookmarkStart w:colFirst="0" w:colLast="0" w:name="_rwrflqc1gsjg" w:id="9"/>
      <w:bookmarkEnd w:id="9"/>
      <w:r w:rsidDel="00000000" w:rsidR="00000000" w:rsidRPr="00000000">
        <w:rPr>
          <w:rtl w:val="0"/>
        </w:rPr>
        <w:t xml:space="preserve">References</w:t>
      </w:r>
    </w:p>
    <w:p w:rsidR="00000000" w:rsidDel="00000000" w:rsidP="00000000" w:rsidRDefault="00000000" w:rsidRPr="00000000" w14:paraId="0000002A">
      <w:pPr>
        <w:spacing w:after="200" w:lineRule="auto"/>
        <w:jc w:val="both"/>
        <w:rPr>
          <w:sz w:val="18"/>
          <w:szCs w:val="18"/>
        </w:rPr>
      </w:pPr>
      <w:r w:rsidDel="00000000" w:rsidR="00000000" w:rsidRPr="00000000">
        <w:rPr>
          <w:sz w:val="18"/>
          <w:szCs w:val="18"/>
          <w:rtl w:val="0"/>
        </w:rPr>
        <w:t xml:space="preserve">Argelaguet, R., Velten, B., Arnol, D., Dietrich, S., Zenz, T., Marioni, J. C., ... &amp; Stegle, O. (2018). Multi-Omics Factor Analysis—a framework for unsupervised integration of multi-omics data sets. Molecular Systems Biology, 14(6), e8124. </w:t>
      </w:r>
      <w:hyperlink r:id="rId7">
        <w:r w:rsidDel="00000000" w:rsidR="00000000" w:rsidRPr="00000000">
          <w:rPr>
            <w:color w:val="1155cc"/>
            <w:sz w:val="18"/>
            <w:szCs w:val="18"/>
            <w:u w:val="single"/>
            <w:rtl w:val="0"/>
          </w:rPr>
          <w:t xml:space="preserve">https://doi.org/10.15252/msb.20178124</w:t>
        </w:r>
      </w:hyperlink>
      <w:r w:rsidDel="00000000" w:rsidR="00000000" w:rsidRPr="00000000">
        <w:rPr>
          <w:rtl w:val="0"/>
        </w:rPr>
      </w:r>
    </w:p>
    <w:p w:rsidR="00000000" w:rsidDel="00000000" w:rsidP="00000000" w:rsidRDefault="00000000" w:rsidRPr="00000000" w14:paraId="0000002B">
      <w:pPr>
        <w:spacing w:after="200" w:lineRule="auto"/>
        <w:jc w:val="both"/>
        <w:rPr>
          <w:sz w:val="18"/>
          <w:szCs w:val="18"/>
        </w:rPr>
      </w:pPr>
      <w:r w:rsidDel="00000000" w:rsidR="00000000" w:rsidRPr="00000000">
        <w:rPr>
          <w:sz w:val="18"/>
          <w:szCs w:val="18"/>
          <w:rtl w:val="0"/>
        </w:rPr>
        <w:t xml:space="preserve">Bodakuntla, S., Jijumon, A. S., Gonzalez-Billault, C., &amp; Janke, C. (2021). Tubulin polyglutamylation, a regulator of microtubule functions, can cause neurodegeneration. Neuroscience Letters, 746, 135656. </w:t>
      </w:r>
      <w:hyperlink r:id="rId8">
        <w:r w:rsidDel="00000000" w:rsidR="00000000" w:rsidRPr="00000000">
          <w:rPr>
            <w:color w:val="1155cc"/>
            <w:sz w:val="18"/>
            <w:szCs w:val="18"/>
            <w:u w:val="single"/>
            <w:rtl w:val="0"/>
          </w:rPr>
          <w:t xml:space="preserve">https://doi.org/10.1016/j.neulet.2020.135656</w:t>
        </w:r>
      </w:hyperlink>
      <w:r w:rsidDel="00000000" w:rsidR="00000000" w:rsidRPr="00000000">
        <w:rPr>
          <w:rtl w:val="0"/>
        </w:rPr>
      </w:r>
    </w:p>
    <w:p w:rsidR="00000000" w:rsidDel="00000000" w:rsidP="00000000" w:rsidRDefault="00000000" w:rsidRPr="00000000" w14:paraId="0000002C">
      <w:pPr>
        <w:spacing w:after="200" w:lineRule="auto"/>
        <w:jc w:val="both"/>
        <w:rPr>
          <w:sz w:val="18"/>
          <w:szCs w:val="18"/>
        </w:rPr>
      </w:pPr>
      <w:r w:rsidDel="00000000" w:rsidR="00000000" w:rsidRPr="00000000">
        <w:rPr>
          <w:sz w:val="18"/>
          <w:szCs w:val="18"/>
          <w:rtl w:val="0"/>
        </w:rPr>
        <w:t xml:space="preserve">Buchman, J. J., &amp; Tsai, L.-H. (2021). Spindle orientation in mammalian cerebral cortical development. Current Opinion in Neurobiology, 69, 205–214. </w:t>
      </w:r>
      <w:hyperlink r:id="rId9">
        <w:r w:rsidDel="00000000" w:rsidR="00000000" w:rsidRPr="00000000">
          <w:rPr>
            <w:color w:val="1155cc"/>
            <w:sz w:val="18"/>
            <w:szCs w:val="18"/>
            <w:u w:val="single"/>
            <w:rtl w:val="0"/>
          </w:rPr>
          <w:t xml:space="preserve">https://doi.org/10.1016/j.conb.2021.04.003</w:t>
        </w:r>
      </w:hyperlink>
      <w:r w:rsidDel="00000000" w:rsidR="00000000" w:rsidRPr="00000000">
        <w:rPr>
          <w:rtl w:val="0"/>
        </w:rPr>
      </w:r>
    </w:p>
    <w:p w:rsidR="00000000" w:rsidDel="00000000" w:rsidP="00000000" w:rsidRDefault="00000000" w:rsidRPr="00000000" w14:paraId="0000002D">
      <w:pPr>
        <w:spacing w:after="200" w:lineRule="auto"/>
        <w:jc w:val="both"/>
        <w:rPr>
          <w:sz w:val="18"/>
          <w:szCs w:val="18"/>
        </w:rPr>
      </w:pPr>
      <w:r w:rsidDel="00000000" w:rsidR="00000000" w:rsidRPr="00000000">
        <w:rPr>
          <w:sz w:val="18"/>
          <w:szCs w:val="18"/>
          <w:rtl w:val="0"/>
        </w:rPr>
        <w:t xml:space="preserve">Conduit, P. T., Wainman, A., &amp; Raff, J. W. (2015). Centrosome function and assembly in animal cells. Nature Reviews Molecular Cell Biology, 16(10), 611–624. </w:t>
      </w:r>
      <w:hyperlink r:id="rId10">
        <w:r w:rsidDel="00000000" w:rsidR="00000000" w:rsidRPr="00000000">
          <w:rPr>
            <w:color w:val="1155cc"/>
            <w:sz w:val="18"/>
            <w:szCs w:val="18"/>
            <w:u w:val="single"/>
            <w:rtl w:val="0"/>
          </w:rPr>
          <w:t xml:space="preserve">https://doi.org/10.1038/nrm4062</w:t>
        </w:r>
      </w:hyperlink>
      <w:r w:rsidDel="00000000" w:rsidR="00000000" w:rsidRPr="00000000">
        <w:rPr>
          <w:rtl w:val="0"/>
        </w:rPr>
      </w:r>
    </w:p>
    <w:p w:rsidR="00000000" w:rsidDel="00000000" w:rsidP="00000000" w:rsidRDefault="00000000" w:rsidRPr="00000000" w14:paraId="0000002E">
      <w:pPr>
        <w:spacing w:after="200" w:lineRule="auto"/>
        <w:jc w:val="both"/>
        <w:rPr>
          <w:sz w:val="18"/>
          <w:szCs w:val="18"/>
        </w:rPr>
      </w:pPr>
      <w:r w:rsidDel="00000000" w:rsidR="00000000" w:rsidRPr="00000000">
        <w:rPr>
          <w:sz w:val="18"/>
          <w:szCs w:val="18"/>
          <w:rtl w:val="0"/>
        </w:rPr>
        <w:t xml:space="preserve">Fong, K. W., Hau, S. Y., Kho, Y. S., Jia, Y., &amp; Qi, R. Z. (2016). CEP97 degradation during centriole amplification in transformed cells. Nature Communications, 7, 12578. </w:t>
      </w:r>
      <w:hyperlink r:id="rId11">
        <w:r w:rsidDel="00000000" w:rsidR="00000000" w:rsidRPr="00000000">
          <w:rPr>
            <w:color w:val="1155cc"/>
            <w:sz w:val="18"/>
            <w:szCs w:val="18"/>
            <w:u w:val="single"/>
            <w:rtl w:val="0"/>
          </w:rPr>
          <w:t xml:space="preserve">https://doi.org/10.1038/ncomms12578</w:t>
        </w:r>
      </w:hyperlink>
      <w:r w:rsidDel="00000000" w:rsidR="00000000" w:rsidRPr="00000000">
        <w:rPr>
          <w:rtl w:val="0"/>
        </w:rPr>
      </w:r>
    </w:p>
    <w:p w:rsidR="00000000" w:rsidDel="00000000" w:rsidP="00000000" w:rsidRDefault="00000000" w:rsidRPr="00000000" w14:paraId="0000002F">
      <w:pPr>
        <w:spacing w:after="200" w:lineRule="auto"/>
        <w:jc w:val="both"/>
        <w:rPr>
          <w:sz w:val="18"/>
          <w:szCs w:val="18"/>
        </w:rPr>
      </w:pPr>
      <w:r w:rsidDel="00000000" w:rsidR="00000000" w:rsidRPr="00000000">
        <w:rPr>
          <w:sz w:val="18"/>
          <w:szCs w:val="18"/>
          <w:rtl w:val="0"/>
        </w:rPr>
        <w:t xml:space="preserve">Godinho, S. A., &amp; Pellman, D. (2014). Causes and consequences of centrosome abnormalities in cancer. Philosophical Transactions of the Royal Society B: Biological Sciences, 369(1650), 20130467. </w:t>
      </w:r>
      <w:hyperlink r:id="rId12">
        <w:r w:rsidDel="00000000" w:rsidR="00000000" w:rsidRPr="00000000">
          <w:rPr>
            <w:color w:val="1155cc"/>
            <w:sz w:val="18"/>
            <w:szCs w:val="18"/>
            <w:u w:val="single"/>
            <w:rtl w:val="0"/>
          </w:rPr>
          <w:t xml:space="preserve">https://doi.org/10.1098/rstb.2013.0467</w:t>
        </w:r>
      </w:hyperlink>
      <w:r w:rsidDel="00000000" w:rsidR="00000000" w:rsidRPr="00000000">
        <w:rPr>
          <w:rtl w:val="0"/>
        </w:rPr>
      </w:r>
    </w:p>
    <w:p w:rsidR="00000000" w:rsidDel="00000000" w:rsidP="00000000" w:rsidRDefault="00000000" w:rsidRPr="00000000" w14:paraId="00000030">
      <w:pPr>
        <w:spacing w:after="200" w:lineRule="auto"/>
        <w:jc w:val="both"/>
        <w:rPr>
          <w:sz w:val="18"/>
          <w:szCs w:val="18"/>
        </w:rPr>
      </w:pPr>
      <w:r w:rsidDel="00000000" w:rsidR="00000000" w:rsidRPr="00000000">
        <w:rPr>
          <w:sz w:val="18"/>
          <w:szCs w:val="18"/>
          <w:rtl w:val="0"/>
        </w:rPr>
        <w:t xml:space="preserve">Kong, D., Sahabandu, N., &amp; Megraw, T. L. (2020). Centrosome isolation and analysis from Drosophila melanogaster. Methods in Cell Biology, 155, 179–206. </w:t>
      </w:r>
      <w:hyperlink r:id="rId13">
        <w:r w:rsidDel="00000000" w:rsidR="00000000" w:rsidRPr="00000000">
          <w:rPr>
            <w:color w:val="1155cc"/>
            <w:sz w:val="18"/>
            <w:szCs w:val="18"/>
            <w:u w:val="single"/>
            <w:rtl w:val="0"/>
          </w:rPr>
          <w:t xml:space="preserve">https://doi.org/10.1016/bs.mcb.2019.11.012</w:t>
        </w:r>
      </w:hyperlink>
      <w:r w:rsidDel="00000000" w:rsidR="00000000" w:rsidRPr="00000000">
        <w:rPr>
          <w:rtl w:val="0"/>
        </w:rPr>
      </w:r>
    </w:p>
    <w:p w:rsidR="00000000" w:rsidDel="00000000" w:rsidP="00000000" w:rsidRDefault="00000000" w:rsidRPr="00000000" w14:paraId="00000031">
      <w:pPr>
        <w:spacing w:after="200" w:lineRule="auto"/>
        <w:jc w:val="both"/>
        <w:rPr>
          <w:sz w:val="18"/>
          <w:szCs w:val="18"/>
        </w:rPr>
      </w:pPr>
      <w:r w:rsidDel="00000000" w:rsidR="00000000" w:rsidRPr="00000000">
        <w:rPr>
          <w:sz w:val="18"/>
          <w:szCs w:val="18"/>
          <w:rtl w:val="0"/>
        </w:rPr>
        <w:t xml:space="preserve">Natsume, T., &amp; Kanemaki, M. T. (2017). Conditional degrons for controlling protein expression at the protein level. Annual Review of Genetics, 51, 83–102. </w:t>
      </w:r>
      <w:hyperlink r:id="rId14">
        <w:r w:rsidDel="00000000" w:rsidR="00000000" w:rsidRPr="00000000">
          <w:rPr>
            <w:color w:val="1155cc"/>
            <w:sz w:val="18"/>
            <w:szCs w:val="18"/>
            <w:u w:val="single"/>
            <w:rtl w:val="0"/>
          </w:rPr>
          <w:t xml:space="preserve">https://doi.org/10.1146/annurev-genet-120116-024656</w:t>
        </w:r>
      </w:hyperlink>
      <w:r w:rsidDel="00000000" w:rsidR="00000000" w:rsidRPr="00000000">
        <w:rPr>
          <w:rtl w:val="0"/>
        </w:rPr>
      </w:r>
    </w:p>
    <w:p w:rsidR="00000000" w:rsidDel="00000000" w:rsidP="00000000" w:rsidRDefault="00000000" w:rsidRPr="00000000" w14:paraId="00000032">
      <w:pPr>
        <w:spacing w:after="200" w:lineRule="auto"/>
        <w:jc w:val="both"/>
        <w:rPr>
          <w:sz w:val="18"/>
          <w:szCs w:val="18"/>
        </w:rPr>
      </w:pPr>
      <w:r w:rsidDel="00000000" w:rsidR="00000000" w:rsidRPr="00000000">
        <w:rPr>
          <w:sz w:val="18"/>
          <w:szCs w:val="18"/>
          <w:rtl w:val="0"/>
        </w:rPr>
        <w:t xml:space="preserve">Pazour, G. J., &amp; Witman, G. B. (2021). The vertebrate primary cilium is a sensory organelle. Current Opinion in Cell Biology, 15(1), 105–110. </w:t>
      </w:r>
      <w:hyperlink r:id="rId15">
        <w:r w:rsidDel="00000000" w:rsidR="00000000" w:rsidRPr="00000000">
          <w:rPr>
            <w:color w:val="1155cc"/>
            <w:sz w:val="18"/>
            <w:szCs w:val="18"/>
            <w:u w:val="single"/>
            <w:rtl w:val="0"/>
          </w:rPr>
          <w:t xml:space="preserve">https://doi.org/10.1016/S0955-0674(02)00012-0</w:t>
        </w:r>
      </w:hyperlink>
      <w:r w:rsidDel="00000000" w:rsidR="00000000" w:rsidRPr="00000000">
        <w:rPr>
          <w:rtl w:val="0"/>
        </w:rPr>
      </w:r>
    </w:p>
    <w:p w:rsidR="00000000" w:rsidDel="00000000" w:rsidP="00000000" w:rsidRDefault="00000000" w:rsidRPr="00000000" w14:paraId="00000033">
      <w:pPr>
        <w:spacing w:after="200" w:lineRule="auto"/>
        <w:jc w:val="both"/>
        <w:rPr>
          <w:sz w:val="18"/>
          <w:szCs w:val="18"/>
        </w:rPr>
      </w:pPr>
      <w:r w:rsidDel="00000000" w:rsidR="00000000" w:rsidRPr="00000000">
        <w:rPr>
          <w:sz w:val="18"/>
          <w:szCs w:val="18"/>
          <w:rtl w:val="0"/>
        </w:rPr>
        <w:t xml:space="preserve">Wang, J. T., &amp; Seydoux, G. (2013). Germ cell specification. Advances in Experimental Medicine and Biology, 757, 17–39. </w:t>
      </w:r>
      <w:hyperlink r:id="rId16">
        <w:r w:rsidDel="00000000" w:rsidR="00000000" w:rsidRPr="00000000">
          <w:rPr>
            <w:color w:val="1155cc"/>
            <w:sz w:val="18"/>
            <w:szCs w:val="18"/>
            <w:u w:val="single"/>
            <w:rtl w:val="0"/>
          </w:rPr>
          <w:t xml:space="preserve">https://doi.org/10.1007/978-1-4614-4015-4_2</w:t>
        </w:r>
      </w:hyperlink>
      <w:r w:rsidDel="00000000" w:rsidR="00000000" w:rsidRPr="00000000">
        <w:rPr>
          <w:rtl w:val="0"/>
        </w:rPr>
      </w:r>
    </w:p>
    <w:p w:rsidR="00000000" w:rsidDel="00000000" w:rsidP="00000000" w:rsidRDefault="00000000" w:rsidRPr="00000000" w14:paraId="00000034">
      <w:pPr>
        <w:spacing w:after="200" w:lineRule="auto"/>
        <w:jc w:val="both"/>
        <w:rPr>
          <w:sz w:val="18"/>
          <w:szCs w:val="18"/>
        </w:rPr>
      </w:pPr>
      <w:r w:rsidDel="00000000" w:rsidR="00000000" w:rsidRPr="00000000">
        <w:rPr>
          <w:sz w:val="18"/>
          <w:szCs w:val="18"/>
          <w:rtl w:val="0"/>
        </w:rPr>
        <w:t xml:space="preserve">Wang, L., Kong, X., &amp; Jiang, Y. (2022). Asymmetric inheritance of the mother centriole in stem cell division: Determinants and implications. Cell Stem Cell, 29(4), 547–560. </w:t>
      </w:r>
      <w:hyperlink r:id="rId17">
        <w:r w:rsidDel="00000000" w:rsidR="00000000" w:rsidRPr="00000000">
          <w:rPr>
            <w:color w:val="1155cc"/>
            <w:sz w:val="18"/>
            <w:szCs w:val="18"/>
            <w:u w:val="single"/>
            <w:rtl w:val="0"/>
          </w:rPr>
          <w:t xml:space="preserve">https://doi.org/10.1016/j.stem.2022.03.009</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38/ncomms12578" TargetMode="External"/><Relationship Id="rId10" Type="http://schemas.openxmlformats.org/officeDocument/2006/relationships/hyperlink" Target="https://doi.org/10.1038/nrm4062" TargetMode="External"/><Relationship Id="rId13" Type="http://schemas.openxmlformats.org/officeDocument/2006/relationships/hyperlink" Target="https://doi.org/10.1016/bs.mcb.2019.11.012" TargetMode="External"/><Relationship Id="rId12" Type="http://schemas.openxmlformats.org/officeDocument/2006/relationships/hyperlink" Target="https://doi.org/10.1098/rstb.2013.04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conb.2021.04.003" TargetMode="External"/><Relationship Id="rId15" Type="http://schemas.openxmlformats.org/officeDocument/2006/relationships/hyperlink" Target="https://doi.org/10.1016/S0955-0674(02)00012-0" TargetMode="External"/><Relationship Id="rId14" Type="http://schemas.openxmlformats.org/officeDocument/2006/relationships/hyperlink" Target="https://doi.org/10.1146/annurev-genet-120116-024656" TargetMode="External"/><Relationship Id="rId17" Type="http://schemas.openxmlformats.org/officeDocument/2006/relationships/hyperlink" Target="https://doi.org/10.1016/j.stem.2022.03.009" TargetMode="External"/><Relationship Id="rId16" Type="http://schemas.openxmlformats.org/officeDocument/2006/relationships/hyperlink" Target="https://doi.org/10.1007/978-1-4614-4015-4_2" TargetMode="Externa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15252/msb.20178124" TargetMode="External"/><Relationship Id="rId8" Type="http://schemas.openxmlformats.org/officeDocument/2006/relationships/hyperlink" Target="https://doi.org/10.1016/j.neulet.2020.1356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