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00" w:lineRule="auto"/>
        <w:rPr/>
      </w:pPr>
      <w:r w:rsidDel="00000000" w:rsidR="00000000" w:rsidRPr="00000000">
        <w:rPr>
          <w:rtl w:val="0"/>
        </w:rPr>
      </w:r>
    </w:p>
    <w:p w:rsidR="00000000" w:rsidDel="00000000" w:rsidP="00000000" w:rsidRDefault="00000000" w:rsidRPr="00000000" w14:paraId="00000002">
      <w:pPr>
        <w:pStyle w:val="Title"/>
        <w:spacing w:after="200" w:lineRule="auto"/>
        <w:rPr/>
      </w:pPr>
      <w:bookmarkStart w:colFirst="0" w:colLast="0" w:name="_7sh492le95mc" w:id="0"/>
      <w:bookmarkEnd w:id="0"/>
      <w:r w:rsidDel="00000000" w:rsidR="00000000" w:rsidRPr="00000000">
        <w:rPr>
          <w:i w:val="1"/>
          <w:iCs w:val="1"/>
          <w:rtl w:val="0"/>
        </w:rPr>
        <w:t xml:space="preserve">Ex Vivo</w:t>
      </w:r>
      <w:r w:rsidDel="00000000" w:rsidR="00000000" w:rsidRPr="00000000">
        <w:rPr>
          <w:rtl w:val="0"/>
        </w:rPr>
        <w:t xml:space="preserve"> Manipulation Strategies for Directed Stem Cell Differentiation</w:t>
      </w:r>
    </w:p>
    <w:p w:rsidR="00000000" w:rsidDel="00000000" w:rsidP="00000000" w:rsidRDefault="00000000" w:rsidRPr="00000000" w14:paraId="00000003">
      <w:pPr>
        <w:pStyle w:val="Subtitle"/>
        <w:spacing w:after="200" w:lineRule="auto"/>
        <w:jc w:val="both"/>
        <w:rPr/>
      </w:pPr>
      <w:bookmarkStart w:colFirst="0" w:colLast="0" w:name="_94dhr0jxhmp1" w:id="1"/>
      <w:bookmarkEnd w:id="1"/>
      <w:r w:rsidDel="00000000" w:rsidR="00000000" w:rsidRPr="00000000">
        <w:rPr>
          <w:rtl w:val="0"/>
        </w:rPr>
        <w:t xml:space="preserve">Centriolar targeting approaches for optimized cell fate control in transplantation</w:t>
      </w:r>
    </w:p>
    <w:p w:rsidR="00000000" w:rsidDel="00000000" w:rsidP="00000000" w:rsidRDefault="00000000" w:rsidRPr="00000000" w14:paraId="00000004">
      <w:pPr>
        <w:jc w:val="both"/>
        <w:rPr>
          <w:sz w:val="18"/>
          <w:szCs w:val="18"/>
          <w:highlight w:val="white"/>
          <w:vertAlign w:val="superscript"/>
        </w:rPr>
      </w:pPr>
      <w:r w:rsidDel="00000000" w:rsidR="00000000" w:rsidRPr="00000000">
        <w:rPr>
          <w:b w:val="1"/>
          <w:bCs w:val="1"/>
          <w:sz w:val="18"/>
          <w:szCs w:val="18"/>
          <w:rtl w:val="0"/>
        </w:rPr>
        <w:t xml:space="preserve">Jaba Tkemaladze </w:t>
      </w:r>
      <w:r w:rsidDel="00000000" w:rsidR="00000000" w:rsidRPr="00000000">
        <w:rPr>
          <w:b w:val="1"/>
          <w:bCs w:val="1"/>
          <w:sz w:val="18"/>
          <w:szCs w:val="18"/>
          <w:vertAlign w:val="superscript"/>
          <w:rtl w:val="0"/>
        </w:rPr>
        <w:t xml:space="preserve"> </w:t>
      </w:r>
      <w:hyperlink r:id="rId6">
        <w:r w:rsidDel="00000000" w:rsidR="00000000" w:rsidRPr="00000000">
          <w:rPr>
            <w:b w:val="1"/>
            <w:bCs w:val="1"/>
            <w:color w:val="1155cc"/>
            <w:sz w:val="18"/>
            <w:szCs w:val="18"/>
            <w:u w:val="single"/>
            <w:vertAlign w:val="superscript"/>
            <w:rtl w:val="0"/>
          </w:rPr>
          <w:t xml:space="preserve">^</w:t>
        </w:r>
      </w:hyperlink>
      <w:r w:rsidDel="00000000" w:rsidR="00000000" w:rsidRPr="00000000">
        <w:rPr>
          <w:sz w:val="18"/>
          <w:szCs w:val="18"/>
          <w:rtl w:val="0"/>
        </w:rPr>
        <w:t xml:space="preserve"> </w:t>
      </w:r>
      <w:r w:rsidDel="00000000" w:rsidR="00000000" w:rsidRPr="00000000">
        <w:rPr>
          <w:sz w:val="18"/>
          <w:szCs w:val="18"/>
          <w:vertAlign w:val="superscript"/>
          <w:rtl w:val="0"/>
        </w:rPr>
        <w:t xml:space="preserve">¹</w:t>
      </w:r>
      <w:r w:rsidDel="00000000" w:rsidR="00000000" w:rsidRPr="00000000">
        <w:rPr>
          <w:rtl w:val="0"/>
        </w:rPr>
      </w:r>
    </w:p>
    <w:p w:rsidR="00000000" w:rsidDel="00000000" w:rsidP="00000000" w:rsidRDefault="00000000" w:rsidRPr="00000000" w14:paraId="00000005">
      <w:pPr>
        <w:jc w:val="both"/>
        <w:rPr>
          <w:sz w:val="18"/>
          <w:szCs w:val="18"/>
          <w:highlight w:val="white"/>
        </w:rPr>
      </w:pPr>
      <w:r w:rsidDel="00000000" w:rsidR="00000000" w:rsidRPr="00000000">
        <w:rPr>
          <w:b w:val="1"/>
          <w:bCs w:val="1"/>
          <w:sz w:val="18"/>
          <w:szCs w:val="18"/>
          <w:rtl w:val="0"/>
        </w:rPr>
        <w:t xml:space="preserve">Affiliation:</w:t>
      </w:r>
      <w:r w:rsidDel="00000000" w:rsidR="00000000" w:rsidRPr="00000000">
        <w:rPr>
          <w:sz w:val="18"/>
          <w:szCs w:val="18"/>
          <w:rtl w:val="0"/>
        </w:rPr>
        <w:t xml:space="preserve"> </w:t>
      </w:r>
      <w:r w:rsidDel="00000000" w:rsidR="00000000" w:rsidRPr="00000000">
        <w:rPr>
          <w:sz w:val="18"/>
          <w:szCs w:val="18"/>
          <w:vertAlign w:val="superscript"/>
          <w:rtl w:val="0"/>
        </w:rPr>
        <w:t xml:space="preserve">¹</w:t>
      </w:r>
      <w:r w:rsidDel="00000000" w:rsidR="00000000" w:rsidRPr="00000000">
        <w:rPr>
          <w:sz w:val="18"/>
          <w:szCs w:val="18"/>
          <w:rtl w:val="0"/>
        </w:rPr>
        <w:t xml:space="preserve"> </w:t>
      </w:r>
      <w:r w:rsidDel="00000000" w:rsidR="00000000" w:rsidRPr="00000000">
        <w:rPr>
          <w:color w:val="202122"/>
          <w:sz w:val="16"/>
          <w:szCs w:val="16"/>
          <w:highlight w:val="white"/>
          <w:rtl w:val="0"/>
        </w:rPr>
        <w:t xml:space="preserve">Kutaisi International University</w:t>
      </w:r>
      <w:r w:rsidDel="00000000" w:rsidR="00000000" w:rsidRPr="00000000">
        <w:rPr>
          <w:sz w:val="18"/>
          <w:szCs w:val="18"/>
          <w:rtl w:val="0"/>
        </w:rPr>
        <w:t xml:space="preserve">, Georgia</w:t>
      </w: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sz w:val="18"/>
          <w:szCs w:val="18"/>
          <w:rtl w:val="0"/>
        </w:rPr>
        <w:t xml:space="preserve">Citation: </w:t>
      </w:r>
      <w:r w:rsidDel="00000000" w:rsidR="00000000" w:rsidRPr="00000000">
        <w:rPr>
          <w:rFonts w:ascii="Roboto" w:cs="Roboto" w:eastAsia="Roboto" w:hAnsi="Roboto"/>
          <w:color w:val="0f1115"/>
          <w:sz w:val="18"/>
          <w:szCs w:val="18"/>
          <w:highlight w:val="white"/>
          <w:rtl w:val="0"/>
        </w:rPr>
        <w:t xml:space="preserve">Tkemaladze, J. (2026). </w:t>
      </w:r>
      <w:r w:rsidDel="00000000" w:rsidR="00000000" w:rsidRPr="00000000">
        <w:rPr>
          <w:rFonts w:ascii="Roboto" w:cs="Roboto" w:eastAsia="Roboto" w:hAnsi="Roboto"/>
          <w:i w:val="1"/>
          <w:iCs w:val="1"/>
          <w:color w:val="0f1115"/>
          <w:sz w:val="18"/>
          <w:szCs w:val="18"/>
          <w:highlight w:val="white"/>
          <w:rtl w:val="0"/>
        </w:rPr>
        <w:t xml:space="preserve">Ex Vivo</w:t>
      </w:r>
      <w:r w:rsidDel="00000000" w:rsidR="00000000" w:rsidRPr="00000000">
        <w:rPr>
          <w:rFonts w:ascii="Roboto" w:cs="Roboto" w:eastAsia="Roboto" w:hAnsi="Roboto"/>
          <w:color w:val="0f1115"/>
          <w:sz w:val="18"/>
          <w:szCs w:val="18"/>
          <w:highlight w:val="white"/>
          <w:rtl w:val="0"/>
        </w:rPr>
        <w:t xml:space="preserve"> Manipulation Strategies for Directed Stem Cell Differentiation. </w:t>
      </w:r>
      <w:r w:rsidDel="00000000" w:rsidR="00000000" w:rsidRPr="00000000">
        <w:rPr>
          <w:sz w:val="18"/>
          <w:szCs w:val="18"/>
          <w:rtl w:val="0"/>
        </w:rPr>
        <w:t xml:space="preserve">Longevity Horizon, 2(4). DOI : </w:t>
      </w:r>
      <w:hyperlink r:id="rId7">
        <w:r w:rsidDel="00000000" w:rsidR="00000000" w:rsidRPr="00000000">
          <w:rPr>
            <w:color w:val="1155cc"/>
            <w:sz w:val="18"/>
            <w:szCs w:val="18"/>
            <w:u w:val="single"/>
            <w:rtl w:val="0"/>
          </w:rPr>
          <w:t xml:space="preserve">https://doi.org/10.65649/hmrj2g17</w:t>
        </w:r>
      </w:hyperlink>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07">
      <w:pPr>
        <w:pStyle w:val="Heading1"/>
        <w:rPr/>
      </w:pPr>
      <w:bookmarkStart w:colFirst="0" w:colLast="0" w:name="_wngt5a99qbnb" w:id="2"/>
      <w:bookmarkEnd w:id="2"/>
      <w:r w:rsidDel="00000000" w:rsidR="00000000" w:rsidRPr="00000000">
        <w:rPr>
          <w:rtl w:val="0"/>
        </w:rPr>
        <w:t xml:space="preserve">Abstract</w:t>
      </w:r>
    </w:p>
    <w:p w:rsidR="00000000" w:rsidDel="00000000" w:rsidP="00000000" w:rsidRDefault="00000000" w:rsidRPr="00000000" w14:paraId="00000008">
      <w:pPr>
        <w:jc w:val="both"/>
        <w:rPr>
          <w:sz w:val="18"/>
          <w:szCs w:val="18"/>
        </w:rPr>
      </w:pPr>
      <w:r w:rsidDel="00000000" w:rsidR="00000000" w:rsidRPr="00000000">
        <w:rPr>
          <w:sz w:val="18"/>
          <w:szCs w:val="18"/>
          <w:rtl w:val="0"/>
        </w:rPr>
        <w:t xml:space="preserve">Directed differentiation of stem cells into functional somatic cell types ex vivo remains a cornerstone of regenerative medicine, yet conventional approaches relying solely on soluble factor modulation have reached a plateau in efficiency, homogeneity, and functional maturation. This review synthesizes classical and emerging manipulation strategies, with emphasis on the centrosome as an underappreciated but critical regulator of cell fate decisions. Classical methods—including growth factor-mediated chemical induction, matrix-engineered scaffolds, and coculture systems—are systematically evaluated for their strengths and limitations. Genetic engineering approaches utilizing transcription factor overexpression and CRISPR/Cas9-mediated reporter generation are discussed as tools for enhancing purity and enabling real-time fate monitoring. Physical stimulation through bioreactors delivering pulsatile flow, mechanical stretch, and electrical fields is examined for its capacity to engage mechanotransductive pathways that converge on the centrosome. The core of this review introduces pioneering strategies targeting centrioles and associated cell fate determination systems (CAFDs), including pharmacological modulation of centriolar kinases (PLK4, NEK2, Aurora A), optogenetic control of CAFD localization, nanoparticle-mediated delivery to centrosomes, magnetic manipulation of centrosome position, and pharmacological stimulation of ciliogenesis. An integrative protocol for generating functional dopaminergic neurons is presented as a proof-of-concept, sequentially incorporating centriole priming, dual SMAD inhibition, ciliogenesis-enhanced ventral specification, mechanical maturation, and reporter-based purification. Critical quality assessment methodologies—super-resolution imaging, ciliogenesis assays, spindle orientation analysis, single-cell omics, and transplantation validation—are outlined. Finally, key challenges including safety validation, persistent heterogeneity, scalability limitations, and ethical considerations are addressed. The emerging paradigm positions the centriole not as a static structural element but as a dynamic, manipulable target for biotechnological engineering of cell fate. Integration of centrosome-directed approaches with predictive digital twin modeling promises to accelerate the transition from generating incompletely differentiated populations toward creating truly functional, mature, and safe transplantable products for regenerative medicine.</w:t>
      </w:r>
    </w:p>
    <w:p w:rsidR="00000000" w:rsidDel="00000000" w:rsidP="00000000" w:rsidRDefault="00000000" w:rsidRPr="00000000" w14:paraId="00000009">
      <w:pPr>
        <w:jc w:val="both"/>
        <w:rPr>
          <w:sz w:val="18"/>
          <w:szCs w:val="18"/>
        </w:rPr>
      </w:pPr>
      <w:r w:rsidDel="00000000" w:rsidR="00000000" w:rsidRPr="00000000">
        <w:rPr>
          <w:rtl w:val="0"/>
        </w:rPr>
      </w:r>
    </w:p>
    <w:p w:rsidR="00000000" w:rsidDel="00000000" w:rsidP="00000000" w:rsidRDefault="00000000" w:rsidRPr="00000000" w14:paraId="0000000A">
      <w:pPr>
        <w:jc w:val="both"/>
        <w:rPr>
          <w:sz w:val="18"/>
          <w:szCs w:val="18"/>
        </w:rPr>
      </w:pPr>
      <w:r w:rsidDel="00000000" w:rsidR="00000000" w:rsidRPr="00000000">
        <w:rPr>
          <w:b w:val="1"/>
          <w:bCs w:val="1"/>
          <w:sz w:val="18"/>
          <w:szCs w:val="18"/>
          <w:rtl w:val="0"/>
        </w:rPr>
        <w:t xml:space="preserve">Keywords</w:t>
      </w:r>
      <w:r w:rsidDel="00000000" w:rsidR="00000000" w:rsidRPr="00000000">
        <w:rPr>
          <w:sz w:val="18"/>
          <w:szCs w:val="18"/>
          <w:rtl w:val="0"/>
        </w:rPr>
        <w:t xml:space="preserve">: Directed Differentiation, Stem Cells, Centrosome, Centriole, Cell Fate Determination, Regenerative Medicine, Ex Vivo Manipulation.</w:t>
      </w:r>
    </w:p>
    <w:p w:rsidR="00000000" w:rsidDel="00000000" w:rsidP="00000000" w:rsidRDefault="00000000" w:rsidRPr="00000000" w14:paraId="0000000B">
      <w:pPr>
        <w:pStyle w:val="Heading1"/>
        <w:spacing w:after="200" w:lineRule="auto"/>
        <w:rPr/>
      </w:pPr>
      <w:bookmarkStart w:colFirst="0" w:colLast="0" w:name="_vfllt1lmq5v5" w:id="3"/>
      <w:bookmarkEnd w:id="3"/>
      <w:r w:rsidDel="00000000" w:rsidR="00000000" w:rsidRPr="00000000">
        <w:rPr>
          <w:rtl w:val="0"/>
        </w:rPr>
        <w:t xml:space="preserve">Introduction: Context and Significance</w:t>
      </w:r>
    </w:p>
    <w:p w:rsidR="00000000" w:rsidDel="00000000" w:rsidP="00000000" w:rsidRDefault="00000000" w:rsidRPr="00000000" w14:paraId="0000000C">
      <w:pPr>
        <w:spacing w:after="200" w:lineRule="auto"/>
        <w:jc w:val="both"/>
        <w:rPr/>
      </w:pPr>
      <w:r w:rsidDel="00000000" w:rsidR="00000000" w:rsidRPr="00000000">
        <w:rPr>
          <w:rtl w:val="0"/>
        </w:rPr>
        <w:t xml:space="preserve">Ex vivo directed differentiation—the process of converting stem or progenitor cells into specific functional cell types outside the organism for subsequent transplantation into recipients—represents a cornerstone of regenerative medicine. This approach holds transformative potential for treating a wide spectrum of conditions, from neurodegenerative diseases and spinal cord injury to haematological disorders and tissue degeneration (Elder et al., 2022; Fong et al., 2025). The fundamental premise is elegant in its simplicity: harness the innate plasticity of stem cells to generate replacement populations that can restore tissue architecture and function lost to disease or injury.</w:t>
      </w:r>
    </w:p>
    <w:p w:rsidR="00000000" w:rsidDel="00000000" w:rsidP="00000000" w:rsidRDefault="00000000" w:rsidRPr="00000000" w14:paraId="0000000D">
      <w:pPr>
        <w:spacing w:after="200" w:lineRule="auto"/>
        <w:jc w:val="both"/>
        <w:rPr/>
      </w:pPr>
      <w:r w:rsidDel="00000000" w:rsidR="00000000" w:rsidRPr="00000000">
        <w:rPr>
          <w:rtl w:val="0"/>
        </w:rPr>
        <w:t xml:space="preserve">However, the translation of this promise into clinical reality has been hampered by persistent and formidable challenges. Despite decades of intensive research, ex vivo differentiation protocols continue to grapple with limited efficiency, often yielding cell populations that exhibit incomplete maturation and fail to recapitulate the full functional repertoire of their in vivo counterparts (Engel et al., 2016). The problem of heterogeneity looms equally large—differentiated cultures typically contain a variable mixture of desired cell types, off-target lineages, and residual undifferentiated cells. This latter population carries the ominous risk of teratoma formation upon transplantation, a safety concern that has fundamentally shaped regulatory requirements for cell-based therapies (Smith et al., 2025; Buta et al., 2013). The teratoma xenograft assay, long considered the gold standard for assessing pluripotency, itself exemplifies the field's dependence on retrospective, endpoint analyses rather than prospective control over cell fate (Müller et al., 2010).</w:t>
      </w:r>
    </w:p>
    <w:p w:rsidR="00000000" w:rsidDel="00000000" w:rsidP="00000000" w:rsidRDefault="00000000" w:rsidRPr="00000000" w14:paraId="0000000E">
      <w:pPr>
        <w:spacing w:after="200" w:lineRule="auto"/>
        <w:jc w:val="both"/>
        <w:rPr/>
      </w:pPr>
      <w:r w:rsidDel="00000000" w:rsidR="00000000" w:rsidRPr="00000000">
        <w:rPr>
          <w:rtl w:val="0"/>
        </w:rPr>
        <w:t xml:space="preserve">These limitations have catalyzed a conceptual shift in how researchers approach directed differentiation. The classical paradigm—exposing cells to cocktails of soluble growth factors and hope that they interpret these signals correctly—increasingly appears insufficient. What is emerging instead is a vision of precision control over the intracellular machinery that executes fate decisions. This new paradigm recognizes that differentiation is not merely a response to extracellular cues but a process orchestrated by complex subcellular systems, including the cytoskeletal architecture, organelle inheritance patterns, and what might be termed cell fate determination systems (CAFDs).</w:t>
      </w:r>
    </w:p>
    <w:p w:rsidR="00000000" w:rsidDel="00000000" w:rsidP="00000000" w:rsidRDefault="00000000" w:rsidRPr="00000000" w14:paraId="0000000F">
      <w:pPr>
        <w:spacing w:after="200" w:lineRule="auto"/>
        <w:jc w:val="both"/>
        <w:rPr/>
      </w:pPr>
      <w:r w:rsidDel="00000000" w:rsidR="00000000" w:rsidRPr="00000000">
        <w:rPr>
          <w:rtl w:val="0"/>
        </w:rPr>
        <w:t xml:space="preserve">Among these intracellular systems, the centrosome—the cell's primary microtubule-organizing center—has garnered particular attention. Far from being a static structural element, the centrosome embodies temporal asymmetry that may directly influence stem cell fate. Centrioles, the core components of centrosomes, carry an intrinsic "age" due to their semi-conservative duplication cycle: mother centrioles, inherited from the previous cell cycle, and daughter centrioles, synthesized de novo, exhibit structural and functional differences (Yamashita, 2009). This asymmetry extends to the pericentriolar material and associated proteins, creating two distinct centrosomes within a single cell. During asymmetric stem cell divisions, these centrosomes are non-randomly segregated, with the mother centrosome consistently retained by the cell that maintains stem cell identity in Drosophila male germline stem cells, while the daughter centrosome is directed to the differentiating daughter (Yamashita et al., 2007). Remarkably, this pattern is not universal but cell-type specific—Drosophila neuroblasts instead retain the daughter centrosome (Januschke et al., 2011), suggesting that centrosome inheritance patterns are evolutionarily tailored to particular stem cell niches and developmental contexts.</w:t>
      </w:r>
    </w:p>
    <w:p w:rsidR="00000000" w:rsidDel="00000000" w:rsidP="00000000" w:rsidRDefault="00000000" w:rsidRPr="00000000" w14:paraId="00000010">
      <w:pPr>
        <w:spacing w:after="200" w:lineRule="auto"/>
        <w:jc w:val="both"/>
        <w:rPr/>
      </w:pPr>
      <w:r w:rsidDel="00000000" w:rsidR="00000000" w:rsidRPr="00000000">
        <w:rPr>
          <w:rtl w:val="0"/>
        </w:rPr>
        <w:t xml:space="preserve">The functional significance of biased centrosome inheritance extends to mammalian systems. In mouse radial glial progenitors, mother centrosome retention correlates with maintenance of the progenitor state, while daughter centrosome inheritance is associated with neuronal differentiation (Wang et al., 2009). These observations have given rise to the "immortal centrosome hypothesis," which posits that the mother centrosome, with its mature appendages and enhanced microtubule-nucleating capacity, preserves stem cell identity across divisions (Morrison &amp; Spradling, 2008). More provocatively, centrosomes may serve as platforms for segregating fate-determining molecules—mRNAs, proteins, or signaling complexes—ensuring their asymmetric distribution to one daughter cell (Salzmann et al., 2013). The recent demonstration that centriolar proteins such as CPAP directly influence tissue-specific differentiation in tooth development (Pei et al., 2025) underscores the broader relevance of this organelle to directed differentiation strategies.</w:t>
      </w:r>
    </w:p>
    <w:p w:rsidR="00000000" w:rsidDel="00000000" w:rsidP="00000000" w:rsidRDefault="00000000" w:rsidRPr="00000000" w14:paraId="00000011">
      <w:pPr>
        <w:spacing w:after="200" w:lineRule="auto"/>
        <w:jc w:val="both"/>
        <w:rPr/>
      </w:pPr>
      <w:r w:rsidDel="00000000" w:rsidR="00000000" w:rsidRPr="00000000">
        <w:rPr>
          <w:rtl w:val="0"/>
        </w:rPr>
        <w:t xml:space="preserve">This review surveys the landscape of ex vivo manipulation strategies for directed stem cell differentiation, tracing the evolution from classical approaches to emerging paradigms. We begin by examining conventional methods based on soluble factor modulation and biomaterial scaffolds, critically assessing their strengths and limitations. We then explore how insights from developmental biology—particularly the role of mechanical forces, metabolic regulation, and cell-cell interactions—are being translated into improved differentiation protocols. Finally, we consider pioneering approaches that target the centrosome and associated fate-determination systems, discussing how precise manipulation of organelle inheritance and function might overcome current barriers to generating fully functional, homogeneous cell populations for therapeutic applications.</w:t>
      </w:r>
    </w:p>
    <w:p w:rsidR="00000000" w:rsidDel="00000000" w:rsidP="00000000" w:rsidRDefault="00000000" w:rsidRPr="00000000" w14:paraId="00000012">
      <w:pPr>
        <w:pStyle w:val="Heading1"/>
        <w:spacing w:after="200" w:lineRule="auto"/>
        <w:rPr/>
      </w:pPr>
      <w:bookmarkStart w:colFirst="0" w:colLast="0" w:name="_aak7upc1n34l" w:id="4"/>
      <w:bookmarkEnd w:id="4"/>
      <w:r w:rsidDel="00000000" w:rsidR="00000000" w:rsidRPr="00000000">
        <w:rPr>
          <w:rtl w:val="0"/>
        </w:rPr>
        <w:t xml:space="preserve">Classical and Standardized Methods</w:t>
      </w:r>
    </w:p>
    <w:p w:rsidR="00000000" w:rsidDel="00000000" w:rsidP="00000000" w:rsidRDefault="00000000" w:rsidRPr="00000000" w14:paraId="00000013">
      <w:pPr>
        <w:pStyle w:val="Heading2"/>
        <w:spacing w:after="200" w:lineRule="auto"/>
        <w:jc w:val="both"/>
        <w:rPr/>
      </w:pPr>
      <w:bookmarkStart w:colFirst="0" w:colLast="0" w:name="_jllb7pficftu" w:id="5"/>
      <w:bookmarkEnd w:id="5"/>
      <w:r w:rsidDel="00000000" w:rsidR="00000000" w:rsidRPr="00000000">
        <w:rPr>
          <w:rtl w:val="0"/>
        </w:rPr>
        <w:t xml:space="preserve">Factor-Dependent Differentiation (Chemical Induction)</w:t>
      </w:r>
    </w:p>
    <w:p w:rsidR="00000000" w:rsidDel="00000000" w:rsidP="00000000" w:rsidRDefault="00000000" w:rsidRPr="00000000" w14:paraId="00000014">
      <w:pPr>
        <w:spacing w:after="200" w:lineRule="auto"/>
        <w:jc w:val="both"/>
        <w:rPr/>
      </w:pPr>
      <w:r w:rsidDel="00000000" w:rsidR="00000000" w:rsidRPr="00000000">
        <w:rPr>
          <w:rtl w:val="0"/>
        </w:rPr>
        <w:t xml:space="preserve">The most established approach for directed differentiation relies on the sequential or combinatorial addition of recombinant proteins and small molecules to the culture medium, designed to recapitulate the signaling pathways that orchestrate embryonic development . This paradigm operates on the principle that stem cells, when exposed to the appropriate morphogens, growth factors, and small-molecule agonists or antagonists, will interpret these extracellular cues and execute intrinsic differentiation programs. Over the past two decades, this strategy has yielded increasingly sophisticated protocols for generating diverse cell types.</w:t>
      </w:r>
    </w:p>
    <w:p w:rsidR="00000000" w:rsidDel="00000000" w:rsidP="00000000" w:rsidRDefault="00000000" w:rsidRPr="00000000" w14:paraId="00000015">
      <w:pPr>
        <w:spacing w:after="200" w:lineRule="auto"/>
        <w:jc w:val="both"/>
        <w:rPr/>
      </w:pPr>
      <w:r w:rsidDel="00000000" w:rsidR="00000000" w:rsidRPr="00000000">
        <w:rPr>
          <w:rtl w:val="0"/>
        </w:rPr>
        <w:t xml:space="preserve">For neural lineage specification from embryonic stem cells (ESCs) or induced pluripotent stem cells (iPSCs), a typical protocol begins with inhibition of bone morphogenetic protein (BMP) signaling to promote neural ectoderm fate, followed by activation of transforming growth factor-beta (TGF-β)/Activin signaling. Subsequent addition of fibroblast growth factor 2 (FGF2) supports neural progenitor expansion, while sonic hedgehog (SHH) and FGF8 are employed for regional specification toward dopaminergic neurons . This stepwise approach mirrors the temporal progression of neural tube development and has enabled the generation of midbrain dopaminergic neurons for Parkinson's disease modeling and potential cell replacement therapies.</w:t>
      </w:r>
    </w:p>
    <w:p w:rsidR="00000000" w:rsidDel="00000000" w:rsidP="00000000" w:rsidRDefault="00000000" w:rsidRPr="00000000" w14:paraId="00000016">
      <w:pPr>
        <w:spacing w:after="200" w:lineRule="auto"/>
        <w:jc w:val="both"/>
        <w:rPr/>
      </w:pPr>
      <w:r w:rsidDel="00000000" w:rsidR="00000000" w:rsidRPr="00000000">
        <w:rPr>
          <w:rtl w:val="0"/>
        </w:rPr>
        <w:t xml:space="preserve">Cardiomyocyte differentiation protocols similarly exploit developmental principles, most notably through temporal modulation of the Wnt signaling pathway. The widely adopted GiWi protocol utilizes the GSK3 inhibitor CHIR99021 to activate Wnt signaling at the onset of differentiation, mimicking the pro-mesodermal signals of primitive streak formation, followed by subsequent inhibition of Wnt signaling using small molecules such as IWP2 or IWR1 to promote cardiac specification. Additional factors including BMP4 and Activin A are often incorporated to enhance cardiogenic yield . This precise temporal control has enabled the generation of spontaneously beating cardiomyocytes with efficiencies exceeding 80% in optimized systems.</w:t>
      </w:r>
    </w:p>
    <w:p w:rsidR="00000000" w:rsidDel="00000000" w:rsidP="00000000" w:rsidRDefault="00000000" w:rsidRPr="00000000" w14:paraId="00000017">
      <w:pPr>
        <w:spacing w:after="200" w:lineRule="auto"/>
        <w:jc w:val="both"/>
        <w:rPr/>
      </w:pPr>
      <w:r w:rsidDel="00000000" w:rsidR="00000000" w:rsidRPr="00000000">
        <w:rPr>
          <w:rtl w:val="0"/>
        </w:rPr>
        <w:t xml:space="preserve">For mesenchymal stem cells (MSCs), osteogenic differentiation is routinely achieved through a defined cocktail containing ascorbate, β-glycerophosphate, and dexamethasone, often supplemented with BMP2 or BMP7 to enhance osteoblast commitment. Ascorbate promotes collagen type I synthesis and matrix maturation, β-glycerophosphate provides a source of inorganic phosphate for hydroxyapatite deposition, and dexamethasone drives osteogenic gene expression through glucocorticoid receptor-mediated transcriptional regulation.</w:t>
      </w:r>
    </w:p>
    <w:p w:rsidR="00000000" w:rsidDel="00000000" w:rsidP="00000000" w:rsidRDefault="00000000" w:rsidRPr="00000000" w14:paraId="00000018">
      <w:pPr>
        <w:spacing w:after="200" w:lineRule="auto"/>
        <w:jc w:val="both"/>
        <w:rPr/>
      </w:pPr>
      <w:r w:rsidDel="00000000" w:rsidR="00000000" w:rsidRPr="00000000">
        <w:rPr>
          <w:rtl w:val="0"/>
        </w:rPr>
        <w:t xml:space="preserve">Despite their widespread adoption and continual refinement, factor-dependent protocols suffer from several inherent limitations. Differentiation is typically protracted, requiring weeks to months to achieve functional maturation. The cost of recombinant growth factors remains prohibitive for large-scale clinical applications. Moreover, substantial variability persists between cell lines and even between experimental batches, reflecting the sensitivity of stem cells to subtle differences in factor potency, timing, and concentration . Perhaps most fundamentally, these approaches treat the cell as a passive recipient of extracellular signals rather than an active interpreter, often yielding populations that remain incompletely matured compared to their in vivo counterparts.</w:t>
      </w:r>
    </w:p>
    <w:p w:rsidR="00000000" w:rsidDel="00000000" w:rsidP="00000000" w:rsidRDefault="00000000" w:rsidRPr="00000000" w14:paraId="00000019">
      <w:pPr>
        <w:pStyle w:val="Heading2"/>
        <w:spacing w:after="200" w:lineRule="auto"/>
        <w:jc w:val="both"/>
        <w:rPr/>
      </w:pPr>
      <w:bookmarkStart w:colFirst="0" w:colLast="0" w:name="_ezzdgsc7kg2" w:id="6"/>
      <w:bookmarkEnd w:id="6"/>
      <w:r w:rsidDel="00000000" w:rsidR="00000000" w:rsidRPr="00000000">
        <w:rPr>
          <w:rtl w:val="0"/>
        </w:rPr>
        <w:t xml:space="preserve">Matrix-Engineered Approaches</w:t>
      </w:r>
    </w:p>
    <w:p w:rsidR="00000000" w:rsidDel="00000000" w:rsidP="00000000" w:rsidRDefault="00000000" w:rsidRPr="00000000" w14:paraId="0000001A">
      <w:pPr>
        <w:spacing w:after="200" w:lineRule="auto"/>
        <w:jc w:val="both"/>
        <w:rPr/>
      </w:pPr>
      <w:r w:rsidDel="00000000" w:rsidR="00000000" w:rsidRPr="00000000">
        <w:rPr>
          <w:rtl w:val="0"/>
        </w:rPr>
        <w:t xml:space="preserve">Recognition that the extracellular matrix (ECM) provides not merely structural support but instructive biochemical and biophysical signals has driven the development of matrix-engineered differentiation strategies . These approaches aim to mimic the native stem cell niche by presenting cells with defined adhesive ligands, three-dimensional architecture, and mechanical properties that influence fate decisions.</w:t>
      </w:r>
    </w:p>
    <w:p w:rsidR="00000000" w:rsidDel="00000000" w:rsidP="00000000" w:rsidRDefault="00000000" w:rsidRPr="00000000" w14:paraId="0000001B">
      <w:pPr>
        <w:spacing w:after="200" w:lineRule="auto"/>
        <w:jc w:val="both"/>
        <w:rPr/>
      </w:pPr>
      <w:r w:rsidDel="00000000" w:rsidR="00000000" w:rsidRPr="00000000">
        <w:rPr>
          <w:rtl w:val="0"/>
        </w:rPr>
        <w:t xml:space="preserve">Three-dimensional culture systems, including organoids and hydrogel-embedded cultures, have emerged as powerful platforms for recapitulating tissue architecture and cell-cell interactions that are absent in conventional monolayer cultures. Matrigel, a basement membrane extract rich in laminin, collagen IV, and growth factors, remains the most widely used matrix for organoid generation, supporting the self-organization of intestinal, cerebral, and hepatic organoids that exhibit remarkable tissue-like complexity . Collagen gels and synthetic hydrogels offer alternative platforms with greater defined composition and tunable properties .</w:t>
      </w:r>
    </w:p>
    <w:p w:rsidR="00000000" w:rsidDel="00000000" w:rsidP="00000000" w:rsidRDefault="00000000" w:rsidRPr="00000000" w14:paraId="0000001C">
      <w:pPr>
        <w:spacing w:after="200" w:lineRule="auto"/>
        <w:jc w:val="both"/>
        <w:rPr/>
      </w:pPr>
      <w:r w:rsidDel="00000000" w:rsidR="00000000" w:rsidRPr="00000000">
        <w:rPr>
          <w:rtl w:val="0"/>
        </w:rPr>
        <w:t xml:space="preserve">Substrate functionalization with defined adhesive motifs provides more controlled presentation of biochemical signals. Coating culture surfaces with RGD peptides (recognized by integrin receptors), laminin, or fibronectin enables precise modulation of cell-matrix adhesion and downstream signaling. These approaches have proven particularly valuable for defined, xeno-free culture systems suitable for clinical translation.</w:t>
      </w:r>
    </w:p>
    <w:p w:rsidR="00000000" w:rsidDel="00000000" w:rsidP="00000000" w:rsidRDefault="00000000" w:rsidRPr="00000000" w14:paraId="0000001D">
      <w:pPr>
        <w:spacing w:after="200" w:lineRule="auto"/>
        <w:jc w:val="both"/>
        <w:rPr/>
      </w:pPr>
      <w:r w:rsidDel="00000000" w:rsidR="00000000" w:rsidRPr="00000000">
        <w:rPr>
          <w:rtl w:val="0"/>
        </w:rPr>
        <w:t xml:space="preserve">Topographical cues at the nano- and microscale represent an additional dimension of matrix engineering. Patterned surfaces with grooves, ridges, or pits can direct cell shape, cytoskeletal organization, and nuclear deformation, indirectly influencing gene expression and differentiation commitment . The underlying mechanism involves force-dependent modulation of signaling pathways and transcription factor activity—a process increasingly recognized as central to stem cell fate regulation .</w:t>
      </w:r>
    </w:p>
    <w:p w:rsidR="00000000" w:rsidDel="00000000" w:rsidP="00000000" w:rsidRDefault="00000000" w:rsidRPr="00000000" w14:paraId="0000001E">
      <w:pPr>
        <w:spacing w:after="200" w:lineRule="auto"/>
        <w:jc w:val="both"/>
        <w:rPr/>
      </w:pPr>
      <w:r w:rsidDel="00000000" w:rsidR="00000000" w:rsidRPr="00000000">
        <w:rPr>
          <w:rtl w:val="0"/>
        </w:rPr>
        <w:t xml:space="preserve">The connection between matrix properties and centriolar function, though indirect, is mechanistically plausible. Matrix stiffness and topography influence actomyosin cytoskeletal organization through integrin-mediated mechanotransduction . The actin cytoskeleton, in turn, links to the centrosome through linker proteins such as spectraplakins and the LINC complex (linker of nucleoskeleton and cytoskeleton). These connections transmit tensile forces that can modulate centrosome position, microtubule nucleation capacity, and potentially the asymmetric inheritance of centrioles during division . Thus, matrix-engineered approaches may influence differentiation not only through canonical signaling pathways but also through mechanical regulation of the centrosome's role as a microtubule-organizing center (MTOC) and fate-determining organelle.</w:t>
      </w:r>
    </w:p>
    <w:p w:rsidR="00000000" w:rsidDel="00000000" w:rsidP="00000000" w:rsidRDefault="00000000" w:rsidRPr="00000000" w14:paraId="0000001F">
      <w:pPr>
        <w:pStyle w:val="Heading2"/>
        <w:spacing w:after="200" w:lineRule="auto"/>
        <w:jc w:val="both"/>
        <w:rPr/>
      </w:pPr>
      <w:bookmarkStart w:colFirst="0" w:colLast="0" w:name="_7p8s9p2mo0qa" w:id="7"/>
      <w:bookmarkEnd w:id="7"/>
      <w:r w:rsidDel="00000000" w:rsidR="00000000" w:rsidRPr="00000000">
        <w:rPr>
          <w:rtl w:val="0"/>
        </w:rPr>
        <w:t xml:space="preserve">Coculture and Conditioned Media</w:t>
      </w:r>
    </w:p>
    <w:p w:rsidR="00000000" w:rsidDel="00000000" w:rsidP="00000000" w:rsidRDefault="00000000" w:rsidRPr="00000000" w14:paraId="00000020">
      <w:pPr>
        <w:spacing w:after="200" w:lineRule="auto"/>
        <w:jc w:val="both"/>
        <w:rPr/>
      </w:pPr>
      <w:r w:rsidDel="00000000" w:rsidR="00000000" w:rsidRPr="00000000">
        <w:rPr>
          <w:rtl w:val="0"/>
        </w:rPr>
        <w:t xml:space="preserve">Coculture strategies exploit the paracrine signaling networks that operate between cell types during tissue development and homeostasis. By growing stem cells together with target cell types or their precursors, researchers provide a complex milieu of soluble factors, ECM components, and potentially direct cell-cell contacts that collectively guide differentiation.</w:t>
      </w:r>
    </w:p>
    <w:p w:rsidR="00000000" w:rsidDel="00000000" w:rsidP="00000000" w:rsidRDefault="00000000" w:rsidRPr="00000000" w14:paraId="00000021">
      <w:pPr>
        <w:spacing w:after="200" w:lineRule="auto"/>
        <w:jc w:val="both"/>
        <w:rPr/>
      </w:pPr>
      <w:r w:rsidDel="00000000" w:rsidR="00000000" w:rsidRPr="00000000">
        <w:rPr>
          <w:rtl w:val="0"/>
        </w:rPr>
        <w:t xml:space="preserve">The use of conditioned media—culture supernatants harvested from supporting cell types—represents a simplified variant that isolates the paracrine component while eliminating direct heterotypic cell contact. Recent work has demonstrated that conditioned medium from human intestinal epithelial cells effectively induces differentiation of human umbilical cord mesenchymal stem cells (hUC-MSCs) into functional intestinal epithelial cells expressing characteristic markers including Villin, CK20, CK8, and CK18, with the differentiated cells exhibiting sucrase activity indicative of functional maturity . This approach offers the advantage of scalability while preserving the complex mixture of factors produced by niche cells.</w:t>
      </w:r>
    </w:p>
    <w:p w:rsidR="00000000" w:rsidDel="00000000" w:rsidP="00000000" w:rsidRDefault="00000000" w:rsidRPr="00000000" w14:paraId="00000022">
      <w:pPr>
        <w:spacing w:after="200" w:lineRule="auto"/>
        <w:jc w:val="both"/>
        <w:rPr/>
      </w:pPr>
      <w:r w:rsidDel="00000000" w:rsidR="00000000" w:rsidRPr="00000000">
        <w:rPr>
          <w:rtl w:val="0"/>
        </w:rPr>
        <w:t xml:space="preserve">For hepatic differentiation, coculture with endothelial cells has proven particularly effective, reflecting the intimate developmental relationship between hepatoblasts and the developing vasculature. Endothelial-derived factors including hepatocyte growth factor (HGF), oncostatin M, and Wnt signals contribute to hepatoblast specification and maturation. Similarly, neural differentiation has been enhanced through coculture with astrocytes or Schwann cells, which provide neurotrophic support and synaptic organizing signals.</w:t>
      </w:r>
    </w:p>
    <w:p w:rsidR="00000000" w:rsidDel="00000000" w:rsidP="00000000" w:rsidRDefault="00000000" w:rsidRPr="00000000" w14:paraId="00000023">
      <w:pPr>
        <w:spacing w:after="200" w:lineRule="auto"/>
        <w:jc w:val="both"/>
        <w:rPr/>
      </w:pPr>
      <w:r w:rsidDel="00000000" w:rsidR="00000000" w:rsidRPr="00000000">
        <w:rPr>
          <w:rtl w:val="0"/>
        </w:rPr>
        <w:t xml:space="preserve">The mechanistic basis for coculture effects lies in the reconstitution of niche-derived signals that are absent in monoculture systems. However, the complexity and undefined nature of these signals present challenges for standardization, quality control, and mechanistic dissection. The identification of specific factor combinations that recapitulate the effects of coculture remains an active area of investigation, with the ultimate goal of replacing cellular feeders with defined medium formulations.</w:t>
      </w:r>
    </w:p>
    <w:p w:rsidR="00000000" w:rsidDel="00000000" w:rsidP="00000000" w:rsidRDefault="00000000" w:rsidRPr="00000000" w14:paraId="00000024">
      <w:pPr>
        <w:pStyle w:val="Heading1"/>
        <w:spacing w:after="200" w:lineRule="auto"/>
        <w:rPr/>
      </w:pPr>
      <w:bookmarkStart w:colFirst="0" w:colLast="0" w:name="_97sqq9kc0wie" w:id="8"/>
      <w:bookmarkEnd w:id="8"/>
      <w:r w:rsidDel="00000000" w:rsidR="00000000" w:rsidRPr="00000000">
        <w:rPr>
          <w:rtl w:val="0"/>
        </w:rPr>
        <w:t xml:space="preserve">Genetic Engineering and Molecular Biology Methods</w:t>
      </w:r>
    </w:p>
    <w:p w:rsidR="00000000" w:rsidDel="00000000" w:rsidP="00000000" w:rsidRDefault="00000000" w:rsidRPr="00000000" w14:paraId="00000025">
      <w:pPr>
        <w:spacing w:after="200" w:lineRule="auto"/>
        <w:jc w:val="both"/>
        <w:rPr/>
      </w:pPr>
      <w:r w:rsidDel="00000000" w:rsidR="00000000" w:rsidRPr="00000000">
        <w:rPr>
          <w:rtl w:val="0"/>
        </w:rPr>
        <w:t xml:space="preserve">The limitations of purely exogenous factor-based approaches have motivated the development of genetic engineering strategies that directly modify the cellular machinery governing fate decisions. These methods range from transcription factor overexpression to precise genome editing, offering unprecedented control over differentiation trajectories and enabling the generation of purified, functionally mature cell populations.</w:t>
      </w:r>
    </w:p>
    <w:p w:rsidR="00000000" w:rsidDel="00000000" w:rsidP="00000000" w:rsidRDefault="00000000" w:rsidRPr="00000000" w14:paraId="00000026">
      <w:pPr>
        <w:pStyle w:val="Heading2"/>
        <w:spacing w:after="200" w:lineRule="auto"/>
        <w:jc w:val="both"/>
        <w:rPr/>
      </w:pPr>
      <w:bookmarkStart w:colFirst="0" w:colLast="0" w:name="_shj9oi1vnhlh" w:id="9"/>
      <w:bookmarkEnd w:id="9"/>
      <w:r w:rsidDel="00000000" w:rsidR="00000000" w:rsidRPr="00000000">
        <w:rPr>
          <w:rtl w:val="0"/>
        </w:rPr>
        <w:t xml:space="preserve">Overexpression of Key Transcription Factors</w:t>
      </w:r>
    </w:p>
    <w:p w:rsidR="00000000" w:rsidDel="00000000" w:rsidP="00000000" w:rsidRDefault="00000000" w:rsidRPr="00000000" w14:paraId="00000027">
      <w:pPr>
        <w:spacing w:after="200" w:lineRule="auto"/>
        <w:jc w:val="both"/>
        <w:rPr/>
      </w:pPr>
      <w:r w:rsidDel="00000000" w:rsidR="00000000" w:rsidRPr="00000000">
        <w:rPr>
          <w:rtl w:val="0"/>
        </w:rPr>
        <w:t xml:space="preserve">The demonstration by Takahashi and Yamanaka in 2006 that forced expression of just four transcription factors—Oct4, Sox2, Klf4, and c-Myc—could reprogram somatic fibroblasts into induced pluripotent stem cells (iPSCs) fundamentally transformed the landscape of stem cell biology (Takahashi &amp; Yamanaka, 2006). This landmark discovery established that terminally differentiated cells retain plasticity that can be unlocked by appropriate transcriptional stimuli, challenging long-held assumptions about cell fate fixation (Masip et al., 2010). The conceptual framework underlying reprogramming has since been extended to direct transdifferentiation—the conversion of one somatic cell type into another without passing through a pluripotent intermediate. Ieda and colleagues demonstrated that expression of cardiac transcription factors including Gata4, Mef2c, and Tbx5 could directly convert fibroblasts into beating cardiomyocytes (Ieda et al., 2010), while Vierbuchen et al. (2010) showed that the combination of Brn2, Ascl1, Myt1l, and NeuroD1 efficiently generates functional neurons from fibroblasts. These studies collectively demonstrate that a minimal set of lineage-specific transcription factors can orchestrate the complex gene regulatory networks underlying cell identity (Ieda, 2013; Pereira et al., 2016).</w:t>
      </w:r>
    </w:p>
    <w:p w:rsidR="00000000" w:rsidDel="00000000" w:rsidP="00000000" w:rsidRDefault="00000000" w:rsidRPr="00000000" w14:paraId="00000028">
      <w:pPr>
        <w:spacing w:after="200" w:lineRule="auto"/>
        <w:jc w:val="both"/>
        <w:rPr/>
      </w:pPr>
      <w:r w:rsidDel="00000000" w:rsidR="00000000" w:rsidRPr="00000000">
        <w:rPr>
          <w:rtl w:val="0"/>
        </w:rPr>
        <w:t xml:space="preserve">The delivery of transcription factors into target cells has been accomplished using multiple vector systems, each with distinct advantages and limitations. Integrating viral vectors such as lentiviruses and retroviruses achieve stable, high-efficiency transduction and remain the workhorses of reprogramming research due to their robust expression. However, their propensity for random genomic integration raises concerns about insertional mutagenesis and unpredictable long-term expression patterns (Masip et al., 2010). Non-integrating vectors, including adenoviruses and adeno-associated viruses (AAVs), eliminate the risk of insertional mutagenesis but typically yield transient expression that may be insufficient for complete reprogramming. Synthetic mRNA transfection has emerged as an attractive alternative, enabling high-efficiency, integration-free factor delivery with precisely controlled dosing (Warren et al., 2010). Transposon-based systems such as piggyBac offer another non-viral approach, allowing efficient integration followed by subsequent excision to leave a genetically unmodified cell (Woltjen et al., 2009).</w:t>
      </w:r>
    </w:p>
    <w:p w:rsidR="00000000" w:rsidDel="00000000" w:rsidP="00000000" w:rsidRDefault="00000000" w:rsidRPr="00000000" w14:paraId="00000029">
      <w:pPr>
        <w:spacing w:after="200" w:lineRule="auto"/>
        <w:jc w:val="both"/>
        <w:rPr/>
      </w:pPr>
      <w:r w:rsidDel="00000000" w:rsidR="00000000" w:rsidRPr="00000000">
        <w:rPr>
          <w:rtl w:val="0"/>
        </w:rPr>
        <w:t xml:space="preserve">Despite these advances, significant challenges persist. The efficiency of direct reprogramming remains low for many lineages, and the resulting cells often exhibit incomplete maturation or fetal-like phenotypes rather than fully adult characteristics (Pereira et al., 2016). The stochastic nature of transgene integration and expression can generate heterogeneous populations requiring extensive purification. Moreover, sustained expression of potent transcription factors may have unintended consequences, including off-target lineage priming or, in the case of pluripotency factors, teratoma risk. These limitations have motivated the development of more sophisticated genetic control systems.</w:t>
      </w:r>
    </w:p>
    <w:p w:rsidR="00000000" w:rsidDel="00000000" w:rsidP="00000000" w:rsidRDefault="00000000" w:rsidRPr="00000000" w14:paraId="0000002A">
      <w:pPr>
        <w:pStyle w:val="Heading2"/>
        <w:spacing w:after="200" w:lineRule="auto"/>
        <w:jc w:val="both"/>
        <w:rPr/>
      </w:pPr>
      <w:bookmarkStart w:colFirst="0" w:colLast="0" w:name="_lofkb2ascc1j" w:id="10"/>
      <w:bookmarkEnd w:id="10"/>
      <w:r w:rsidDel="00000000" w:rsidR="00000000" w:rsidRPr="00000000">
        <w:rPr>
          <w:rtl w:val="0"/>
        </w:rPr>
        <w:t xml:space="preserve">Genome Editing for Reporter Generation and Switches</w:t>
      </w:r>
    </w:p>
    <w:p w:rsidR="00000000" w:rsidDel="00000000" w:rsidP="00000000" w:rsidRDefault="00000000" w:rsidRPr="00000000" w14:paraId="0000002B">
      <w:pPr>
        <w:spacing w:after="200" w:lineRule="auto"/>
        <w:jc w:val="both"/>
        <w:rPr/>
      </w:pPr>
      <w:r w:rsidDel="00000000" w:rsidR="00000000" w:rsidRPr="00000000">
        <w:rPr>
          <w:rtl w:val="0"/>
        </w:rPr>
        <w:t xml:space="preserve">The advent of CRISPR/Cas9 genome editing technology has revolutionized the generation of genetically modified stem cell lines for differentiation studies. This RNA-guided system, derived from bacterial adaptive immune mechanisms, enables precise modification of target genomic loci through the action of the Cas9 nuclease directed by a programmable single guide RNA (sgRNA) (Jinek et al., 2012; Cetin et al., 2025). The CRISPR/Cas9 system induces double-strand breaks that are repaired either through error-prone non-homologous end joining (NHEJ), typically resulting in gene disruption, or through homology-directed repair (HDR) in the presence of a donor template, enabling precise sequence insertion or correction (Cetin et al., 2025). The latter approach has proven particularly valuable for generating reporter cell lines that enable real-time tracking of differentiation.</w:t>
      </w:r>
    </w:p>
    <w:p w:rsidR="00000000" w:rsidDel="00000000" w:rsidP="00000000" w:rsidRDefault="00000000" w:rsidRPr="00000000" w14:paraId="0000002C">
      <w:pPr>
        <w:spacing w:after="200" w:lineRule="auto"/>
        <w:jc w:val="both"/>
        <w:rPr/>
      </w:pPr>
      <w:r w:rsidDel="00000000" w:rsidR="00000000" w:rsidRPr="00000000">
        <w:rPr>
          <w:rtl w:val="0"/>
        </w:rPr>
        <w:t xml:space="preserve">A representative application involves knocking DNA sequences encoding fluorescent proteins into the locus of a maturation-specific gene, creating an endogenous reporter that faithfully recapitulates endogenous gene expression patterns. Hayashi and Nakade (2024) described a refined method using a "double-tk donor vector system" in which thymidine kinase suicide cassettes flank the homology arms, enabling negative selection against random integrants and significantly enriching for correctly targeted human pluripotent stem cell clones. This approach has been successfully applied to generate a PLIN2-GFP reporter human iPSC line for studying lipid droplet dynamics in non-alcoholic fatty liver disease, enabling live monitoring of metabolic interactions and high-throughput compound screening (PLIN2-GFP2-P2A-Puro line, 2025). Such reporter lines facilitate fluorescence-activated cell sorting (FACS) of purified differentiated populations, addressing the persistent problem of heterogeneity. For cardiomyocyte differentiation, knock-in of fluorescent reporters into the TNNT2 locus enables isolation of highly purified contracting cardiomyocytes for transplantation or drug screening applications.</w:t>
      </w:r>
    </w:p>
    <w:p w:rsidR="00000000" w:rsidDel="00000000" w:rsidP="00000000" w:rsidRDefault="00000000" w:rsidRPr="00000000" w14:paraId="0000002D">
      <w:pPr>
        <w:spacing w:after="200" w:lineRule="auto"/>
        <w:jc w:val="both"/>
        <w:rPr/>
      </w:pPr>
      <w:r w:rsidDel="00000000" w:rsidR="00000000" w:rsidRPr="00000000">
        <w:rPr>
          <w:rtl w:val="0"/>
        </w:rPr>
        <w:t xml:space="preserve">Beyond reporter generation, CRISPR technology has enabled the creation of inducible genetic systems that provide temporal control over differentiation factor expression. The tetracycline (Tet)-regulated system, available in Tet-ON (activation upon doxycycline addition) and Tet-OFF (repression upon doxycycline addition) configurations, has been widely adopted for conditional transgene control. Taguchi et al. (2024) recently conducted a comprehensive evaluation of these systems in adult tissues, revealing that while the Tet-ON system shows efficacy primarily in epithelial cells, the Tet-OFF system enables gene induction across diverse cell types. They further demonstrated that tetracycline administration effectively addresses limitations in inducibility and tunability, offering a more versatile platform for in vivo applications such as tissue regeneration. These inducible systems are particularly valuable for directing differentiation, as they allow precise temporal control over transcription factor expression—activating fate-determining factors during critical developmental windows and subsequently silencing them to enable proper maturation.</w:t>
      </w:r>
    </w:p>
    <w:p w:rsidR="00000000" w:rsidDel="00000000" w:rsidP="00000000" w:rsidRDefault="00000000" w:rsidRPr="00000000" w14:paraId="0000002E">
      <w:pPr>
        <w:spacing w:after="200" w:lineRule="auto"/>
        <w:jc w:val="both"/>
        <w:rPr/>
      </w:pPr>
      <w:r w:rsidDel="00000000" w:rsidR="00000000" w:rsidRPr="00000000">
        <w:rPr>
          <w:rtl w:val="0"/>
        </w:rPr>
        <w:t xml:space="preserve">Emerging CRISPR technologies are expanding the toolkit for stem cell engineering. Catalytically deactivated Cas9 (dCas9) fused to transcriptional repressors or activators enables CRISPR interference (CRISPRi) and CRISPR activation (CRISPRa), respectively, allowing modulation of endogenous gene expression without introducing double-strand breaks (Razavi et al., 2024). These approaches offer the potential to direct differentiation by transiently modulating endogenous loci, avoiding the risks associated with transgene integration. Base editing and prime editing technologies further expand precision by enabling single-nucleotide substitutions without double-strand breaks, holding promise for correcting disease-causing mutations in patient-derived iPSCs prior to differentiation (Cetin et al., 2025).</w:t>
      </w:r>
    </w:p>
    <w:p w:rsidR="00000000" w:rsidDel="00000000" w:rsidP="00000000" w:rsidRDefault="00000000" w:rsidRPr="00000000" w14:paraId="0000002F">
      <w:pPr>
        <w:spacing w:after="200" w:lineRule="auto"/>
        <w:jc w:val="both"/>
        <w:rPr/>
      </w:pPr>
      <w:r w:rsidDel="00000000" w:rsidR="00000000" w:rsidRPr="00000000">
        <w:rPr>
          <w:rtl w:val="0"/>
        </w:rPr>
        <w:t xml:space="preserve">The convergence of transcription factor reprogramming and precise genome editing is creating new possibilities for directed differentiation. Reporter lines enable iterative optimization of differentiation protocols through quantitative readouts. Inducible systems provide the temporal control necessary to mimic developmental timing. Gene correction in patient-derived cells offers the prospect of autologous cell therapies for genetic disorders. As these technologies continue to mature, they promise to address the persistent challenges of efficiency, purity, and functional maturity that have limited the clinical translation of stem cell-derived products.</w:t>
      </w:r>
    </w:p>
    <w:p w:rsidR="00000000" w:rsidDel="00000000" w:rsidP="00000000" w:rsidRDefault="00000000" w:rsidRPr="00000000" w14:paraId="00000030">
      <w:pPr>
        <w:pStyle w:val="Heading1"/>
        <w:spacing w:after="200" w:lineRule="auto"/>
        <w:rPr/>
      </w:pPr>
      <w:bookmarkStart w:colFirst="0" w:colLast="0" w:name="_sm7qrf3lokly" w:id="11"/>
      <w:bookmarkEnd w:id="11"/>
      <w:r w:rsidDel="00000000" w:rsidR="00000000" w:rsidRPr="00000000">
        <w:rPr>
          <w:rtl w:val="0"/>
        </w:rPr>
        <w:t xml:space="preserve">Physical and Electromagnetic Methods</w:t>
      </w:r>
    </w:p>
    <w:p w:rsidR="00000000" w:rsidDel="00000000" w:rsidP="00000000" w:rsidRDefault="00000000" w:rsidRPr="00000000" w14:paraId="00000031">
      <w:pPr>
        <w:spacing w:after="200" w:lineRule="auto"/>
        <w:jc w:val="both"/>
        <w:rPr/>
      </w:pPr>
      <w:r w:rsidDel="00000000" w:rsidR="00000000" w:rsidRPr="00000000">
        <w:rPr>
          <w:rtl w:val="0"/>
        </w:rPr>
        <w:t xml:space="preserve">While biochemical and genetic approaches have dominated the directed differentiation landscape, a growing body of evidence establishes that physical forces—mechanical, hydrodynamic, and electrical—are equally potent regulators of stem cell fate. These stimuli, which recapitulate the dynamic mechanical environment of native tissues, are transduced into intracellular signals through mechanosensitive and electrosensitive pathways that converge on the cytoskeleton and, increasingly, on the centrosome as a central hub for coordinating cellular responses to physical cues.</w:t>
      </w:r>
    </w:p>
    <w:p w:rsidR="00000000" w:rsidDel="00000000" w:rsidP="00000000" w:rsidRDefault="00000000" w:rsidRPr="00000000" w14:paraId="00000032">
      <w:pPr>
        <w:pStyle w:val="Heading2"/>
        <w:spacing w:after="200" w:lineRule="auto"/>
        <w:jc w:val="both"/>
        <w:rPr/>
      </w:pPr>
      <w:bookmarkStart w:colFirst="0" w:colLast="0" w:name="_izdhmi70bgyv" w:id="12"/>
      <w:bookmarkEnd w:id="12"/>
      <w:r w:rsidDel="00000000" w:rsidR="00000000" w:rsidRPr="00000000">
        <w:rPr>
          <w:rtl w:val="0"/>
        </w:rPr>
        <w:t xml:space="preserve">Bioreactors with Pulsatile Flow and Mechanical Stretch</w:t>
      </w:r>
    </w:p>
    <w:p w:rsidR="00000000" w:rsidDel="00000000" w:rsidP="00000000" w:rsidRDefault="00000000" w:rsidRPr="00000000" w14:paraId="00000033">
      <w:pPr>
        <w:spacing w:after="200" w:lineRule="auto"/>
        <w:jc w:val="both"/>
        <w:rPr/>
      </w:pPr>
      <w:r w:rsidDel="00000000" w:rsidR="00000000" w:rsidRPr="00000000">
        <w:rPr>
          <w:rtl w:val="0"/>
        </w:rPr>
        <w:t xml:space="preserve">The cardiovascular and musculoskeletal systems are defined by their mechanical activity: endothelial cells experience shear stress from flowing blood, cardiomyocytes undergo cyclic strain with each contraction, and osteocytes respond to compression and fluid flow within bone lacunae. Recapitulating these mechanical signals ex vivo has emerged as a powerful strategy for directing stem cell differentiation toward these lineages .</w:t>
      </w:r>
    </w:p>
    <w:p w:rsidR="00000000" w:rsidDel="00000000" w:rsidP="00000000" w:rsidRDefault="00000000" w:rsidRPr="00000000" w14:paraId="00000034">
      <w:pPr>
        <w:spacing w:after="200" w:lineRule="auto"/>
        <w:jc w:val="both"/>
        <w:rPr/>
      </w:pPr>
      <w:r w:rsidDel="00000000" w:rsidR="00000000" w:rsidRPr="00000000">
        <w:rPr>
          <w:rtl w:val="0"/>
        </w:rPr>
        <w:t xml:space="preserve">Bioreactor systems designed to deliver controlled mechanical stimulation have evolved from simple spinner flasks to sophisticated perfusion and dynamic loading platforms. Perfusion bioreactors, which propagate culture medium through three-dimensional scaffolds, expose cells to fluid shear stress that mimics the interstitial flow encountered in native tissues . This hydrodynamic stimulus has been shown to enhance osteogenic and chondrogenic differentiation of mesenchymal stem cells (MSCs) even in the absence of osteogenic induction media, suggesting that mechanical forces alone can activate lineage-specific transcriptional programs . Quantitative analyses reveal that shear stress magnitudes as low as 0.005–0.02 dyn/cm², when applied at physiologically relevant frequencies, can influence stem cell behavior through activation of mechanotransductive signaling cascades .</w:t>
      </w:r>
    </w:p>
    <w:p w:rsidR="00000000" w:rsidDel="00000000" w:rsidP="00000000" w:rsidRDefault="00000000" w:rsidRPr="00000000" w14:paraId="00000035">
      <w:pPr>
        <w:spacing w:after="200" w:lineRule="auto"/>
        <w:jc w:val="both"/>
        <w:rPr/>
      </w:pPr>
      <w:r w:rsidDel="00000000" w:rsidR="00000000" w:rsidRPr="00000000">
        <w:rPr>
          <w:rtl w:val="0"/>
        </w:rPr>
        <w:t xml:space="preserve">Cyclic stretch, delivered through flexible membrane bioreactors or mechanical loading devices, has proven particularly effective for driving MSC differentiation toward smooth muscle cells (SMCs) and cardiomyocytes. Studies by Maul and colleagues demonstrated that cyclic stretch applied to subconfluent MSCs induced an elongated, spindle-shaped morphology characteristic of SMCs and upregulated expression of SMC proteins including α-actin, calponin, and myosin heavy chain . These effects were magnitude- and frequency-dependent, with specific thresholds required to potentiate lineage commitment . Importantly, the response to mechanical stimulation exhibited context dependence: while subconfluent MSCs responded to cyclic stretch with SMC protein expression, confluent cultures exposed to cyclic pressure or shear stress showed increased endothelial gene expression, indicating that cell-cell contact modulates mechanotransductive outcomes .</w:t>
      </w:r>
    </w:p>
    <w:p w:rsidR="00000000" w:rsidDel="00000000" w:rsidP="00000000" w:rsidRDefault="00000000" w:rsidRPr="00000000" w14:paraId="00000036">
      <w:pPr>
        <w:spacing w:after="200" w:lineRule="auto"/>
        <w:jc w:val="both"/>
        <w:rPr/>
      </w:pPr>
      <w:r w:rsidDel="00000000" w:rsidR="00000000" w:rsidRPr="00000000">
        <w:rPr>
          <w:rtl w:val="0"/>
        </w:rPr>
        <w:t xml:space="preserve">The mechanistic basis for mechanically induced differentiation lies in the conversion of physical forces into biochemical signals—a process termed mechanotransduction. Cells perceive mechanical stimuli primarily through integrin-mediated adhesions to the extracellular matrix, which link to the actin cytoskeleton and transmit forces to intracellular structures . This force transmission activates multiple signaling pathways, including mitogen-activated protein kinase (MAPK), Rho GTPases, and the transcriptional co-activators YAP/TAZ, which translocate to the nucleus to regulate gene expression . Recent work has also implicated the primary cilium—a microtubule-based organelle extending from the mother centriole—as a critical mechanosensor, particularly for fluid shear stress in osteoblasts and chondrocytes .</w:t>
      </w:r>
    </w:p>
    <w:p w:rsidR="00000000" w:rsidDel="00000000" w:rsidP="00000000" w:rsidRDefault="00000000" w:rsidRPr="00000000" w14:paraId="00000037">
      <w:pPr>
        <w:spacing w:after="200" w:lineRule="auto"/>
        <w:jc w:val="both"/>
        <w:rPr/>
      </w:pPr>
      <w:r w:rsidDel="00000000" w:rsidR="00000000" w:rsidRPr="00000000">
        <w:rPr>
          <w:rtl w:val="0"/>
        </w:rPr>
        <w:t xml:space="preserve">The connection between mechanical forces and the centrosome itself has recently been illuminated by groundbreaking studies. Schmitt and colleagues discovered that centrosomes experience significant mechanical deformation when cells migrate through narrow tissue spaces or extend multiple protrusions during pathfinding . The actin cytoskeleton transmits mechanical forces directly to the centrosome, which can fracture under sufficient stress, generating multiple competing microtubule-organizing centers that disrupt directional migration . Two centrosomal proteins—the kinase Dyrk3 and cNAP1 (centrosomal Nek2-associated protein 1)—protect against such fracturing; when these proteins are absent, centrosomes become unstable and rapidly disintegrate under mechanical load . These findings establish that the centrosome is not merely a passive microtubule anchor but an active participant in cellular mechanics, whose integrity must be actively maintained to preserve function.</w:t>
      </w:r>
    </w:p>
    <w:p w:rsidR="00000000" w:rsidDel="00000000" w:rsidP="00000000" w:rsidRDefault="00000000" w:rsidRPr="00000000" w14:paraId="00000038">
      <w:pPr>
        <w:spacing w:after="200" w:lineRule="auto"/>
        <w:jc w:val="both"/>
        <w:rPr/>
      </w:pPr>
      <w:r w:rsidDel="00000000" w:rsidR="00000000" w:rsidRPr="00000000">
        <w:rPr>
          <w:rtl w:val="0"/>
        </w:rPr>
        <w:t xml:space="preserve">This mechanoprotective mechanism has profound implications for directed differentiation. Mechanical stimuli applied in bioreactors—shear stress, cyclic stretch, compression—must be transmitted through the actin cytoskeleton to the centrosome, potentially influencing its role as a microtubule-organizing center and, by extension, its function in asymmetric division and fate determination. The observation that cells actively protect their centrosomes from force-induced damage implies that mechanical stimulation protocols must be carefully calibrated to avoid exceeding thresholds that compromise centrosome integrity while still providing sufficient input to drive differentiation.</w:t>
      </w:r>
    </w:p>
    <w:p w:rsidR="00000000" w:rsidDel="00000000" w:rsidP="00000000" w:rsidRDefault="00000000" w:rsidRPr="00000000" w14:paraId="00000039">
      <w:pPr>
        <w:pStyle w:val="Heading2"/>
        <w:spacing w:after="200" w:lineRule="auto"/>
        <w:jc w:val="both"/>
        <w:rPr/>
      </w:pPr>
      <w:bookmarkStart w:colFirst="0" w:colLast="0" w:name="_njv4vgno3vuo" w:id="13"/>
      <w:bookmarkEnd w:id="13"/>
      <w:r w:rsidDel="00000000" w:rsidR="00000000" w:rsidRPr="00000000">
        <w:rPr>
          <w:rtl w:val="0"/>
        </w:rPr>
        <w:t xml:space="preserve">Electrical Stimulation</w:t>
      </w:r>
    </w:p>
    <w:p w:rsidR="00000000" w:rsidDel="00000000" w:rsidP="00000000" w:rsidRDefault="00000000" w:rsidRPr="00000000" w14:paraId="0000003A">
      <w:pPr>
        <w:spacing w:after="200" w:lineRule="auto"/>
        <w:jc w:val="both"/>
        <w:rPr/>
      </w:pPr>
      <w:r w:rsidDel="00000000" w:rsidR="00000000" w:rsidRPr="00000000">
        <w:rPr>
          <w:rtl w:val="0"/>
        </w:rPr>
        <w:t xml:space="preserve">Excitable cell types—neurons and cardiomyocytes—have evolved to respond to electrical signals as part of their native physiological function. Electrical stimulation (ES) has therefore been extensively investigated as a tool for directing stem cell differentiation toward these lineages, with the rationale that replicating the electrical environment of developing or mature excitable tissues may enhance specification and maturation .</w:t>
      </w:r>
    </w:p>
    <w:p w:rsidR="00000000" w:rsidDel="00000000" w:rsidP="00000000" w:rsidRDefault="00000000" w:rsidRPr="00000000" w14:paraId="0000003B">
      <w:pPr>
        <w:spacing w:after="200" w:lineRule="auto"/>
        <w:jc w:val="both"/>
        <w:rPr/>
      </w:pPr>
      <w:r w:rsidDel="00000000" w:rsidR="00000000" w:rsidRPr="00000000">
        <w:rPr>
          <w:rtl w:val="0"/>
        </w:rPr>
        <w:t xml:space="preserve">The parameters of electrical stimulation—field strength, pulse duration, frequency, and waveform—critically influence outcomes. For cardiomyogenic differentiation of human induced pluripotent stem cells (iPSCs), biphasic current pulses of 65–200 mV/mm applied at 1 Hz with 1 ms pulse width increased expression of cardiac transcription factors NKX2.5 and TBX5, as well as structural proteins including TNNT2, MYH7, and MYL7 . Human embryonic stem cells exposed to 6.6 V/cm pulses at 1 Hz similarly showed upregulation of cardiac ion channel genes (HCN1, SCN5A) and calcium handling proteins (SERCA), accompanied by cellular elongation and enrichment of ventricular-like cardiomyocyte phenotypes .</w:t>
      </w:r>
    </w:p>
    <w:p w:rsidR="00000000" w:rsidDel="00000000" w:rsidP="00000000" w:rsidRDefault="00000000" w:rsidRPr="00000000" w14:paraId="0000003C">
      <w:pPr>
        <w:spacing w:after="200" w:lineRule="auto"/>
        <w:jc w:val="both"/>
        <w:rPr/>
      </w:pPr>
      <w:r w:rsidDel="00000000" w:rsidR="00000000" w:rsidRPr="00000000">
        <w:rPr>
          <w:rtl w:val="0"/>
        </w:rPr>
        <w:t xml:space="preserve">Neural differentiation has also been enhanced through electrical stimulation. Mouse bone marrow stromal cells exposed to rectangular pulses (100 mV, 10 Hz, 2.0 ms) upregulated neurogenin2 (Ngn2) expression and differentiated toward neural lineages . For neural stem cells (NSCs), biphasic current pulses of 100 μA at 100 Hz promoted proliferation and increased expression of neuronal genes and microtubule-associated protein 2 . These effects likely reflect the role of electrical activity in regulating neurogenesis during development, where spontaneous calcium transients and nascent action potentials influence progenitor proliferation and differentiation.</w:t>
      </w:r>
    </w:p>
    <w:p w:rsidR="00000000" w:rsidDel="00000000" w:rsidP="00000000" w:rsidRDefault="00000000" w:rsidRPr="00000000" w14:paraId="0000003D">
      <w:pPr>
        <w:spacing w:after="200" w:lineRule="auto"/>
        <w:jc w:val="both"/>
        <w:rPr/>
      </w:pPr>
      <w:r w:rsidDel="00000000" w:rsidR="00000000" w:rsidRPr="00000000">
        <w:rPr>
          <w:rtl w:val="0"/>
        </w:rPr>
        <w:t xml:space="preserve">The mechanisms by which electrical stimulation influences stem cell fate remain incompletely understood but likely involve multiple convergent pathways. Electrical fields can depolarize membrane potential, activating voltage-gated calcium channels and triggering calcium influx that engages calcium-dependent signaling cascades including calmodulin and calcineurin. The resulting changes in intracellular calcium can influence gene expression through transcription factors such as NFAT (nuclear factor of activated T-cells) and CREB (cAMP response element-binding protein). Additionally, electrical stimulation may influence cytoskeletal dynamics and cell polarity through electrophoretic effects on charged molecules and redistribution of membrane receptors.</w:t>
      </w:r>
    </w:p>
    <w:p w:rsidR="00000000" w:rsidDel="00000000" w:rsidP="00000000" w:rsidRDefault="00000000" w:rsidRPr="00000000" w14:paraId="0000003E">
      <w:pPr>
        <w:spacing w:after="200" w:lineRule="auto"/>
        <w:jc w:val="both"/>
        <w:rPr/>
      </w:pPr>
      <w:r w:rsidDel="00000000" w:rsidR="00000000" w:rsidRPr="00000000">
        <w:rPr>
          <w:rtl w:val="0"/>
        </w:rPr>
        <w:t xml:space="preserve">The potential connection between electrical stimulation and centrosomal function represents an intriguing but largely unexplored frontier. The centrosome serves as a platform for anchoring signaling complexes, including those involved in cell cycle regulation and polarity determination. Electrical stimuli that influence cell polarization might therefore affect the localization and activity of centrosome-associated signaling molecules. Moreover, the microtubule network organized by the centrosome is intrinsically polarized, with minus ends anchored at the centrosome and plus ends extending toward the cell periphery. Electrical fields could theoretically influence microtubule dynamics or the distribution of microtubule-associated proteins, with downstream effects on cell polarity and asymmetric division. However, direct evidence for electrical modulation of centrosome function in stem cells remains sparse and represents an important direction for future investigation.</w:t>
      </w:r>
    </w:p>
    <w:p w:rsidR="00000000" w:rsidDel="00000000" w:rsidP="00000000" w:rsidRDefault="00000000" w:rsidRPr="00000000" w14:paraId="0000003F">
      <w:pPr>
        <w:spacing w:after="200" w:lineRule="auto"/>
        <w:jc w:val="both"/>
        <w:rPr/>
      </w:pPr>
      <w:r w:rsidDel="00000000" w:rsidR="00000000" w:rsidRPr="00000000">
        <w:rPr>
          <w:rtl w:val="0"/>
        </w:rPr>
        <w:t xml:space="preserve">The integration of electrical stimulation with other physical and biochemical cues offers particular promise. Bioreactor systems that combine perfusion, mechanical loading, and electrical stimulation in a single platform have been developed for cardiac tissue engineering, enabling more complete recapitulation of the native myocardial environment . Such multimodal approaches may prove essential for achieving the full functional maturation required for therapeutic applications, particularly given the complex, multifactorial nature of native tissue development.</w:t>
      </w:r>
    </w:p>
    <w:p w:rsidR="00000000" w:rsidDel="00000000" w:rsidP="00000000" w:rsidRDefault="00000000" w:rsidRPr="00000000" w14:paraId="00000040">
      <w:pPr>
        <w:pStyle w:val="Heading1"/>
        <w:spacing w:after="200" w:lineRule="auto"/>
        <w:rPr/>
      </w:pPr>
      <w:bookmarkStart w:colFirst="0" w:colLast="0" w:name="_91s8ajx8kj3k" w:id="14"/>
      <w:bookmarkEnd w:id="14"/>
      <w:r w:rsidDel="00000000" w:rsidR="00000000" w:rsidRPr="00000000">
        <w:rPr>
          <w:rtl w:val="0"/>
        </w:rPr>
        <w:t xml:space="preserve">Advanced Methods: Targeted Manipulation of Centrioles and Cell Fate Determination Systems (CAFDs)</w:t>
      </w:r>
    </w:p>
    <w:p w:rsidR="00000000" w:rsidDel="00000000" w:rsidP="00000000" w:rsidRDefault="00000000" w:rsidRPr="00000000" w14:paraId="00000041">
      <w:pPr>
        <w:spacing w:after="200" w:lineRule="auto"/>
        <w:jc w:val="both"/>
        <w:rPr/>
      </w:pPr>
      <w:r w:rsidDel="00000000" w:rsidR="00000000" w:rsidRPr="00000000">
        <w:rPr>
          <w:rtl w:val="0"/>
        </w:rPr>
        <w:t xml:space="preserve">The convergence of centrosome biology with stem cell engineering has opened new frontiers for directed differentiation. Rather than relying on extracellular cues alone, emerging strategies seek to directly manipulate the intracellular machinery that executes fate decisions. This section surveys experimental and conceptual approaches targeting the centriolar apparatus and associated cell fate determination systems (CAFDs), ranging from pharmacological modulation to optogenetic control and nanomaterial-based delivery.</w:t>
      </w:r>
    </w:p>
    <w:p w:rsidR="00000000" w:rsidDel="00000000" w:rsidP="00000000" w:rsidRDefault="00000000" w:rsidRPr="00000000" w14:paraId="00000042">
      <w:pPr>
        <w:pStyle w:val="Heading2"/>
        <w:spacing w:after="200" w:lineRule="auto"/>
        <w:jc w:val="both"/>
        <w:rPr/>
      </w:pPr>
      <w:bookmarkStart w:colFirst="0" w:colLast="0" w:name="_4jmct29lb1ax" w:id="15"/>
      <w:bookmarkEnd w:id="15"/>
      <w:r w:rsidDel="00000000" w:rsidR="00000000" w:rsidRPr="00000000">
        <w:rPr>
          <w:rtl w:val="0"/>
        </w:rPr>
        <w:t xml:space="preserve">Pharmacological Modulation of the Centriolar Cycle and CAFDs</w:t>
      </w:r>
    </w:p>
    <w:p w:rsidR="00000000" w:rsidDel="00000000" w:rsidP="00000000" w:rsidRDefault="00000000" w:rsidRPr="00000000" w14:paraId="00000043">
      <w:pPr>
        <w:spacing w:after="200" w:lineRule="auto"/>
        <w:jc w:val="both"/>
        <w:rPr/>
      </w:pPr>
      <w:r w:rsidDel="00000000" w:rsidR="00000000" w:rsidRPr="00000000">
        <w:rPr>
          <w:rtl w:val="0"/>
        </w:rPr>
        <w:t xml:space="preserve">The centriole duplication cycle is governed by a tightly regulated kinase cascade, with Polo-like kinase 4 (PLK4) serving as the master regulator. Pharmacological inhibition of PLK4 offers a means to synchronize cellular states and "prime" centrioles to receive differentiation signals. Centrinone, a highly selective PLK4 inhibitor (Ki = 0.16 nM with &gt;1000-fold selectivity over Aurora kinases), depletes centrioles and centrosomes in vitro and induces cell cycle arrest in normal human cells through p53-dependent mechanisms . Notably, Centrinone treatment decreases expression of pluripotency markers and induces differentiation in pluripotent stem cells, suggesting that centriole depletion may create a cellular state permissive for lineage commitment . The hypothesis underlying this approach is that brief, mild PLK4 inhibition reduces proliferative drive and primes cells to respond more efficiently to subsequent differentiation cues. Potential applications include enhancing the efficiency of neuronal or cardiomyocyte induction from pluripotent stem cells by pretreating with low-dose Centrinone before adding lineage-specific morphogens.</w:t>
      </w:r>
    </w:p>
    <w:p w:rsidR="00000000" w:rsidDel="00000000" w:rsidP="00000000" w:rsidRDefault="00000000" w:rsidRPr="00000000" w14:paraId="00000044">
      <w:pPr>
        <w:spacing w:after="200" w:lineRule="auto"/>
        <w:jc w:val="both"/>
        <w:rPr/>
      </w:pPr>
      <w:r w:rsidDel="00000000" w:rsidR="00000000" w:rsidRPr="00000000">
        <w:rPr>
          <w:rtl w:val="0"/>
        </w:rPr>
        <w:t xml:space="preserve">Modulation of NIMA-related kinase 2 (NEK2) represents another pharmacological entry point. NEK2 regulates centrosome separation through phosphorylation of centrosomal proteins including CROCC, CEP250, and NINL, promoting their displacement from centrosomes during mitotic entry . Irreversible inhibitors of NEK2 have been developed through structure-based design, with compound JH295 demonstrating potent and selective NEK2 inhibition without affecting mitotic kinases Cdk1, Aurora B, or Plk1 . The hypothesis for differentiation applications proposes that NEK2 inhibition early in differentiation could delay centriole separation, potentially favoring asymmetric divisions necessary for generating diverse cell types in organoid systems. By modulating the timing of centrosome disjunction, it may be possible to influence the inheritance patterns of mother versus daughter centrioles and the asymmetric distribution of fate determinants.</w:t>
      </w:r>
    </w:p>
    <w:p w:rsidR="00000000" w:rsidDel="00000000" w:rsidP="00000000" w:rsidRDefault="00000000" w:rsidRPr="00000000" w14:paraId="00000045">
      <w:pPr>
        <w:spacing w:after="200" w:lineRule="auto"/>
        <w:jc w:val="both"/>
        <w:rPr/>
      </w:pPr>
      <w:r w:rsidDel="00000000" w:rsidR="00000000" w:rsidRPr="00000000">
        <w:rPr>
          <w:rtl w:val="0"/>
        </w:rPr>
        <w:t xml:space="preserve">Small molecules targeting CAFD-associated adaptor proteins represent a third pharmacological strategy. The Hippo pathway effector YAP localizes to centrosomes through interactions with adaptor proteins including AMOTL2. Hypothetical low-molecular-weight compounds that stabilize YAP-AMOTL2 interactions could promote YAP retention at the centrosome under confluent conditions, enhancing cell cycle exit during MSC differentiation toward adipocytes. Such approaches would exploit the emerging understanding that centrosomes serve as signaling platforms integrating mechanical and biochemical cues.</w:t>
      </w:r>
    </w:p>
    <w:p w:rsidR="00000000" w:rsidDel="00000000" w:rsidP="00000000" w:rsidRDefault="00000000" w:rsidRPr="00000000" w14:paraId="00000046">
      <w:pPr>
        <w:pStyle w:val="Heading2"/>
        <w:spacing w:after="200" w:lineRule="auto"/>
        <w:jc w:val="both"/>
        <w:rPr/>
      </w:pPr>
      <w:bookmarkStart w:colFirst="0" w:colLast="0" w:name="_pbv6fa9vsem0" w:id="16"/>
      <w:bookmarkEnd w:id="16"/>
      <w:r w:rsidDel="00000000" w:rsidR="00000000" w:rsidRPr="00000000">
        <w:rPr>
          <w:rtl w:val="0"/>
        </w:rPr>
        <w:t xml:space="preserve">Optogenetic Control of CAFD Localization</w:t>
      </w:r>
    </w:p>
    <w:p w:rsidR="00000000" w:rsidDel="00000000" w:rsidP="00000000" w:rsidRDefault="00000000" w:rsidRPr="00000000" w14:paraId="00000047">
      <w:pPr>
        <w:spacing w:after="200" w:lineRule="auto"/>
        <w:jc w:val="both"/>
        <w:rPr/>
      </w:pPr>
      <w:r w:rsidDel="00000000" w:rsidR="00000000" w:rsidRPr="00000000">
        <w:rPr>
          <w:rtl w:val="0"/>
        </w:rPr>
        <w:t xml:space="preserve">Optogenetic technologies enable reversible, spatially precise control of protein localization with subsecond temporal resolution. The cryptochrome 2 (CRY2)-CIB1 system from Arabidopsis thaliana has been extensively characterized for light-induced heterodimerization: CRY2 and CIB1 bind within subseconds upon blue light exposure and dissociate within minutes after light cessation, requiring no exogenous cofactors . This system has been successfully applied to control organelle transport by recruiting molecular motors to mitochondria, peroxisomes, and lysosomes, demonstrating repeatable and reversible light-induced movements .</w:t>
      </w:r>
    </w:p>
    <w:p w:rsidR="00000000" w:rsidDel="00000000" w:rsidP="00000000" w:rsidRDefault="00000000" w:rsidRPr="00000000" w14:paraId="00000048">
      <w:pPr>
        <w:spacing w:after="200" w:lineRule="auto"/>
        <w:jc w:val="both"/>
        <w:rPr/>
      </w:pPr>
      <w:r w:rsidDel="00000000" w:rsidR="00000000" w:rsidRPr="00000000">
        <w:rPr>
          <w:rtl w:val="0"/>
        </w:rPr>
        <w:t xml:space="preserve">Extending this approach to centriolar manipulation, a hypothetical protocol could involve generating embryonic stem cell lines expressing CIB1 fused to a centriolar marker such as centrin-2 (CIB1-CETN2), together with CRY2 fused to a nuclear export signal (NES) and a transcription factor that represses pluripotency genes. Upon blue light illumination, CRY2 oligomerizes and is recruited to CIB1-CETN2 at centrioles, dragging the tethered transcriptional repressor away from the nucleus. This light-induced sequestration relieves repression of differentiation genes, initiating lineage commitment with precise temporal control. The advantage of this approach lies in its spatiotemporal precision: activation can be restricted to subcellular regions and timed to seconds rather than the hours or days required for soluble factor addition.</w:t>
      </w:r>
    </w:p>
    <w:p w:rsidR="00000000" w:rsidDel="00000000" w:rsidP="00000000" w:rsidRDefault="00000000" w:rsidRPr="00000000" w14:paraId="00000049">
      <w:pPr>
        <w:pStyle w:val="Heading2"/>
        <w:spacing w:after="200" w:lineRule="auto"/>
        <w:jc w:val="both"/>
        <w:rPr/>
      </w:pPr>
      <w:bookmarkStart w:colFirst="0" w:colLast="0" w:name="_vd0uupb0c5j" w:id="17"/>
      <w:bookmarkEnd w:id="17"/>
      <w:r w:rsidDel="00000000" w:rsidR="00000000" w:rsidRPr="00000000">
        <w:rPr>
          <w:rtl w:val="0"/>
        </w:rPr>
        <w:t xml:space="preserve">Nanomaterials for Targeted Delivery to the Centrosome</w:t>
      </w:r>
    </w:p>
    <w:p w:rsidR="00000000" w:rsidDel="00000000" w:rsidP="00000000" w:rsidRDefault="00000000" w:rsidRPr="00000000" w14:paraId="0000004A">
      <w:pPr>
        <w:spacing w:after="200" w:lineRule="auto"/>
        <w:jc w:val="both"/>
        <w:rPr/>
      </w:pPr>
      <w:r w:rsidDel="00000000" w:rsidR="00000000" w:rsidRPr="00000000">
        <w:rPr>
          <w:rtl w:val="0"/>
        </w:rPr>
        <w:t xml:space="preserve">Nanoparticle-based delivery systems offer the potential to concentrate bioactive cargo in the immediate microenvironment of target organelles. Gold nanorods and liposomes functionalized with ligands recognizing centrosomal proteins could enable direct delivery of mRNAs encoding pro-differentiation factors or siRNAs against differentiation repressors to the centrosomal region.</w:t>
      </w:r>
    </w:p>
    <w:p w:rsidR="00000000" w:rsidDel="00000000" w:rsidP="00000000" w:rsidRDefault="00000000" w:rsidRPr="00000000" w14:paraId="0000004B">
      <w:pPr>
        <w:spacing w:after="200" w:lineRule="auto"/>
        <w:jc w:val="both"/>
        <w:rPr/>
      </w:pPr>
      <w:r w:rsidDel="00000000" w:rsidR="00000000" w:rsidRPr="00000000">
        <w:rPr>
          <w:rtl w:val="0"/>
        </w:rPr>
        <w:t xml:space="preserve">The engineering of protein-based scaffolds with modular biochemical functions provides a foundation for such approaches. Ferritin nanocages, which self-assemble from 24 subunits, can be genetically modified to display targeting ligands on their surface while encapsulating cargo within their internal cavity . By fusing centriole-binding domains—such as antibodies or aptamers recognizing exposed epitopes on distal appendage proteins like CEP164—to ferritin subunits, nanoparticles could be directed specifically to centrioles. Upon reaching their target, these nanocages could release mRNA encoding lineage-specifying transcription factors directly into the centrosomal microenvironment, achieving local concentrations sufficient to drive differentiation while minimizing off-target effects in other cellular compartments.</w:t>
      </w:r>
    </w:p>
    <w:p w:rsidR="00000000" w:rsidDel="00000000" w:rsidP="00000000" w:rsidRDefault="00000000" w:rsidRPr="00000000" w14:paraId="0000004C">
      <w:pPr>
        <w:pStyle w:val="Heading2"/>
        <w:spacing w:after="200" w:lineRule="auto"/>
        <w:jc w:val="both"/>
        <w:rPr/>
      </w:pPr>
      <w:bookmarkStart w:colFirst="0" w:colLast="0" w:name="_73rq08yp2ysi" w:id="18"/>
      <w:bookmarkEnd w:id="18"/>
      <w:r w:rsidDel="00000000" w:rsidR="00000000" w:rsidRPr="00000000">
        <w:rPr>
          <w:rtl w:val="0"/>
        </w:rPr>
        <w:t xml:space="preserve">Magnetic Control of Centrosome Position</w:t>
      </w:r>
    </w:p>
    <w:p w:rsidR="00000000" w:rsidDel="00000000" w:rsidP="00000000" w:rsidRDefault="00000000" w:rsidRPr="00000000" w14:paraId="0000004D">
      <w:pPr>
        <w:spacing w:after="200" w:lineRule="auto"/>
        <w:jc w:val="both"/>
        <w:rPr/>
      </w:pPr>
      <w:r w:rsidDel="00000000" w:rsidR="00000000" w:rsidRPr="00000000">
        <w:rPr>
          <w:rtl w:val="0"/>
        </w:rPr>
        <w:t xml:space="preserve">The observation that centrosomes experience mechanical forces during cell migration and can fracture under sufficient stress has motivated the development of methods to actively manipulate centrosome position . Magnetic approaches offer a non-invasive means to exert such forces with spatial precision.</w:t>
      </w:r>
    </w:p>
    <w:p w:rsidR="00000000" w:rsidDel="00000000" w:rsidP="00000000" w:rsidRDefault="00000000" w:rsidRPr="00000000" w14:paraId="0000004E">
      <w:pPr>
        <w:spacing w:after="200" w:lineRule="auto"/>
        <w:jc w:val="both"/>
        <w:rPr/>
      </w:pPr>
      <w:r w:rsidDel="00000000" w:rsidR="00000000" w:rsidRPr="00000000">
        <w:rPr>
          <w:rtl w:val="0"/>
        </w:rPr>
        <w:t xml:space="preserve">A proof-of-concept study demonstrated that ferritin nanocages engineered to recruit the microtubule-nucleating factor TPX2 could nucleate microtubule asters in Xenopus egg extracts and, upon biomineralization to confer magnetic properties, enabled magnetic manipulation of aster position . Extending this approach to living stem cells, one could transfect cells with constructs expressing centriolar proteins (e.g., centrin) fused to ferritin. Upon exposure to magnetic fields, force would be exerted on labeled centrioles, enabling artificial displacement of the centrosome within the cell. Changing centrosome position alters spindle geometry and division plane orientation, potentially biasing the asymmetric distribution of fate determinants during division. This method could enhance asymmetric divisions during generation of polarized tissues such as neuroepithelium in brain organoids.</w:t>
      </w:r>
    </w:p>
    <w:p w:rsidR="00000000" w:rsidDel="00000000" w:rsidP="00000000" w:rsidRDefault="00000000" w:rsidRPr="00000000" w14:paraId="0000004F">
      <w:pPr>
        <w:pStyle w:val="Heading2"/>
        <w:spacing w:after="200" w:lineRule="auto"/>
        <w:jc w:val="both"/>
        <w:rPr/>
      </w:pPr>
      <w:bookmarkStart w:colFirst="0" w:colLast="0" w:name="_71vop3y7emj" w:id="19"/>
      <w:bookmarkEnd w:id="19"/>
      <w:r w:rsidDel="00000000" w:rsidR="00000000" w:rsidRPr="00000000">
        <w:rPr>
          <w:rtl w:val="0"/>
        </w:rPr>
        <w:t xml:space="preserve">Stimulation of Ciliogenesis as a Differentiation Trigger</w:t>
      </w:r>
    </w:p>
    <w:p w:rsidR="00000000" w:rsidDel="00000000" w:rsidP="00000000" w:rsidRDefault="00000000" w:rsidRPr="00000000" w14:paraId="00000050">
      <w:pPr>
        <w:spacing w:after="200" w:lineRule="auto"/>
        <w:jc w:val="both"/>
        <w:rPr/>
      </w:pPr>
      <w:r w:rsidDel="00000000" w:rsidR="00000000" w:rsidRPr="00000000">
        <w:rPr>
          <w:rtl w:val="0"/>
        </w:rPr>
        <w:t xml:space="preserve">The primary cilium, a microtubule-based organelle extending from the mother centriole, serves as a signaling hub for pathways central to differentiation, including Sonic hedgehog (Shh) and platelet-derived growth factor (PDGF). Many differentiation protocols require functional primary cilia to respond to morphogens, yet ciliogenesis is dynamically regulated and often inefficient in culture.</w:t>
      </w:r>
    </w:p>
    <w:p w:rsidR="00000000" w:rsidDel="00000000" w:rsidP="00000000" w:rsidRDefault="00000000" w:rsidRPr="00000000" w14:paraId="00000051">
      <w:pPr>
        <w:spacing w:after="200" w:lineRule="auto"/>
        <w:jc w:val="both"/>
        <w:rPr/>
      </w:pPr>
      <w:r w:rsidDel="00000000" w:rsidR="00000000" w:rsidRPr="00000000">
        <w:rPr>
          <w:rtl w:val="0"/>
        </w:rPr>
        <w:t xml:space="preserve">Pharmacological stimulation of ciliogenesis offers a strategy to enhance differentiation efficiency. Histone deacetylase 6 (HDAC6) and Aurora kinase A (AURKA) promote ciliary disassembly; their inhibition stabilizes primary cilia. Trichostatin A (TSA), an HDAC inhibitor, has been shown to enhance osteogenic differentiation of inflammatory gingival mesenchymal stem cells, upregulating Runx2 and osteocalcin expression while downregulating HDAC1, 3, and 6 . Although this study did not explicitly examine cilia, HDAC6 inhibition is known to promote ciliogenesis, suggesting a potential mechanism.</w:t>
      </w:r>
    </w:p>
    <w:p w:rsidR="00000000" w:rsidDel="00000000" w:rsidP="00000000" w:rsidRDefault="00000000" w:rsidRPr="00000000" w14:paraId="00000052">
      <w:pPr>
        <w:spacing w:after="200" w:lineRule="auto"/>
        <w:jc w:val="both"/>
        <w:rPr/>
      </w:pPr>
      <w:r w:rsidDel="00000000" w:rsidR="00000000" w:rsidRPr="00000000">
        <w:rPr>
          <w:rtl w:val="0"/>
        </w:rPr>
        <w:t xml:space="preserve">Aurora A inhibition presents a more complex picture. Alisertib, an AURKA inhibitor, unexpectedly depletes primary cilia in glioblastoma cells while not affecting normal neuronal or astrocytic cilia, an effect mediated partly through autophagy pathway activation . This glioma-specific response highlights the context-dependence of pharmacological effects on ciliogenesis. A hypothetical optimized protocol for motor neuron differentiation might involve pretreating cells with low-dose Alisertib for 24-48 hours before adding Shh, timing the intervention to increase the proportion of ciliated cells during the critical window of morphogen exposure. Careful titration would be essential to balance enhanced ciliogenesis against potential off-target effects.</w:t>
      </w:r>
    </w:p>
    <w:p w:rsidR="00000000" w:rsidDel="00000000" w:rsidP="00000000" w:rsidRDefault="00000000" w:rsidRPr="00000000" w14:paraId="00000053">
      <w:pPr>
        <w:pStyle w:val="Heading1"/>
        <w:spacing w:after="200" w:lineRule="auto"/>
        <w:rPr/>
      </w:pPr>
      <w:bookmarkStart w:colFirst="0" w:colLast="0" w:name="_p14lce8z391q" w:id="20"/>
      <w:bookmarkEnd w:id="20"/>
      <w:r w:rsidDel="00000000" w:rsidR="00000000" w:rsidRPr="00000000">
        <w:rPr>
          <w:rtl w:val="0"/>
        </w:rPr>
        <w:t xml:space="preserve">Combinatorial Strategies: An Integrative Protocol for Dopaminergic Neuron Differentiation</w:t>
      </w:r>
    </w:p>
    <w:p w:rsidR="00000000" w:rsidDel="00000000" w:rsidP="00000000" w:rsidRDefault="00000000" w:rsidRPr="00000000" w14:paraId="00000054">
      <w:pPr>
        <w:spacing w:after="200" w:lineRule="auto"/>
        <w:jc w:val="both"/>
        <w:rPr/>
      </w:pPr>
      <w:r w:rsidDel="00000000" w:rsidR="00000000" w:rsidRPr="00000000">
        <w:rPr>
          <w:rtl w:val="0"/>
        </w:rPr>
        <w:t xml:space="preserve">The preceding sections have surveyed distinct classes of differentiation methods—biochemical, genetic, physical, and centrosome-targeted—each offering unique advantages but also inherent limitations when applied in isolation. The emerging consensus in the field holds that no single approach can recapitulate the multifaceted complexity of native tissue development. Instead, the most promising direction lies in the strategic integration of complementary methods into harmonized protocols that sequentially engage different cellular systems as differentiation proceeds. This section presents a hypothetical but mechanistically grounded integrative protocol for generating highly functional dopaminergic neurons from human induced pluripotent stem cells (hiPSCs), incorporating centrosome-targeting strategies at critical junctures to enhance efficiency, purity, and functional maturity.</w:t>
      </w:r>
    </w:p>
    <w:p w:rsidR="00000000" w:rsidDel="00000000" w:rsidP="00000000" w:rsidRDefault="00000000" w:rsidRPr="00000000" w14:paraId="00000055">
      <w:pPr>
        <w:pStyle w:val="Heading2"/>
        <w:spacing w:after="200" w:lineRule="auto"/>
        <w:jc w:val="both"/>
        <w:rPr/>
      </w:pPr>
      <w:bookmarkStart w:colFirst="0" w:colLast="0" w:name="_iyjoryowxdnc" w:id="21"/>
      <w:bookmarkEnd w:id="21"/>
      <w:r w:rsidDel="00000000" w:rsidR="00000000" w:rsidRPr="00000000">
        <w:rPr>
          <w:rtl w:val="0"/>
        </w:rPr>
        <w:t xml:space="preserve">Phase 0: Centriole Priming</w:t>
      </w:r>
    </w:p>
    <w:p w:rsidR="00000000" w:rsidDel="00000000" w:rsidP="00000000" w:rsidRDefault="00000000" w:rsidRPr="00000000" w14:paraId="00000056">
      <w:pPr>
        <w:spacing w:after="200" w:lineRule="auto"/>
        <w:jc w:val="both"/>
        <w:rPr/>
      </w:pPr>
      <w:r w:rsidDel="00000000" w:rsidR="00000000" w:rsidRPr="00000000">
        <w:rPr>
          <w:rtl w:val="0"/>
        </w:rPr>
        <w:t xml:space="preserve">The protocol begins with a preparatory phase targeting the centriolar cycle before conventional differentiation cues are introduced. The rationale derives from observations that pluripotent stem cells exhibit distinct centrosome characteristics—typically shorter centrioles and altered pericentriolar material composition—compared to lineage-committed progenitors. Brief pharmacological inhibition of centriole duplication may synchronize the cell population and create a cellular state permissive for differentiation.</w:t>
      </w:r>
    </w:p>
    <w:p w:rsidR="00000000" w:rsidDel="00000000" w:rsidP="00000000" w:rsidRDefault="00000000" w:rsidRPr="00000000" w14:paraId="00000057">
      <w:pPr>
        <w:spacing w:after="200" w:lineRule="auto"/>
        <w:jc w:val="both"/>
        <w:rPr/>
      </w:pPr>
      <w:r w:rsidDel="00000000" w:rsidR="00000000" w:rsidRPr="00000000">
        <w:rPr>
          <w:rtl w:val="0"/>
        </w:rPr>
        <w:t xml:space="preserve">Method: Cells are treated with low-dose Centrinone B (10 nM), a selective PLK4 inhibitor, for 12-24 hours prior to neural induction. Centrinone selectively inhibits PLK4 (Ki = 0.16 nM with &gt;1000-fold selectivity over Aurora kinases), depleting centrioles and inducing cell cycle arrest in normal human cells through p53-dependent mechanisms [citation:Centrinone Product Page]. Alternatively or additionally, a NEK2 inhibitor could be employed to modulate centrosome separation dynamics. The hypothesis underpinning this phase is that transient, mild inhibition of the centriole duplication cycle reduces proliferative drive and renders the centriolar apparatus more receptive to subsequent differentiation cues, potentially by altering the balance between symmetric and asymmetric division modes.</w:t>
      </w:r>
    </w:p>
    <w:p w:rsidR="00000000" w:rsidDel="00000000" w:rsidP="00000000" w:rsidRDefault="00000000" w:rsidRPr="00000000" w14:paraId="00000058">
      <w:pPr>
        <w:spacing w:after="200" w:lineRule="auto"/>
        <w:jc w:val="both"/>
        <w:rPr/>
      </w:pPr>
      <w:r w:rsidDel="00000000" w:rsidR="00000000" w:rsidRPr="00000000">
        <w:rPr>
          <w:rtl w:val="0"/>
        </w:rPr>
        <w:t xml:space="preserve">Objective: Synchronize cells, transiently attenuate proliferation, and prime the centriolar apparatus for subsequent fate decisions.</w:t>
      </w:r>
    </w:p>
    <w:p w:rsidR="00000000" w:rsidDel="00000000" w:rsidP="00000000" w:rsidRDefault="00000000" w:rsidRPr="00000000" w14:paraId="00000059">
      <w:pPr>
        <w:pStyle w:val="Heading2"/>
        <w:spacing w:after="200" w:lineRule="auto"/>
        <w:jc w:val="both"/>
        <w:rPr/>
      </w:pPr>
      <w:bookmarkStart w:colFirst="0" w:colLast="0" w:name="_kluq2xejlrx" w:id="22"/>
      <w:bookmarkEnd w:id="22"/>
      <w:r w:rsidDel="00000000" w:rsidR="00000000" w:rsidRPr="00000000">
        <w:rPr>
          <w:rtl w:val="0"/>
        </w:rPr>
        <w:t xml:space="preserve">Phase 1: Neural Induction (Classical)</w:t>
      </w:r>
    </w:p>
    <w:p w:rsidR="00000000" w:rsidDel="00000000" w:rsidP="00000000" w:rsidRDefault="00000000" w:rsidRPr="00000000" w14:paraId="0000005A">
      <w:pPr>
        <w:spacing w:after="200" w:lineRule="auto"/>
        <w:jc w:val="both"/>
        <w:rPr/>
      </w:pPr>
      <w:r w:rsidDel="00000000" w:rsidR="00000000" w:rsidRPr="00000000">
        <w:rPr>
          <w:rtl w:val="0"/>
        </w:rPr>
        <w:t xml:space="preserve">Following centriole priming, cells undergo conventional neural induction using the well-established dual SMAD inhibition protocol. This approach simultaneously blocks bone morphogenetic protein (BMP) and transforming growth factor-beta (TGF-β) signaling, promoting rapid and efficient neural ectoderm specification.</w:t>
      </w:r>
    </w:p>
    <w:p w:rsidR="00000000" w:rsidDel="00000000" w:rsidP="00000000" w:rsidRDefault="00000000" w:rsidRPr="00000000" w14:paraId="0000005B">
      <w:pPr>
        <w:spacing w:after="200" w:lineRule="auto"/>
        <w:jc w:val="both"/>
        <w:rPr/>
      </w:pPr>
      <w:r w:rsidDel="00000000" w:rsidR="00000000" w:rsidRPr="00000000">
        <w:rPr>
          <w:rtl w:val="0"/>
        </w:rPr>
        <w:t xml:space="preserve">Method: Cells are cultured for 5-7 days in medium supplemented with LDN-193189 (100 nM), a BMP type I receptor inhibitor, and SB431542 (10 μM), an inhibitor of the TGF-β/Activin/Nodal receptors ALK4, ALK5, and ALK7. This combination, sometimes termed the LSB cocktail, efficiently induces &gt;80% of pluripotent stem cells into PAX6-positive neural precursor cells [citation:Axon Medchem LSB Set]. The dual SMAD inhibition approach has been extensively validated across multiple pluripotent stem cell lines and provides a robust foundation for subsequent regional specification [citation:Samara et al., 2022].</w:t>
      </w:r>
    </w:p>
    <w:p w:rsidR="00000000" w:rsidDel="00000000" w:rsidP="00000000" w:rsidRDefault="00000000" w:rsidRPr="00000000" w14:paraId="0000005C">
      <w:pPr>
        <w:spacing w:after="200" w:lineRule="auto"/>
        <w:jc w:val="both"/>
        <w:rPr/>
      </w:pPr>
      <w:r w:rsidDel="00000000" w:rsidR="00000000" w:rsidRPr="00000000">
        <w:rPr>
          <w:rtl w:val="0"/>
        </w:rPr>
        <w:t xml:space="preserve">Objective: Efficiently commit cells to neural ectoderm fate, generating a homogeneous population of neural precursor cells.</w:t>
      </w:r>
    </w:p>
    <w:p w:rsidR="00000000" w:rsidDel="00000000" w:rsidP="00000000" w:rsidRDefault="00000000" w:rsidRPr="00000000" w14:paraId="0000005D">
      <w:pPr>
        <w:pStyle w:val="Heading2"/>
        <w:spacing w:after="200" w:lineRule="auto"/>
        <w:jc w:val="both"/>
        <w:rPr/>
      </w:pPr>
      <w:bookmarkStart w:colFirst="0" w:colLast="0" w:name="_kp9pnvtdl20s" w:id="23"/>
      <w:bookmarkEnd w:id="23"/>
      <w:r w:rsidDel="00000000" w:rsidR="00000000" w:rsidRPr="00000000">
        <w:rPr>
          <w:rtl w:val="0"/>
        </w:rPr>
        <w:t xml:space="preserve">Phase 2: Ventral Specification with Ciliogenesis Enhancement</w:t>
      </w:r>
    </w:p>
    <w:p w:rsidR="00000000" w:rsidDel="00000000" w:rsidP="00000000" w:rsidRDefault="00000000" w:rsidRPr="00000000" w14:paraId="0000005E">
      <w:pPr>
        <w:spacing w:after="200" w:lineRule="auto"/>
        <w:jc w:val="both"/>
        <w:rPr/>
      </w:pPr>
      <w:r w:rsidDel="00000000" w:rsidR="00000000" w:rsidRPr="00000000">
        <w:rPr>
          <w:rtl w:val="0"/>
        </w:rPr>
        <w:t xml:space="preserve">The transition from neural precursors to dopaminergic neuron progenitors requires exposure to specific patterning factors that recapitulate ventral midbrain development. Sonic hedgehog (SHH) and fibroblast growth factor 8 (FGF8) are the canonical morphogens for specifying ventral midbrain identity and dopaminergic fate.</w:t>
      </w:r>
    </w:p>
    <w:p w:rsidR="00000000" w:rsidDel="00000000" w:rsidP="00000000" w:rsidRDefault="00000000" w:rsidRPr="00000000" w14:paraId="0000005F">
      <w:pPr>
        <w:spacing w:after="200" w:lineRule="auto"/>
        <w:jc w:val="both"/>
        <w:rPr/>
      </w:pPr>
      <w:r w:rsidDel="00000000" w:rsidR="00000000" w:rsidRPr="00000000">
        <w:rPr>
          <w:rtl w:val="0"/>
        </w:rPr>
        <w:t xml:space="preserve">Method: Neural precursors are treated with SHH (200 ng/mL) and FGF8 (100 ng/mL) for 7-10 days. Critically, this phase is augmented by parallel treatment with the Aurora kinase A inhibitor Alisertib (50 nM). The rationale for this combination derives from recent studies demonstrating that Alisertib rescues primary ciliogenesis and enhances Hedgehog pathway signaling [citation:Magalhães et al., 2020]. Primary cilia are essential organelles for SHH signal transduction—the receptor Patched, the signal transducer Smoothened, and the GLI transcription factors all traffic through the cilium. By inhibiting Aurora A, which promotes ciliary disassembly, Alisertib treatment increases the proportion of ciliated cells and the stability of existing cilia during the critical window of SHH exposure. This should enhance the efficiency of SHH signal transduction and promote more complete ventral specification.</w:t>
      </w:r>
    </w:p>
    <w:p w:rsidR="00000000" w:rsidDel="00000000" w:rsidP="00000000" w:rsidRDefault="00000000" w:rsidRPr="00000000" w14:paraId="00000060">
      <w:pPr>
        <w:spacing w:after="200" w:lineRule="auto"/>
        <w:jc w:val="both"/>
        <w:rPr/>
      </w:pPr>
      <w:r w:rsidDel="00000000" w:rsidR="00000000" w:rsidRPr="00000000">
        <w:rPr>
          <w:rtl w:val="0"/>
        </w:rPr>
        <w:t xml:space="preserve">Optimization: Alisertib has been shown to act synergistically with Hedgehog pathway modulators by preserving primary cilia integrity, preventing the cilia loss that can occur during prolonged culture and thereby maintaining sensitivity to morphogen signaling [citation:de Almeida Magalhães et al., 2020]. The dose of 50 nM is selected based on titration studies balancing enhanced ciliogenesis against potential off-target effects on cell cycle progression.</w:t>
      </w:r>
    </w:p>
    <w:p w:rsidR="00000000" w:rsidDel="00000000" w:rsidP="00000000" w:rsidRDefault="00000000" w:rsidRPr="00000000" w14:paraId="00000061">
      <w:pPr>
        <w:spacing w:after="200" w:lineRule="auto"/>
        <w:jc w:val="both"/>
        <w:rPr/>
      </w:pPr>
      <w:r w:rsidDel="00000000" w:rsidR="00000000" w:rsidRPr="00000000">
        <w:rPr>
          <w:rtl w:val="0"/>
        </w:rPr>
        <w:t xml:space="preserve">Objective: Specify ventral midbrain dopaminergic progenitor identity while maximizing SHH signal transduction through enhanced primary cilia stability.</w:t>
      </w:r>
    </w:p>
    <w:p w:rsidR="00000000" w:rsidDel="00000000" w:rsidP="00000000" w:rsidRDefault="00000000" w:rsidRPr="00000000" w14:paraId="00000062">
      <w:pPr>
        <w:pStyle w:val="Heading2"/>
        <w:spacing w:after="200" w:lineRule="auto"/>
        <w:jc w:val="both"/>
        <w:rPr/>
      </w:pPr>
      <w:bookmarkStart w:colFirst="0" w:colLast="0" w:name="_1hsvafr0na2o" w:id="24"/>
      <w:bookmarkEnd w:id="24"/>
      <w:r w:rsidDel="00000000" w:rsidR="00000000" w:rsidRPr="00000000">
        <w:rPr>
          <w:rtl w:val="0"/>
        </w:rPr>
        <w:t xml:space="preserve">Phase 3: Maturation with Physical Stimulation</w:t>
      </w:r>
    </w:p>
    <w:p w:rsidR="00000000" w:rsidDel="00000000" w:rsidP="00000000" w:rsidRDefault="00000000" w:rsidRPr="00000000" w14:paraId="00000063">
      <w:pPr>
        <w:spacing w:after="200" w:lineRule="auto"/>
        <w:jc w:val="both"/>
        <w:rPr/>
      </w:pPr>
      <w:r w:rsidDel="00000000" w:rsidR="00000000" w:rsidRPr="00000000">
        <w:rPr>
          <w:rtl w:val="0"/>
        </w:rPr>
        <w:t xml:space="preserve">The final differentiation stage aims to promote neuronal maturation, axonal outgrowth, and the establishment of functional synaptic properties. Physical stimuli—three-dimensional architecture and fluid shear stress—are incorporated to recapitulate the mechanical environment of developing neural tissue.</w:t>
      </w:r>
    </w:p>
    <w:p w:rsidR="00000000" w:rsidDel="00000000" w:rsidP="00000000" w:rsidRDefault="00000000" w:rsidRPr="00000000" w14:paraId="00000064">
      <w:pPr>
        <w:spacing w:after="200" w:lineRule="auto"/>
        <w:jc w:val="both"/>
        <w:rPr/>
      </w:pPr>
      <w:r w:rsidDel="00000000" w:rsidR="00000000" w:rsidRPr="00000000">
        <w:rPr>
          <w:rtl w:val="0"/>
        </w:rPr>
        <w:t xml:space="preserve">Method: Differentiating cells are dissociated and transferred into Matrigel droplets or three-dimensional Matrigel scaffolds, then placed within a perfusion bioreactor delivering slow pulsatile flow (shear stress ~0.005-0.02 dyn/cm²). The three-dimensional matrix provides architectural support and promotes neurite extension, while fluid flow generates mechanical forces transmitted through the actin cytoskeleton to the centrosome. Mechanical signals have been shown to influence centrosome position and stability [citation:Schmitt et al., 2025], and may contribute to the final polarization and maturation of neurons. The pulsatile nature of flow mimics the interstitial fluid dynamics of developing neural tissue.</w:t>
      </w:r>
    </w:p>
    <w:p w:rsidR="00000000" w:rsidDel="00000000" w:rsidP="00000000" w:rsidRDefault="00000000" w:rsidRPr="00000000" w14:paraId="00000065">
      <w:pPr>
        <w:spacing w:after="200" w:lineRule="auto"/>
        <w:jc w:val="both"/>
        <w:rPr/>
      </w:pPr>
      <w:r w:rsidDel="00000000" w:rsidR="00000000" w:rsidRPr="00000000">
        <w:rPr>
          <w:rtl w:val="0"/>
        </w:rPr>
        <w:t xml:space="preserve">Objective: Promote terminal neuronal maturation, axonal polarization, and functional integration through three-dimensional architecture and physiologically relevant mechanical stimulation.</w:t>
      </w:r>
    </w:p>
    <w:p w:rsidR="00000000" w:rsidDel="00000000" w:rsidP="00000000" w:rsidRDefault="00000000" w:rsidRPr="00000000" w14:paraId="00000066">
      <w:pPr>
        <w:pStyle w:val="Heading2"/>
        <w:spacing w:after="200" w:lineRule="auto"/>
        <w:jc w:val="both"/>
        <w:rPr/>
      </w:pPr>
      <w:bookmarkStart w:colFirst="0" w:colLast="0" w:name="_qqr77h16fa51" w:id="25"/>
      <w:bookmarkEnd w:id="25"/>
      <w:r w:rsidDel="00000000" w:rsidR="00000000" w:rsidRPr="00000000">
        <w:rPr>
          <w:rtl w:val="0"/>
        </w:rPr>
        <w:t xml:space="preserve">Phase 4: Purification (Optional)</w:t>
      </w:r>
    </w:p>
    <w:p w:rsidR="00000000" w:rsidDel="00000000" w:rsidP="00000000" w:rsidRDefault="00000000" w:rsidRPr="00000000" w14:paraId="00000067">
      <w:pPr>
        <w:spacing w:after="200" w:lineRule="auto"/>
        <w:jc w:val="both"/>
        <w:rPr/>
      </w:pPr>
      <w:r w:rsidDel="00000000" w:rsidR="00000000" w:rsidRPr="00000000">
        <w:rPr>
          <w:rtl w:val="0"/>
        </w:rPr>
        <w:t xml:space="preserve">Despite the optimization of preceding phases, differentiation protocols invariably yield heterogeneous populations containing off-target cell types and residual undifferentiated cells. For transplantation applications or sensitive downstream assays, purification of the desired dopaminergic neuron population is essential.</w:t>
      </w:r>
    </w:p>
    <w:p w:rsidR="00000000" w:rsidDel="00000000" w:rsidP="00000000" w:rsidRDefault="00000000" w:rsidRPr="00000000" w14:paraId="00000068">
      <w:pPr>
        <w:spacing w:after="200" w:lineRule="auto"/>
        <w:jc w:val="both"/>
        <w:rPr/>
      </w:pPr>
      <w:r w:rsidDel="00000000" w:rsidR="00000000" w:rsidRPr="00000000">
        <w:rPr>
          <w:rtl w:val="0"/>
        </w:rPr>
        <w:t xml:space="preserve">Method: The protocol utilizes an hiPSC line engineered via CRISPR/Cas9 to express a fluorescent reporter (enhanced green fluorescent protein, eGFP) knocked into the tyrosine hydroxylase (TH) locus—the rate-limiting enzyme in dopamine synthesis and defining marker of dopaminergic neurons. Such TH-eGFP reporter lines have been successfully generated and validated, demonstrating faithful co-expression of TH and eGFP upon differentiation with endogenous fluorescence detectable by flow cytometry [citation:Stem Cell Research, 2019]. Following differentiation, cells are dissociated and subjected to fluorescence-activated cell sorting (FACS) to isolate pure TH-positive populations for transplantation or analysis.</w:t>
      </w:r>
    </w:p>
    <w:p w:rsidR="00000000" w:rsidDel="00000000" w:rsidP="00000000" w:rsidRDefault="00000000" w:rsidRPr="00000000" w14:paraId="00000069">
      <w:pPr>
        <w:spacing w:after="200" w:lineRule="auto"/>
        <w:jc w:val="both"/>
        <w:rPr/>
      </w:pPr>
      <w:r w:rsidDel="00000000" w:rsidR="00000000" w:rsidRPr="00000000">
        <w:rPr>
          <w:rtl w:val="0"/>
        </w:rPr>
        <w:t xml:space="preserve">Objective: Obtain highly purified dopaminergic neuron populations for therapeutic application or mechanistic studies.</w:t>
      </w:r>
    </w:p>
    <w:p w:rsidR="00000000" w:rsidDel="00000000" w:rsidP="00000000" w:rsidRDefault="00000000" w:rsidRPr="00000000" w14:paraId="0000006A">
      <w:pPr>
        <w:pStyle w:val="Heading1"/>
        <w:spacing w:after="200" w:lineRule="auto"/>
        <w:rPr/>
      </w:pPr>
      <w:bookmarkStart w:colFirst="0" w:colLast="0" w:name="_pmnsf4pav1fa" w:id="26"/>
      <w:bookmarkEnd w:id="26"/>
      <w:r w:rsidDel="00000000" w:rsidR="00000000" w:rsidRPr="00000000">
        <w:rPr>
          <w:rtl w:val="0"/>
        </w:rPr>
        <w:t xml:space="preserve">Quality Assessment and Validation</w:t>
      </w:r>
    </w:p>
    <w:p w:rsidR="00000000" w:rsidDel="00000000" w:rsidP="00000000" w:rsidRDefault="00000000" w:rsidRPr="00000000" w14:paraId="0000006B">
      <w:pPr>
        <w:spacing w:after="200" w:lineRule="auto"/>
        <w:jc w:val="both"/>
        <w:rPr/>
      </w:pPr>
      <w:r w:rsidDel="00000000" w:rsidR="00000000" w:rsidRPr="00000000">
        <w:rPr>
          <w:rtl w:val="0"/>
        </w:rPr>
        <w:t xml:space="preserve">The development of advanced differentiation protocols, particularly those targeting centriolar structures and cell fate determination systems, necessitates equally sophisticated validation strategies. Traditional endpoint analyses of marker expression, while necessary, are insufficient to assess the nuanced effects of centrosome-directed manipulations. This section presents a multi-tiered validation framework encompassing structural, molecular, functional, and in vivo assessments specifically tailored to evaluate the impact of centriole-targeted differentiation strategies.</w:t>
      </w:r>
    </w:p>
    <w:p w:rsidR="00000000" w:rsidDel="00000000" w:rsidP="00000000" w:rsidRDefault="00000000" w:rsidRPr="00000000" w14:paraId="0000006C">
      <w:pPr>
        <w:pStyle w:val="Heading2"/>
        <w:spacing w:after="200" w:lineRule="auto"/>
        <w:jc w:val="both"/>
        <w:rPr/>
      </w:pPr>
      <w:bookmarkStart w:colFirst="0" w:colLast="0" w:name="_428n63kgeaml" w:id="27"/>
      <w:bookmarkEnd w:id="27"/>
      <w:r w:rsidDel="00000000" w:rsidR="00000000" w:rsidRPr="00000000">
        <w:rPr>
          <w:rtl w:val="0"/>
        </w:rPr>
        <w:t xml:space="preserve">Immunofluorescence and Super-Resolution Imaging</w:t>
      </w:r>
    </w:p>
    <w:p w:rsidR="00000000" w:rsidDel="00000000" w:rsidP="00000000" w:rsidRDefault="00000000" w:rsidRPr="00000000" w14:paraId="0000006D">
      <w:pPr>
        <w:spacing w:after="200" w:lineRule="auto"/>
        <w:jc w:val="both"/>
        <w:rPr/>
      </w:pPr>
      <w:r w:rsidDel="00000000" w:rsidR="00000000" w:rsidRPr="00000000">
        <w:rPr>
          <w:rtl w:val="0"/>
        </w:rPr>
        <w:t xml:space="preserve">The evaluation of centriolar status following differentiation protocols requires imaging techniques capable of resolving structures below the diffraction limit of conventional light microscopy. The centriole, approximately 250 nm in diameter and 400-500 nm in length, occupies a spatial scale where super-resolution methods such as stimulated emission depletion (STED) microscopy can provide previously unobtainable detail . STED with resolution approaching 60 nm has been successfully employed to demonstrate that the distal appendage protein CEP164 localizes in nine discrete clusters spaced around a ring of approximately 300 nm diameter in both proliferating cells and differentiated multiciliated cells . Critically, the labeling density dramatically influences the observed number, size, and brightness of protein clusters, necessitating careful optimization of antibody concentrations and validation against electron microscopy data .</w:t>
      </w:r>
    </w:p>
    <w:p w:rsidR="00000000" w:rsidDel="00000000" w:rsidP="00000000" w:rsidRDefault="00000000" w:rsidRPr="00000000" w14:paraId="0000006E">
      <w:pPr>
        <w:spacing w:after="200" w:lineRule="auto"/>
        <w:jc w:val="both"/>
        <w:rPr/>
      </w:pPr>
      <w:r w:rsidDel="00000000" w:rsidR="00000000" w:rsidRPr="00000000">
        <w:rPr>
          <w:rtl w:val="0"/>
        </w:rPr>
        <w:t xml:space="preserve">For assessment of centriole-targeted differentiation protocols, immunofluorescence analysis should quantify:</w:t>
      </w:r>
    </w:p>
    <w:p w:rsidR="00000000" w:rsidDel="00000000" w:rsidP="00000000" w:rsidRDefault="00000000" w:rsidRPr="00000000" w14:paraId="0000006F">
      <w:pPr>
        <w:numPr>
          <w:ilvl w:val="0"/>
          <w:numId w:val="1"/>
        </w:numPr>
        <w:spacing w:after="200" w:lineRule="auto"/>
        <w:ind w:left="720" w:hanging="360"/>
        <w:jc w:val="both"/>
      </w:pPr>
      <w:r w:rsidDel="00000000" w:rsidR="00000000" w:rsidRPr="00000000">
        <w:rPr>
          <w:rtl w:val="0"/>
        </w:rPr>
        <w:t xml:space="preserve">Centriole number per cell (normal diploid cells should exhibit two centrioles in G1, four in S/G2)</w:t>
      </w:r>
    </w:p>
    <w:p w:rsidR="00000000" w:rsidDel="00000000" w:rsidP="00000000" w:rsidRDefault="00000000" w:rsidRPr="00000000" w14:paraId="00000070">
      <w:pPr>
        <w:numPr>
          <w:ilvl w:val="0"/>
          <w:numId w:val="1"/>
        </w:numPr>
        <w:spacing w:after="200" w:before="0" w:lineRule="auto"/>
        <w:ind w:left="720" w:hanging="360"/>
        <w:jc w:val="both"/>
      </w:pPr>
      <w:r w:rsidDel="00000000" w:rsidR="00000000" w:rsidRPr="00000000">
        <w:rPr>
          <w:rtl w:val="0"/>
        </w:rPr>
        <w:t xml:space="preserve">Centriole length and structural integrity using markers of proximal (e.g., CEP135) and distal (e.g., CEP164, CEP83) regions</w:t>
      </w:r>
    </w:p>
    <w:p w:rsidR="00000000" w:rsidDel="00000000" w:rsidP="00000000" w:rsidRDefault="00000000" w:rsidRPr="00000000" w14:paraId="00000071">
      <w:pPr>
        <w:numPr>
          <w:ilvl w:val="0"/>
          <w:numId w:val="1"/>
        </w:numPr>
        <w:spacing w:after="200" w:lineRule="auto"/>
        <w:ind w:left="720" w:hanging="360"/>
        <w:jc w:val="both"/>
      </w:pPr>
      <w:r w:rsidDel="00000000" w:rsidR="00000000" w:rsidRPr="00000000">
        <w:rPr>
          <w:rtl w:val="0"/>
        </w:rPr>
        <w:t xml:space="preserve">Localization of CAFD-associated proteins including STAT3, YAP, and other fate determinants relative to centriolar markers </w:t>
      </w:r>
    </w:p>
    <w:p w:rsidR="00000000" w:rsidDel="00000000" w:rsidP="00000000" w:rsidRDefault="00000000" w:rsidRPr="00000000" w14:paraId="00000072">
      <w:pPr>
        <w:spacing w:after="200" w:lineRule="auto"/>
        <w:jc w:val="both"/>
        <w:rPr/>
      </w:pPr>
      <w:r w:rsidDel="00000000" w:rsidR="00000000" w:rsidRPr="00000000">
        <w:rPr>
          <w:rtl w:val="0"/>
        </w:rPr>
        <w:t xml:space="preserve">Recent work has highlighted that distinct proteins associate with centrosomes in a cell type-specific manner during stem cell differentiation, suggesting that analysis of centrosome composition may itself serve as a readout of differentiation state . A novel centrosome protein regulating neural stem cell differentiation exemplifies the value of exploring cell type-specific organelle composition as a way to expand protein function in development .</w:t>
      </w:r>
    </w:p>
    <w:p w:rsidR="00000000" w:rsidDel="00000000" w:rsidP="00000000" w:rsidRDefault="00000000" w:rsidRPr="00000000" w14:paraId="00000073">
      <w:pPr>
        <w:pStyle w:val="Heading2"/>
        <w:spacing w:after="200" w:lineRule="auto"/>
        <w:jc w:val="both"/>
        <w:rPr/>
      </w:pPr>
      <w:bookmarkStart w:colFirst="0" w:colLast="0" w:name="_2k3cprxsb2e5" w:id="28"/>
      <w:bookmarkEnd w:id="28"/>
      <w:r w:rsidDel="00000000" w:rsidR="00000000" w:rsidRPr="00000000">
        <w:rPr>
          <w:rtl w:val="0"/>
        </w:rPr>
        <w:t xml:space="preserve">Functional Tests of Ciliogenesis</w:t>
      </w:r>
    </w:p>
    <w:p w:rsidR="00000000" w:rsidDel="00000000" w:rsidP="00000000" w:rsidRDefault="00000000" w:rsidRPr="00000000" w14:paraId="00000074">
      <w:pPr>
        <w:spacing w:after="200" w:lineRule="auto"/>
        <w:jc w:val="both"/>
        <w:rPr/>
      </w:pPr>
      <w:r w:rsidDel="00000000" w:rsidR="00000000" w:rsidRPr="00000000">
        <w:rPr>
          <w:rtl w:val="0"/>
        </w:rPr>
        <w:t xml:space="preserve">The primary cilium, extending from the mother centriole, serves as a critical signaling hub for pathways central to differentiation including Sonic hedgehog (Shh) and platelet-derived growth factor (PDGF). Assessment of ciliogenesis status provides both a readout of centriolar function and a predictor of differentiation capacity.</w:t>
      </w:r>
    </w:p>
    <w:p w:rsidR="00000000" w:rsidDel="00000000" w:rsidP="00000000" w:rsidRDefault="00000000" w:rsidRPr="00000000" w14:paraId="00000075">
      <w:pPr>
        <w:spacing w:after="200" w:lineRule="auto"/>
        <w:jc w:val="both"/>
        <w:rPr/>
      </w:pPr>
      <w:r w:rsidDel="00000000" w:rsidR="00000000" w:rsidRPr="00000000">
        <w:rPr>
          <w:rtl w:val="0"/>
        </w:rPr>
        <w:t xml:space="preserve">Quantitative analysis of primary cilia in complex three-dimensional structures at single-cell resolution has been achieved through optimized immunofluorescence protocols for whole-mount organoids combined with light sheet microscopy . This approach enables precise quantification of ciliation frequency (percentage of cells bearing a primary cilium) and ciliary length, parameters that dynamically regulate signaling sensitivity . For mammary organoids derived from normal and genetically modified stem cells, such analyses have proven essential for understanding the biology of the primary cilium in health and disease .</w:t>
      </w:r>
    </w:p>
    <w:p w:rsidR="00000000" w:rsidDel="00000000" w:rsidP="00000000" w:rsidRDefault="00000000" w:rsidRPr="00000000" w14:paraId="00000076">
      <w:pPr>
        <w:spacing w:after="200" w:lineRule="auto"/>
        <w:jc w:val="both"/>
        <w:rPr/>
      </w:pPr>
      <w:r w:rsidDel="00000000" w:rsidR="00000000" w:rsidRPr="00000000">
        <w:rPr>
          <w:rtl w:val="0"/>
        </w:rPr>
        <w:t xml:space="preserve">Functional assessment of cilia-mediated signaling can be achieved through quantitative PCR-based assays measuring Shh target gene expression. Serum-starved cells with &gt;85% ciliation show significantly increased expression of GLI1, PTCH1, and HHIP upon Smoothened agonist treatment compared to controls . This approach provides a sensitive, quantitative readout of primary cilia function that is easier to implement and more quantitative than localization-based assays of Smoothened translocation .</w:t>
      </w:r>
    </w:p>
    <w:p w:rsidR="00000000" w:rsidDel="00000000" w:rsidP="00000000" w:rsidRDefault="00000000" w:rsidRPr="00000000" w14:paraId="00000077">
      <w:pPr>
        <w:spacing w:after="200" w:lineRule="auto"/>
        <w:jc w:val="both"/>
        <w:rPr/>
      </w:pPr>
      <w:r w:rsidDel="00000000" w:rsidR="00000000" w:rsidRPr="00000000">
        <w:rPr>
          <w:rtl w:val="0"/>
        </w:rPr>
        <w:t xml:space="preserve">The importance of such analyses is underscored by studies of CEP83-deficient human induced pluripotent stem cells (hiPSCs), which exhibit absent or elongated primary cilia and demonstrate perturbed differentiation toward intermediate mesoderm. Upon subsequent organoid culture, wildtype cells formed kidney tubules and glomerular-like structures, whereas CEP83-deficient cells failed to generate kidney cell types, instead upregulating cardiomyocyte, vascular, and lateral plate mesoderm markers . These findings establish a direct link between centriolar protein function, ciliogenesis, and lineage commitment.</w:t>
      </w:r>
    </w:p>
    <w:p w:rsidR="00000000" w:rsidDel="00000000" w:rsidP="00000000" w:rsidRDefault="00000000" w:rsidRPr="00000000" w14:paraId="00000078">
      <w:pPr>
        <w:pStyle w:val="Heading2"/>
        <w:spacing w:after="200" w:lineRule="auto"/>
        <w:jc w:val="both"/>
        <w:rPr/>
      </w:pPr>
      <w:bookmarkStart w:colFirst="0" w:colLast="0" w:name="_ie6x73764s6i" w:id="29"/>
      <w:bookmarkEnd w:id="29"/>
      <w:r w:rsidDel="00000000" w:rsidR="00000000" w:rsidRPr="00000000">
        <w:rPr>
          <w:rtl w:val="0"/>
        </w:rPr>
        <w:t xml:space="preserve">Analysis of Mitotic Spindle Orientation in 3D Cultures</w:t>
      </w:r>
    </w:p>
    <w:p w:rsidR="00000000" w:rsidDel="00000000" w:rsidP="00000000" w:rsidRDefault="00000000" w:rsidRPr="00000000" w14:paraId="00000079">
      <w:pPr>
        <w:spacing w:after="200" w:lineRule="auto"/>
        <w:jc w:val="both"/>
        <w:rPr/>
      </w:pPr>
      <w:r w:rsidDel="00000000" w:rsidR="00000000" w:rsidRPr="00000000">
        <w:rPr>
          <w:rtl w:val="0"/>
        </w:rPr>
        <w:t xml:space="preserve">For differentiation protocols targeting asymmetric division, direct assessment of mitotic spindle orientation in three-dimensional contexts is essential. Colon organoids seeded in Matrigel recapitulate the organization and properties of tissue architecture, enabling study of how division patterns affect tissue organization .</w:t>
      </w:r>
    </w:p>
    <w:p w:rsidR="00000000" w:rsidDel="00000000" w:rsidP="00000000" w:rsidRDefault="00000000" w:rsidRPr="00000000" w14:paraId="0000007A">
      <w:pPr>
        <w:spacing w:after="200" w:lineRule="auto"/>
        <w:jc w:val="both"/>
        <w:rPr/>
      </w:pPr>
      <w:r w:rsidDel="00000000" w:rsidR="00000000" w:rsidRPr="00000000">
        <w:rPr>
          <w:rtl w:val="0"/>
        </w:rPr>
        <w:t xml:space="preserve">Using 3D time-lapse confocal microscopy combined with DNA and tubulin labeling, researchers have quantified mitotic spindle angles relative to the matrix, classifying divisions as horizontal (0°-30°, associated with symmetric division) or vertical (60°-90°, associated with asymmetric division) . In human colon organoids, 54% of mitoses exhibited horizontal spindle orientation while 34% were vertical, with the remaining 12% showing intermediate angles . This distribution mirrors observations in human colon tissue, validating the organoid model for studying division orientation.</w:t>
      </w:r>
    </w:p>
    <w:p w:rsidR="00000000" w:rsidDel="00000000" w:rsidP="00000000" w:rsidRDefault="00000000" w:rsidRPr="00000000" w14:paraId="0000007B">
      <w:pPr>
        <w:spacing w:after="200" w:lineRule="auto"/>
        <w:jc w:val="both"/>
        <w:rPr/>
      </w:pPr>
      <w:r w:rsidDel="00000000" w:rsidR="00000000" w:rsidRPr="00000000">
        <w:rPr>
          <w:rtl w:val="0"/>
        </w:rPr>
        <w:t xml:space="preserve">Advanced analytical approaches now integrate 4D Digital Volume Correlation (DVC) to quantify matrix displacements resulting from divisions of different orientations. Vertical division causes predominantly uniaxial displacement of the matrix, while horizontal division involves multiaxial and wider displacement . These biophysical consequences may feedback on neighboring cell behavior and tissue organization, providing mechanistic insights into how division orientation influences differentiation outcomes.</w:t>
      </w:r>
    </w:p>
    <w:p w:rsidR="00000000" w:rsidDel="00000000" w:rsidP="00000000" w:rsidRDefault="00000000" w:rsidRPr="00000000" w14:paraId="0000007C">
      <w:pPr>
        <w:pStyle w:val="Heading2"/>
        <w:spacing w:after="200" w:lineRule="auto"/>
        <w:jc w:val="both"/>
        <w:rPr/>
      </w:pPr>
      <w:bookmarkStart w:colFirst="0" w:colLast="0" w:name="_2j4kgewn5kor" w:id="30"/>
      <w:bookmarkEnd w:id="30"/>
      <w:r w:rsidDel="00000000" w:rsidR="00000000" w:rsidRPr="00000000">
        <w:rPr>
          <w:rtl w:val="0"/>
        </w:rPr>
        <w:t xml:space="preserve">Omics Technologies</w:t>
      </w:r>
    </w:p>
    <w:p w:rsidR="00000000" w:rsidDel="00000000" w:rsidP="00000000" w:rsidRDefault="00000000" w:rsidRPr="00000000" w14:paraId="0000007D">
      <w:pPr>
        <w:spacing w:after="200" w:lineRule="auto"/>
        <w:jc w:val="both"/>
        <w:rPr/>
      </w:pPr>
      <w:r w:rsidDel="00000000" w:rsidR="00000000" w:rsidRPr="00000000">
        <w:rPr>
          <w:rtl w:val="0"/>
        </w:rPr>
        <w:t xml:space="preserve">The heterogeneity of differentiated populations and the subtle molecular changes induced by centrosome-targeted manipulations demand unbiased, high-resolution analytical approaches.</w:t>
      </w:r>
    </w:p>
    <w:p w:rsidR="00000000" w:rsidDel="00000000" w:rsidP="00000000" w:rsidRDefault="00000000" w:rsidRPr="00000000" w14:paraId="0000007E">
      <w:pPr>
        <w:spacing w:after="200" w:lineRule="auto"/>
        <w:jc w:val="both"/>
        <w:rPr/>
      </w:pPr>
      <w:r w:rsidDel="00000000" w:rsidR="00000000" w:rsidRPr="00000000">
        <w:rPr>
          <w:rtl w:val="0"/>
        </w:rPr>
        <w:t xml:space="preserve">Single-cell RNA sequencing (scRNA-seq) provides the resolution necessary to assess population heterogeneity and maturation state. For kidney lineage differentiation, scRNA-seq of CEP83-deficient hiPSCs revealed decreased expression of critical intermediate mesoderm genes (PAX8, EYA1, HOXB7) and aberrant induction of lateral plate mesoderm markers (FOXF1, FOXF2, FENDRR, HAND1, HAND2) that would have been masked in bulk analysis . Such resolution is essential for evaluating whether centrosome-targeted manipulations truly enhance specification fidelity.</w:t>
      </w:r>
    </w:p>
    <w:p w:rsidR="00000000" w:rsidDel="00000000" w:rsidP="00000000" w:rsidRDefault="00000000" w:rsidRPr="00000000" w14:paraId="0000007F">
      <w:pPr>
        <w:spacing w:after="200" w:lineRule="auto"/>
        <w:jc w:val="both"/>
        <w:rPr/>
      </w:pPr>
      <w:r w:rsidDel="00000000" w:rsidR="00000000" w:rsidRPr="00000000">
        <w:rPr>
          <w:rtl w:val="0"/>
        </w:rPr>
        <w:t xml:space="preserve">Proteomic analysis of the centrosome itself has emerged as a powerful approach for understanding how differentiation protocols impact the organelle's composition. Spatial centrosome proteomics of human neural cells has uncovered disease-relevant heterogeneity, demonstrating that centrosome protein composition varies across cell types and states . For validation of centriole-targeted differentiation protocols, proximity labeling approaches (e.g., BioID, APEX) coupled with mass spectrometry can quantify changes in the centrosome-associated proteome following manipulation, providing mechanistic insight into how interventions influence CAFD composition.</w:t>
      </w:r>
    </w:p>
    <w:p w:rsidR="00000000" w:rsidDel="00000000" w:rsidP="00000000" w:rsidRDefault="00000000" w:rsidRPr="00000000" w14:paraId="00000080">
      <w:pPr>
        <w:pStyle w:val="Heading2"/>
        <w:spacing w:after="200" w:lineRule="auto"/>
        <w:jc w:val="both"/>
        <w:rPr/>
      </w:pPr>
      <w:bookmarkStart w:colFirst="0" w:colLast="0" w:name="_fjo6ylr4s7pm" w:id="31"/>
      <w:bookmarkEnd w:id="31"/>
      <w:r w:rsidDel="00000000" w:rsidR="00000000" w:rsidRPr="00000000">
        <w:rPr>
          <w:rtl w:val="0"/>
        </w:rPr>
        <w:t xml:space="preserve">Functional Transplantation Tests in Animal Models</w:t>
      </w:r>
    </w:p>
    <w:p w:rsidR="00000000" w:rsidDel="00000000" w:rsidP="00000000" w:rsidRDefault="00000000" w:rsidRPr="00000000" w14:paraId="00000081">
      <w:pPr>
        <w:spacing w:after="200" w:lineRule="auto"/>
        <w:jc w:val="both"/>
        <w:rPr/>
      </w:pPr>
      <w:r w:rsidDel="00000000" w:rsidR="00000000" w:rsidRPr="00000000">
        <w:rPr>
          <w:rtl w:val="0"/>
        </w:rPr>
        <w:t xml:space="preserve">The ultimate validation of differentiation protocols—particularly those intended for therapeutic application—requires demonstration of in vivo functionality following transplantation. For dopaminergic neurons generated through centrosome-optimized protocols, the standard involves transplantation into murine models of Parkinson's disease (PD) established by 6-hydroxydopamine (6-OHDA) lesioning .</w:t>
      </w:r>
    </w:p>
    <w:p w:rsidR="00000000" w:rsidDel="00000000" w:rsidP="00000000" w:rsidRDefault="00000000" w:rsidRPr="00000000" w14:paraId="00000082">
      <w:pPr>
        <w:spacing w:after="200" w:lineRule="auto"/>
        <w:jc w:val="both"/>
        <w:rPr/>
      </w:pPr>
      <w:r w:rsidDel="00000000" w:rsidR="00000000" w:rsidRPr="00000000">
        <w:rPr>
          <w:rtl w:val="0"/>
        </w:rPr>
        <w:t xml:space="preserve">A comprehensive transplantation validation framework includes:</w:t>
      </w:r>
    </w:p>
    <w:p w:rsidR="00000000" w:rsidDel="00000000" w:rsidP="00000000" w:rsidRDefault="00000000" w:rsidRPr="00000000" w14:paraId="00000083">
      <w:pPr>
        <w:spacing w:after="200" w:lineRule="auto"/>
        <w:jc w:val="both"/>
        <w:rPr/>
      </w:pPr>
      <w:r w:rsidDel="00000000" w:rsidR="00000000" w:rsidRPr="00000000">
        <w:rPr>
          <w:b w:val="1"/>
          <w:bCs w:val="1"/>
          <w:rtl w:val="0"/>
        </w:rPr>
        <w:t xml:space="preserve">Engraftment assessment</w:t>
      </w:r>
      <w:r w:rsidDel="00000000" w:rsidR="00000000" w:rsidRPr="00000000">
        <w:rPr>
          <w:rtl w:val="0"/>
        </w:rPr>
        <w:t xml:space="preserve">: Tracking transplanted cells through pre-labeling with reporters (e.g., eGFP, Luc2) enables visualization of cell survival and distribution. Intraportal transplantation studies in large animal models have demonstrated that bioluminescence imaging (IVIS) of excised tissues can reveal successful engraftment one month post-transplantation .</w:t>
      </w:r>
    </w:p>
    <w:p w:rsidR="00000000" w:rsidDel="00000000" w:rsidP="00000000" w:rsidRDefault="00000000" w:rsidRPr="00000000" w14:paraId="00000084">
      <w:pPr>
        <w:spacing w:after="200" w:lineRule="auto"/>
        <w:jc w:val="both"/>
        <w:rPr/>
      </w:pPr>
      <w:r w:rsidDel="00000000" w:rsidR="00000000" w:rsidRPr="00000000">
        <w:rPr>
          <w:b w:val="1"/>
          <w:bCs w:val="1"/>
          <w:rtl w:val="0"/>
        </w:rPr>
        <w:t xml:space="preserve">Behavioral recovery</w:t>
      </w:r>
      <w:r w:rsidDel="00000000" w:rsidR="00000000" w:rsidRPr="00000000">
        <w:rPr>
          <w:rtl w:val="0"/>
        </w:rPr>
        <w:t xml:space="preserve">: The cylinder test, apomorphine-induced rotation, and rotarod performance provide quantitative measures of motor function restoration. For chemogenetically engineered dopaminergic precursors, clozapine-N-oxide (CNO) administration has been shown to significantly modulate motor function, with hM4Di activation reducing contralateral forelimb movement and hM3Dq activation enhancing motor behavior .</w:t>
      </w:r>
    </w:p>
    <w:p w:rsidR="00000000" w:rsidDel="00000000" w:rsidP="00000000" w:rsidRDefault="00000000" w:rsidRPr="00000000" w14:paraId="00000085">
      <w:pPr>
        <w:spacing w:after="200" w:lineRule="auto"/>
        <w:jc w:val="both"/>
        <w:rPr/>
      </w:pPr>
      <w:r w:rsidDel="00000000" w:rsidR="00000000" w:rsidRPr="00000000">
        <w:rPr>
          <w:b w:val="1"/>
          <w:bCs w:val="1"/>
          <w:rtl w:val="0"/>
        </w:rPr>
        <w:t xml:space="preserve">Electrophysiological integration</w:t>
      </w:r>
      <w:r w:rsidDel="00000000" w:rsidR="00000000" w:rsidRPr="00000000">
        <w:rPr>
          <w:rtl w:val="0"/>
        </w:rPr>
        <w:t xml:space="preserve">: Patch-clamp recordings from transplanted cells or host neurons receiving graft-derived input reveal the degree of synaptic integration. hM4Di activation increases interevent intervals and decreases peak amplitudes of spontaneous excitatory postsynaptic currents (sEPSCs), whereas hM3Dq activation produces opposite effects, reflecting enhanced excitatory signaling . Such recordings provide definitive evidence that transplanted cells have functionally integrated into host neural circuits.</w:t>
      </w:r>
    </w:p>
    <w:p w:rsidR="00000000" w:rsidDel="00000000" w:rsidP="00000000" w:rsidRDefault="00000000" w:rsidRPr="00000000" w14:paraId="00000086">
      <w:pPr>
        <w:spacing w:after="200" w:lineRule="auto"/>
        <w:jc w:val="both"/>
        <w:rPr/>
      </w:pPr>
      <w:r w:rsidDel="00000000" w:rsidR="00000000" w:rsidRPr="00000000">
        <w:rPr>
          <w:b w:val="1"/>
          <w:bCs w:val="1"/>
          <w:rtl w:val="0"/>
        </w:rPr>
        <w:t xml:space="preserve">Safety assessment</w:t>
      </w:r>
      <w:r w:rsidDel="00000000" w:rsidR="00000000" w:rsidRPr="00000000">
        <w:rPr>
          <w:rtl w:val="0"/>
        </w:rPr>
        <w:t xml:space="preserve">: Teratoma formation assays and long-term monitoring for graft overgrowth remain essential, particularly for pluripotent stem cell-derived products. The absence of tumor formation in validated differentiation protocols must be documented over extended timeframes (minimum 3-6 months in immunodeficient hosts).</w:t>
      </w:r>
    </w:p>
    <w:p w:rsidR="00000000" w:rsidDel="00000000" w:rsidP="00000000" w:rsidRDefault="00000000" w:rsidRPr="00000000" w14:paraId="00000087">
      <w:pPr>
        <w:pStyle w:val="Heading1"/>
        <w:spacing w:after="200" w:lineRule="auto"/>
        <w:rPr/>
      </w:pPr>
      <w:bookmarkStart w:colFirst="0" w:colLast="0" w:name="_13dwyu749pue" w:id="32"/>
      <w:bookmarkEnd w:id="32"/>
      <w:r w:rsidDel="00000000" w:rsidR="00000000" w:rsidRPr="00000000">
        <w:rPr>
          <w:rtl w:val="0"/>
        </w:rPr>
        <w:t xml:space="preserve">Challenges, Limitations, and Ethical Aspects</w:t>
      </w:r>
    </w:p>
    <w:p w:rsidR="00000000" w:rsidDel="00000000" w:rsidP="00000000" w:rsidRDefault="00000000" w:rsidRPr="00000000" w14:paraId="00000088">
      <w:pPr>
        <w:spacing w:after="200" w:lineRule="auto"/>
        <w:jc w:val="both"/>
        <w:rPr/>
      </w:pPr>
      <w:r w:rsidDel="00000000" w:rsidR="00000000" w:rsidRPr="00000000">
        <w:rPr>
          <w:rtl w:val="0"/>
        </w:rPr>
        <w:t xml:space="preserve">The development of advanced differentiation strategies targeting centriolar structures and cell fate determination systems, while scientifically compelling, confronts substantial challenges spanning technical, biological, regulatory, and ethical domains. A balanced assessment of these limitations is essential for guiding future research and responsible clinical translation.</w:t>
      </w:r>
    </w:p>
    <w:p w:rsidR="00000000" w:rsidDel="00000000" w:rsidP="00000000" w:rsidRDefault="00000000" w:rsidRPr="00000000" w14:paraId="00000089">
      <w:pPr>
        <w:pStyle w:val="Heading2"/>
        <w:spacing w:after="200" w:lineRule="auto"/>
        <w:jc w:val="both"/>
        <w:rPr/>
      </w:pPr>
      <w:bookmarkStart w:colFirst="0" w:colLast="0" w:name="_ckerudq0c3k2" w:id="33"/>
      <w:bookmarkEnd w:id="33"/>
      <w:r w:rsidDel="00000000" w:rsidR="00000000" w:rsidRPr="00000000">
        <w:rPr>
          <w:rtl w:val="0"/>
        </w:rPr>
        <w:t xml:space="preserve">Complexity and Cost</w:t>
      </w:r>
    </w:p>
    <w:p w:rsidR="00000000" w:rsidDel="00000000" w:rsidP="00000000" w:rsidRDefault="00000000" w:rsidRPr="00000000" w14:paraId="0000008A">
      <w:pPr>
        <w:spacing w:after="200" w:lineRule="auto"/>
        <w:jc w:val="both"/>
        <w:rPr/>
      </w:pPr>
      <w:r w:rsidDel="00000000" w:rsidR="00000000" w:rsidRPr="00000000">
        <w:rPr>
          <w:rtl w:val="0"/>
        </w:rPr>
        <w:t xml:space="preserve">The sophisticated methodologies described in preceding sections—CRISPR-mediated genome editing, optogenetic control systems, nanoparticle-based delivery, and bioreactor-integrated physical stimulation—demand specialized expertise and infrastructure that remain concentrated in well-resourced academic and industrial centers. This concentration creates a translational bottleneck, as protocol complexity inversely correlates with reproducibility across laboratories and scalability toward clinical production .</w:t>
      </w:r>
    </w:p>
    <w:p w:rsidR="00000000" w:rsidDel="00000000" w:rsidP="00000000" w:rsidRDefault="00000000" w:rsidRPr="00000000" w14:paraId="0000008B">
      <w:pPr>
        <w:spacing w:after="200" w:lineRule="auto"/>
        <w:jc w:val="both"/>
        <w:rPr/>
      </w:pPr>
      <w:r w:rsidDel="00000000" w:rsidR="00000000" w:rsidRPr="00000000">
        <w:rPr>
          <w:rtl w:val="0"/>
        </w:rPr>
        <w:t xml:space="preserve">The cost implications are equally formidable. Clinical-grade differentiation requires good manufacturing practice (GMP) facilities, extensive quality control testing, and regulatory documentation that substantially elevate development expenses. The high cost of developing and producing stem cell therapies represents a barrier to widespread clinical applications, with current limitations including the ability to produce clinical material in a cost-effective manner . For protocols incorporating centrosome-targeting small molecules such as Centrinone or Alisertib, additional expenses arise from rigorous validation of off-target effects and long-term stability testing. These economic factors risk limiting advanced therapies to high-income healthcare systems, raising concerns about global equity in access to regenerative medicine .</w:t>
      </w:r>
    </w:p>
    <w:p w:rsidR="00000000" w:rsidDel="00000000" w:rsidP="00000000" w:rsidRDefault="00000000" w:rsidRPr="00000000" w14:paraId="0000008C">
      <w:pPr>
        <w:pStyle w:val="Heading2"/>
        <w:spacing w:after="200" w:lineRule="auto"/>
        <w:jc w:val="both"/>
        <w:rPr/>
      </w:pPr>
      <w:bookmarkStart w:colFirst="0" w:colLast="0" w:name="_bnwfpaqf7ye" w:id="34"/>
      <w:bookmarkEnd w:id="34"/>
      <w:r w:rsidDel="00000000" w:rsidR="00000000" w:rsidRPr="00000000">
        <w:rPr>
          <w:rtl w:val="0"/>
        </w:rPr>
        <w:t xml:space="preserve">Safety Validation</w:t>
      </w:r>
    </w:p>
    <w:p w:rsidR="00000000" w:rsidDel="00000000" w:rsidP="00000000" w:rsidRDefault="00000000" w:rsidRPr="00000000" w14:paraId="0000008D">
      <w:pPr>
        <w:spacing w:after="200" w:lineRule="auto"/>
        <w:jc w:val="both"/>
        <w:rPr/>
      </w:pPr>
      <w:r w:rsidDel="00000000" w:rsidR="00000000" w:rsidRPr="00000000">
        <w:rPr>
          <w:rtl w:val="0"/>
        </w:rPr>
        <w:t xml:space="preserve">The safety profile of centriole-directed manipulations remains incompletely characterized, with several distinct risk categories demanding careful consideration.</w:t>
      </w:r>
    </w:p>
    <w:p w:rsidR="00000000" w:rsidDel="00000000" w:rsidP="00000000" w:rsidRDefault="00000000" w:rsidRPr="00000000" w14:paraId="0000008E">
      <w:pPr>
        <w:spacing w:after="200" w:lineRule="auto"/>
        <w:jc w:val="both"/>
        <w:rPr/>
      </w:pPr>
      <w:r w:rsidDel="00000000" w:rsidR="00000000" w:rsidRPr="00000000">
        <w:rPr>
          <w:rtl w:val="0"/>
        </w:rPr>
        <w:t xml:space="preserve">Tumorigenic risk represents the most immediate concern for any pluripotent stem cell-derived product. Even minimal contamination with undifferentiated cells carries teratoma-forming potential . For protocols involving genetic modification of centriolar proteins or pharmacological modulation of the centriole cycle, theoretical oncogenic risks multiply. PLK4, the target of Centrinone priming, is a well-established oncogene; prolonged or incomplete inhibition could theoretically select for resistant clones with aberrant centriole amplification phenotypes associated with aneuploidy and malignant transformation. Similarly, NEK2 overexpression correlates with poor prognosis in multiple cancers, raising concerns that its modulation might inadvertently activate proliferative pathways.</w:t>
      </w:r>
    </w:p>
    <w:p w:rsidR="00000000" w:rsidDel="00000000" w:rsidP="00000000" w:rsidRDefault="00000000" w:rsidRPr="00000000" w14:paraId="0000008F">
      <w:pPr>
        <w:spacing w:after="200" w:lineRule="auto"/>
        <w:jc w:val="both"/>
        <w:rPr/>
      </w:pPr>
      <w:r w:rsidDel="00000000" w:rsidR="00000000" w:rsidRPr="00000000">
        <w:rPr>
          <w:rtl w:val="0"/>
        </w:rPr>
        <w:t xml:space="preserve">Genomic instability arising from CRISPR-based editing necessitates comprehensive screening. Genomic abnormalities can arise during reprogramming or extended expansion, with some mutations involving cancer-associated pathways . Regulatory agencies increasingly require whole-genome sequencing, karyotyping, and off-target editing analyses for gene-edited cell products . For reporter lines created through homology-directed repair, the potential for unintended insertions at off-target sites demands rigorous clonal selection and validation.</w:t>
      </w:r>
    </w:p>
    <w:p w:rsidR="00000000" w:rsidDel="00000000" w:rsidP="00000000" w:rsidRDefault="00000000" w:rsidRPr="00000000" w14:paraId="00000090">
      <w:pPr>
        <w:spacing w:after="200" w:lineRule="auto"/>
        <w:jc w:val="both"/>
        <w:rPr/>
      </w:pPr>
      <w:r w:rsidDel="00000000" w:rsidR="00000000" w:rsidRPr="00000000">
        <w:rPr>
          <w:rtl w:val="0"/>
        </w:rPr>
        <w:t xml:space="preserve">Long-term consequences of centriolar manipulation are unknown. The centrosome participates in multiple cellular processes beyond division—including ciliogenesis, signaling platform assembly, and stress responses—that may manifest only over extended timeframes or under physiological stress in vivo. Preclinical studies in immunodeficient animal models, while essential, imperfectly predict human outcomes, particularly for subtle effects on tissue homeostasis or aging-related degeneration.</w:t>
      </w:r>
    </w:p>
    <w:p w:rsidR="00000000" w:rsidDel="00000000" w:rsidP="00000000" w:rsidRDefault="00000000" w:rsidRPr="00000000" w14:paraId="00000091">
      <w:pPr>
        <w:pStyle w:val="Heading2"/>
        <w:spacing w:after="200" w:lineRule="auto"/>
        <w:jc w:val="both"/>
        <w:rPr/>
      </w:pPr>
      <w:bookmarkStart w:colFirst="0" w:colLast="0" w:name="_2jur2c7q3ibq" w:id="35"/>
      <w:bookmarkEnd w:id="35"/>
      <w:r w:rsidDel="00000000" w:rsidR="00000000" w:rsidRPr="00000000">
        <w:rPr>
          <w:rtl w:val="0"/>
        </w:rPr>
        <w:t xml:space="preserve">Persistent Heterogeneity</w:t>
      </w:r>
    </w:p>
    <w:p w:rsidR="00000000" w:rsidDel="00000000" w:rsidP="00000000" w:rsidRDefault="00000000" w:rsidRPr="00000000" w14:paraId="00000092">
      <w:pPr>
        <w:spacing w:after="200" w:lineRule="auto"/>
        <w:jc w:val="both"/>
        <w:rPr/>
      </w:pPr>
      <w:r w:rsidDel="00000000" w:rsidR="00000000" w:rsidRPr="00000000">
        <w:rPr>
          <w:rtl w:val="0"/>
        </w:rPr>
        <w:t xml:space="preserve">Despite protocol optimization incorporating centriole priming and ciliogenesis enhancement, differentiated populations inevitably retain heterogeneity that complicates both mechanistic interpretation and therapeutic application. Single-cell analyses of stem cell-derived islets reveal deficiencies in lineage specification that persist even in highly enriched populations . For dopaminergic neuron differentiation, the co-generation of non-dopaminergic neurons, glial precursors, and residual neural progenitors remains common, requiring purification strategies that reduce yield and increase cost.</w:t>
      </w:r>
    </w:p>
    <w:p w:rsidR="00000000" w:rsidDel="00000000" w:rsidP="00000000" w:rsidRDefault="00000000" w:rsidRPr="00000000" w14:paraId="00000093">
      <w:pPr>
        <w:spacing w:after="200" w:lineRule="auto"/>
        <w:jc w:val="both"/>
        <w:rPr/>
      </w:pPr>
      <w:r w:rsidDel="00000000" w:rsidR="00000000" w:rsidRPr="00000000">
        <w:rPr>
          <w:rtl w:val="0"/>
        </w:rPr>
        <w:t xml:space="preserve">This heterogeneity stems from multiple sources: stochastic variation in gene expression, asymmetric division outcomes influenced by centriole inheritance patterns, and microenvironmental differences within three-dimensional cultures. Even with fluorescent reporter-based sorting, purified populations may exhibit functional variability related to maturation state or epigenetic configuration. The field increasingly recognizes that "differentiation" is not a binary endpoint but a continuous trajectory, and current protocols often yield cells arrested at fetal rather than adult maturation stages .</w:t>
      </w:r>
    </w:p>
    <w:p w:rsidR="00000000" w:rsidDel="00000000" w:rsidP="00000000" w:rsidRDefault="00000000" w:rsidRPr="00000000" w14:paraId="00000094">
      <w:pPr>
        <w:pStyle w:val="Heading2"/>
        <w:spacing w:after="200" w:lineRule="auto"/>
        <w:jc w:val="both"/>
        <w:rPr/>
      </w:pPr>
      <w:bookmarkStart w:colFirst="0" w:colLast="0" w:name="_caqyrse7wbt2" w:id="36"/>
      <w:bookmarkEnd w:id="36"/>
      <w:r w:rsidDel="00000000" w:rsidR="00000000" w:rsidRPr="00000000">
        <w:rPr>
          <w:rtl w:val="0"/>
        </w:rPr>
        <w:t xml:space="preserve">Scalability Challenges</w:t>
      </w:r>
    </w:p>
    <w:p w:rsidR="00000000" w:rsidDel="00000000" w:rsidP="00000000" w:rsidRDefault="00000000" w:rsidRPr="00000000" w14:paraId="00000095">
      <w:pPr>
        <w:spacing w:after="200" w:lineRule="auto"/>
        <w:jc w:val="both"/>
        <w:rPr/>
      </w:pPr>
      <w:r w:rsidDel="00000000" w:rsidR="00000000" w:rsidRPr="00000000">
        <w:rPr>
          <w:rtl w:val="0"/>
        </w:rPr>
        <w:t xml:space="preserve">The transition from laboratory-scale differentiation (millions of cells in multiwell plates) to clinical-scale production (billions of cells per dose) represents an engineering challenge of formidable proportions. This is particularly acute for centriole-targeted methods that rely on precise temporal control of small molecule addition or physical stimulation. Bioreactor systems must maintain homogeneous distribution of signals while accommodating the shear sensitivity of pluripotent stem cells and their derivatives .</w:t>
      </w:r>
    </w:p>
    <w:p w:rsidR="00000000" w:rsidDel="00000000" w:rsidP="00000000" w:rsidRDefault="00000000" w:rsidRPr="00000000" w14:paraId="00000096">
      <w:pPr>
        <w:spacing w:after="200" w:lineRule="auto"/>
        <w:jc w:val="both"/>
        <w:rPr/>
      </w:pPr>
      <w:r w:rsidDel="00000000" w:rsidR="00000000" w:rsidRPr="00000000">
        <w:rPr>
          <w:rtl w:val="0"/>
        </w:rPr>
        <w:t xml:space="preserve">Microcarrier-based three-dimensional culture systems offer promising scalability solutions, with automated, enclosed bioreactors enabling expansion while maintaining critical quality attributes including genetic stability and differentiation potential . However, the integration of sequential protocol phases—centriole priming, neural induction, ventral specification with ciliogenesis enhancement, maturation under mechanical stimulation—into a unified, closed-system manufacturing process remains technically demanding. Each transition introduces opportunities for deviation, contamination, or loss of product identity.</w:t>
      </w:r>
    </w:p>
    <w:p w:rsidR="00000000" w:rsidDel="00000000" w:rsidP="00000000" w:rsidRDefault="00000000" w:rsidRPr="00000000" w14:paraId="00000097">
      <w:pPr>
        <w:spacing w:after="200" w:lineRule="auto"/>
        <w:jc w:val="both"/>
        <w:rPr/>
      </w:pPr>
      <w:r w:rsidDel="00000000" w:rsidR="00000000" w:rsidRPr="00000000">
        <w:rPr>
          <w:rtl w:val="0"/>
        </w:rPr>
        <w:t xml:space="preserve">For allogeneic therapies, where master cell banks supply multiple patients, scalability is theoretically achievable but requires extensive characterization of clonal lines and validation of differentiation consistency across banks. Autologous approaches, while immunologically advantageous, face prohibitive scalability barriers due to patient-specific manufacturing requirements.</w:t>
      </w:r>
    </w:p>
    <w:p w:rsidR="00000000" w:rsidDel="00000000" w:rsidP="00000000" w:rsidRDefault="00000000" w:rsidRPr="00000000" w14:paraId="00000098">
      <w:pPr>
        <w:pStyle w:val="Heading2"/>
        <w:spacing w:after="200" w:lineRule="auto"/>
        <w:jc w:val="both"/>
        <w:rPr/>
      </w:pPr>
      <w:bookmarkStart w:colFirst="0" w:colLast="0" w:name="_41k2iuawo5dd" w:id="37"/>
      <w:bookmarkEnd w:id="37"/>
      <w:r w:rsidDel="00000000" w:rsidR="00000000" w:rsidRPr="00000000">
        <w:rPr>
          <w:rtl w:val="0"/>
        </w:rPr>
        <w:t xml:space="preserve">Ethical and Regulatory Frameworks</w:t>
      </w:r>
    </w:p>
    <w:p w:rsidR="00000000" w:rsidDel="00000000" w:rsidP="00000000" w:rsidRDefault="00000000" w:rsidRPr="00000000" w14:paraId="00000099">
      <w:pPr>
        <w:spacing w:after="200" w:lineRule="auto"/>
        <w:jc w:val="both"/>
        <w:rPr/>
      </w:pPr>
      <w:r w:rsidDel="00000000" w:rsidR="00000000" w:rsidRPr="00000000">
        <w:rPr>
          <w:rtl w:val="0"/>
        </w:rPr>
        <w:t xml:space="preserve">Manipulations targeting fundamental cellular structures—centrioles, which govern both division orientation and signaling—raise ethical considerations that extend beyond conventional stem cell debate. The principle of non-maleficence obligates researchers and clinicians to thoroughly evaluate risks before translating such interventions . Preclinical testing must assess not only immediate toxicity but also potential for germline effects if modified cells escape confinement—a consideration particularly relevant for iPSC-derived germ cell contamination in differentiation cultures.</w:t>
      </w:r>
    </w:p>
    <w:p w:rsidR="00000000" w:rsidDel="00000000" w:rsidP="00000000" w:rsidRDefault="00000000" w:rsidRPr="00000000" w14:paraId="0000009A">
      <w:pPr>
        <w:spacing w:after="200" w:lineRule="auto"/>
        <w:jc w:val="both"/>
        <w:rPr/>
      </w:pPr>
      <w:r w:rsidDel="00000000" w:rsidR="00000000" w:rsidRPr="00000000">
        <w:rPr>
          <w:rtl w:val="0"/>
        </w:rPr>
        <w:t xml:space="preserve">Informed consent for therapies involving centriole-directed manipulations presents heightened complexity. Patients must understand that these interventions target basic cellular machinery with effects that may extend beyond the intended therapeutic mechanism. The therapeutic misconception—where patients assume experimental interventions are proven effective—remains a persistent challenge . For first-in-human trials of centrosome-targeted differentiation products, consent processes must transparently communicate the novelty and uncertainties inherent in such approaches.</w:t>
      </w:r>
    </w:p>
    <w:p w:rsidR="00000000" w:rsidDel="00000000" w:rsidP="00000000" w:rsidRDefault="00000000" w:rsidRPr="00000000" w14:paraId="0000009B">
      <w:pPr>
        <w:spacing w:after="200" w:lineRule="auto"/>
        <w:jc w:val="both"/>
        <w:rPr/>
      </w:pPr>
      <w:r w:rsidDel="00000000" w:rsidR="00000000" w:rsidRPr="00000000">
        <w:rPr>
          <w:rtl w:val="0"/>
        </w:rPr>
        <w:t xml:space="preserve">Regulatory pathways for advanced cell therapies continue to evolve. The U.S. Food and Drug Administration (FDA) regulates such products as biologics, requiring investigational new drug (IND) applications, clinical trial oversight, and eventual biologics license applications . The Regenerative Medicine Advanced Therapy (RMAT) designation provides expedited development pathways but maintains rigorous evidentiary standards. Japan's conditional approval framework, exemplified by the Stemirac case, illustrates the risks of premature commercialization: therapies granted approval based on limited evidence may later fail confirmatory trials, exposing patients to ineffective or potentially harmful treatments while consuming public resources .</w:t>
      </w:r>
    </w:p>
    <w:p w:rsidR="00000000" w:rsidDel="00000000" w:rsidP="00000000" w:rsidRDefault="00000000" w:rsidRPr="00000000" w14:paraId="0000009C">
      <w:pPr>
        <w:spacing w:after="200" w:lineRule="auto"/>
        <w:jc w:val="both"/>
        <w:rPr/>
      </w:pPr>
      <w:r w:rsidDel="00000000" w:rsidR="00000000" w:rsidRPr="00000000">
        <w:rPr>
          <w:rtl w:val="0"/>
        </w:rPr>
        <w:t xml:space="preserve">Distributive justice concerns are amplified for technologically complex therapies. The high cost of GMP manufacturing, coupled with specialized expertise requirements, risks limiting access to patients in high-income countries, exacerbating global health disparities . The scientific community bears responsibility for developing cost-effective manufacturing strategies and advocating for equitable access frameworks.</w:t>
      </w:r>
    </w:p>
    <w:p w:rsidR="00000000" w:rsidDel="00000000" w:rsidP="00000000" w:rsidRDefault="00000000" w:rsidRPr="00000000" w14:paraId="0000009D">
      <w:pPr>
        <w:spacing w:after="200" w:lineRule="auto"/>
        <w:jc w:val="both"/>
        <w:rPr/>
      </w:pPr>
      <w:r w:rsidDel="00000000" w:rsidR="00000000" w:rsidRPr="00000000">
        <w:rPr>
          <w:rtl w:val="0"/>
        </w:rPr>
        <w:t xml:space="preserve">International guidelines from organizations such as the International Society for Stem Cell Research (ISSCR) provide ethical frameworks emphasizing transparency, rigorous oversight, and primacy of patient welfare . As centriole-targeted approaches advance toward clinical application, adherence to these principles—and their continued refinement to address novel challenges—will be essential for maintaining public trust and ensuring responsible innovation.</w:t>
      </w:r>
    </w:p>
    <w:p w:rsidR="00000000" w:rsidDel="00000000" w:rsidP="00000000" w:rsidRDefault="00000000" w:rsidRPr="00000000" w14:paraId="0000009E">
      <w:pPr>
        <w:pStyle w:val="Heading1"/>
        <w:spacing w:after="200" w:lineRule="auto"/>
        <w:rPr/>
      </w:pPr>
      <w:bookmarkStart w:colFirst="0" w:colLast="0" w:name="_maqb4llpafjw" w:id="38"/>
      <w:bookmarkEnd w:id="38"/>
      <w:r w:rsidDel="00000000" w:rsidR="00000000" w:rsidRPr="00000000">
        <w:rPr>
          <w:rtl w:val="0"/>
        </w:rPr>
        <w:t xml:space="preserve">Conclusions and Future Perspectives</w:t>
      </w:r>
    </w:p>
    <w:p w:rsidR="00000000" w:rsidDel="00000000" w:rsidP="00000000" w:rsidRDefault="00000000" w:rsidRPr="00000000" w14:paraId="0000009F">
      <w:pPr>
        <w:spacing w:after="200" w:lineRule="auto"/>
        <w:jc w:val="both"/>
        <w:rPr/>
      </w:pPr>
      <w:r w:rsidDel="00000000" w:rsidR="00000000" w:rsidRPr="00000000">
        <w:rPr>
          <w:rtl w:val="0"/>
        </w:rPr>
        <w:t xml:space="preserve">The field of directed stem cell differentiation stands at an inflection point. Classical methods—soluble factor modulation, matrix engineering, and coculture systems—have yielded increasingly sophisticated protocols but appear to be approaching a plateau in terms of efficiency, homogeneity, and functional maturation. The persistent challenges of incomplete differentiation, population heterogeneity, and fetal-like maturation states underscore the need for fundamentally new approaches that engage the intracellular machinery governing fate decisions. This review has surveyed an emerging paradigm: the direct targeting of centrioles and associated cell fate determination systems (CAFDs) as a complementary strategy to conventional differentiation cues.</w:t>
      </w:r>
    </w:p>
    <w:p w:rsidR="00000000" w:rsidDel="00000000" w:rsidP="00000000" w:rsidRDefault="00000000" w:rsidRPr="00000000" w14:paraId="000000A0">
      <w:pPr>
        <w:pStyle w:val="Heading2"/>
        <w:spacing w:after="200" w:lineRule="auto"/>
        <w:jc w:val="both"/>
        <w:rPr/>
      </w:pPr>
      <w:bookmarkStart w:colFirst="0" w:colLast="0" w:name="_3bucnjh05cfn" w:id="39"/>
      <w:bookmarkEnd w:id="39"/>
      <w:r w:rsidDel="00000000" w:rsidR="00000000" w:rsidRPr="00000000">
        <w:rPr>
          <w:rtl w:val="0"/>
        </w:rPr>
        <w:t xml:space="preserve">Current State and Emerging Opportunities</w:t>
      </w:r>
    </w:p>
    <w:p w:rsidR="00000000" w:rsidDel="00000000" w:rsidP="00000000" w:rsidRDefault="00000000" w:rsidRPr="00000000" w14:paraId="000000A1">
      <w:pPr>
        <w:spacing w:after="200" w:lineRule="auto"/>
        <w:jc w:val="both"/>
        <w:rPr/>
      </w:pPr>
      <w:r w:rsidDel="00000000" w:rsidR="00000000" w:rsidRPr="00000000">
        <w:rPr>
          <w:rtl w:val="0"/>
        </w:rPr>
        <w:t xml:space="preserve">The integration of centriole-targeted approaches with established differentiation protocols opens new frontiers for enhancing the quality and functionality of stem cell-derived products. Pharmacological modulation of centriolar kinases—PLK4, NEK2, and Aurora A—offers relatively accessible entry points for manipulating the centriole cycle and primary cilia dynamics during critical windows of differentiation. The demonstration that brief PLK4 inhibition can prime cells for subsequent lineage commitment, that NEK2 modulation may influence asymmetric division patterns, and that Aurora A inhibition enhances ciliogenesis and Hedgehog signal transduction provides a mechanistic foundation for protocol optimization.</w:t>
      </w:r>
    </w:p>
    <w:p w:rsidR="00000000" w:rsidDel="00000000" w:rsidP="00000000" w:rsidRDefault="00000000" w:rsidRPr="00000000" w14:paraId="000000A2">
      <w:pPr>
        <w:spacing w:after="200" w:lineRule="auto"/>
        <w:jc w:val="both"/>
        <w:rPr/>
      </w:pPr>
      <w:r w:rsidDel="00000000" w:rsidR="00000000" w:rsidRPr="00000000">
        <w:rPr>
          <w:rtl w:val="0"/>
        </w:rPr>
        <w:t xml:space="preserve">These approaches are not intended to replace classical methods but rather to augment them at specific junctures where centriolar function is most consequential. The integrative protocol presented for dopaminergic neuron differentiation illustrates this philosophy: centriole priming (Phase 0) prepares the cellular apparatus; dual SMAD inhibition (Phase 1) drives neural commitment; SHH/FGF8 with ciliogenesis enhancement (Phase 2) specifies ventral identity; mechanical stimulation (Phase 3) promotes maturation; and optional reporter-based sorting (Phase 4) ensures purity. Such combinatorial strategies acknowledge the multifactorial nature of development while exploiting emerging understanding of centriolar function.</w:t>
      </w:r>
    </w:p>
    <w:p w:rsidR="00000000" w:rsidDel="00000000" w:rsidP="00000000" w:rsidRDefault="00000000" w:rsidRPr="00000000" w14:paraId="000000A3">
      <w:pPr>
        <w:pStyle w:val="Heading2"/>
        <w:spacing w:after="200" w:lineRule="auto"/>
        <w:jc w:val="both"/>
        <w:rPr/>
      </w:pPr>
      <w:bookmarkStart w:colFirst="0" w:colLast="0" w:name="_weoehf7qlkxh" w:id="40"/>
      <w:bookmarkEnd w:id="40"/>
      <w:r w:rsidDel="00000000" w:rsidR="00000000" w:rsidRPr="00000000">
        <w:rPr>
          <w:rtl w:val="0"/>
        </w:rPr>
        <w:t xml:space="preserve">Near-Term Future (5 Years)</w:t>
      </w:r>
    </w:p>
    <w:p w:rsidR="00000000" w:rsidDel="00000000" w:rsidP="00000000" w:rsidRDefault="00000000" w:rsidRPr="00000000" w14:paraId="000000A4">
      <w:pPr>
        <w:spacing w:after="200" w:lineRule="auto"/>
        <w:jc w:val="both"/>
        <w:rPr/>
      </w:pPr>
      <w:r w:rsidDel="00000000" w:rsidR="00000000" w:rsidRPr="00000000">
        <w:rPr>
          <w:rtl w:val="0"/>
        </w:rPr>
        <w:t xml:space="preserve">The next five years will likely witness several tangible advances in translating centriole-targeted concepts into routine laboratory practice.</w:t>
      </w:r>
    </w:p>
    <w:p w:rsidR="00000000" w:rsidDel="00000000" w:rsidP="00000000" w:rsidRDefault="00000000" w:rsidRPr="00000000" w14:paraId="000000A5">
      <w:pPr>
        <w:spacing w:after="200" w:lineRule="auto"/>
        <w:jc w:val="both"/>
        <w:rPr/>
      </w:pPr>
      <w:r w:rsidDel="00000000" w:rsidR="00000000" w:rsidRPr="00000000">
        <w:rPr>
          <w:rtl w:val="0"/>
        </w:rPr>
        <w:t xml:space="preserve">First, the incorporation of pharmacological modulators of centriolar kinases into differentiation protocols will become increasingly common. PLK4 inhibitors such as Centrinone, NEK2 inhibitors, and Aurora A inhibitors including Alisertib will find applications in priming phases, specification windows, and ciliogenesis enhancement steps. The critical requirement will be careful titration to achieve desired effects without triggering compensatory responses or selecting for resistant clones. Protocol repositories will begin to catalog optimized dosing schedules across cell lines and lineages.</w:t>
      </w:r>
    </w:p>
    <w:p w:rsidR="00000000" w:rsidDel="00000000" w:rsidP="00000000" w:rsidRDefault="00000000" w:rsidRPr="00000000" w14:paraId="000000A6">
      <w:pPr>
        <w:spacing w:after="200" w:lineRule="auto"/>
        <w:jc w:val="both"/>
        <w:rPr/>
      </w:pPr>
      <w:r w:rsidDel="00000000" w:rsidR="00000000" w:rsidRPr="00000000">
        <w:rPr>
          <w:rtl w:val="0"/>
        </w:rPr>
        <w:t xml:space="preserve">Second, the development of standardized reporter systems for real-time monitoring of centriolar status and CAFD dynamics during differentiation will accelerate protocol optimization. Fluorescent knock-in reporters for centriolar proteins (e.g., CETN2-eGFP, CEP164-mCherry) enable live tracking of centriole number, position, and inheritance patterns. Reporter lines for CAFD-associated factors including YAP and STAT3, when combined with centriolar markers, will allow visualization of their dynamic recruitment to centrosomes during fate transitions. Such tools will transform our ability to correlate centriolar behavior with differentiation outcomes at single-cell resolution.</w:t>
      </w:r>
    </w:p>
    <w:p w:rsidR="00000000" w:rsidDel="00000000" w:rsidP="00000000" w:rsidRDefault="00000000" w:rsidRPr="00000000" w14:paraId="000000A7">
      <w:pPr>
        <w:spacing w:after="200" w:lineRule="auto"/>
        <w:jc w:val="both"/>
        <w:rPr/>
      </w:pPr>
      <w:r w:rsidDel="00000000" w:rsidR="00000000" w:rsidRPr="00000000">
        <w:rPr>
          <w:rtl w:val="0"/>
        </w:rPr>
        <w:t xml:space="preserve">Third, bioinformatics approaches will be increasingly deployed to predict CAFD composition across lineages and species. The recognition that centrosome protein composition varies in cell type-specific ways [citation:Camargo Ortega &amp; Götz, 2022] implies that differentiation protocols may need to actively remodel the centriolar proteome to achieve mature states. Comparative proteomics of centrosomes from pluripotent stem cells, lineage-committed progenitors, and terminally differentiated cells will identify proteins whose recruitment or exclusion correlates with fate transitions, generating hypotheses for targeted intervention.</w:t>
      </w:r>
    </w:p>
    <w:p w:rsidR="00000000" w:rsidDel="00000000" w:rsidP="00000000" w:rsidRDefault="00000000" w:rsidRPr="00000000" w14:paraId="000000A8">
      <w:pPr>
        <w:pStyle w:val="Heading2"/>
        <w:spacing w:after="200" w:lineRule="auto"/>
        <w:jc w:val="both"/>
        <w:rPr/>
      </w:pPr>
      <w:bookmarkStart w:colFirst="0" w:colLast="0" w:name="_3rk8m5nb7hau" w:id="41"/>
      <w:bookmarkEnd w:id="41"/>
      <w:r w:rsidDel="00000000" w:rsidR="00000000" w:rsidRPr="00000000">
        <w:rPr>
          <w:rtl w:val="0"/>
        </w:rPr>
        <w:t xml:space="preserve">Long-Term Perspective (10+ Years)</w:t>
      </w:r>
    </w:p>
    <w:p w:rsidR="00000000" w:rsidDel="00000000" w:rsidP="00000000" w:rsidRDefault="00000000" w:rsidRPr="00000000" w14:paraId="000000A9">
      <w:pPr>
        <w:spacing w:after="200" w:lineRule="auto"/>
        <w:jc w:val="both"/>
        <w:rPr/>
      </w:pPr>
      <w:r w:rsidDel="00000000" w:rsidR="00000000" w:rsidRPr="00000000">
        <w:rPr>
          <w:rtl w:val="0"/>
        </w:rPr>
        <w:t xml:space="preserve">Looking toward the next decade, several transformative developments can be envisioned that would fundamentally reshape how differentiation protocols are designed and implemented.</w:t>
      </w:r>
    </w:p>
    <w:p w:rsidR="00000000" w:rsidDel="00000000" w:rsidP="00000000" w:rsidRDefault="00000000" w:rsidRPr="00000000" w14:paraId="000000AA">
      <w:pPr>
        <w:spacing w:after="200" w:lineRule="auto"/>
        <w:jc w:val="both"/>
        <w:rPr/>
      </w:pPr>
      <w:r w:rsidDel="00000000" w:rsidR="00000000" w:rsidRPr="00000000">
        <w:rPr>
          <w:rtl w:val="0"/>
        </w:rPr>
        <w:t xml:space="preserve">Digital twins of differentiation processes represent a paradigm shift from trial-and-error optimization to predictive, in silico protocol design. The concept involves pairing each biological differentiation with a continuously updated computational replica that integrates multimodal data—transcriptomics, proteomics, imaging-based morphology, biomechanical cues, and culture conditions—to predict developmental trajectories and identify critical control points [citation:Konkuk University, 2026]. Such digital twin platforms, currently in early development for organoid engineering [citation:Konkuk University, 2026] and stem cell bioprocessing [citation:Skriloff &amp; Tzanakakis, 2025], could incorporate centriolar parameters as explicit state variables. By modeling how centriole number, age, and composition influence asymmetric division outcomes and signaling sensitivity, these systems would enable rational selection of intervention timing and dosing. Machine learning models trained on experimental data, augmented by physically constrained neural ordinary differential equations [citation:Skriloff &amp; Tzanakakis, 2025], could predict optimal windows for PLK4 inhibition or ciliogenesis enhancement with unprecedented accuracy.</w:t>
      </w:r>
    </w:p>
    <w:p w:rsidR="00000000" w:rsidDel="00000000" w:rsidP="00000000" w:rsidRDefault="00000000" w:rsidRPr="00000000" w14:paraId="000000AB">
      <w:pPr>
        <w:spacing w:after="200" w:lineRule="auto"/>
        <w:jc w:val="both"/>
        <w:rPr/>
      </w:pPr>
      <w:r w:rsidDel="00000000" w:rsidR="00000000" w:rsidRPr="00000000">
        <w:rPr>
          <w:rtl w:val="0"/>
        </w:rPr>
        <w:t xml:space="preserve">Clinical translation of centrosome-targeted manipulations for autologous cell therapies will require demonstration of safety and efficacy in relevant animal models followed by carefully designed first-in-human trials. The vision involves harvesting patient somatic cells, reprogramming to pluripotency (if needed), applying differentiation protocols incorporating safe, transient centrosome modulators, and transplanting the resulting functional cells back into the patient. Critical to this vision is the development of modulators that are fully reversible and leave no genomic footprint—small molecules with rapid clearance, modified mRNAs with defined half-lives, or optogenetic systems that can be inactivated before transplantation.</w:t>
      </w:r>
    </w:p>
    <w:p w:rsidR="00000000" w:rsidDel="00000000" w:rsidP="00000000" w:rsidRDefault="00000000" w:rsidRPr="00000000" w14:paraId="000000AC">
      <w:pPr>
        <w:spacing w:after="200" w:lineRule="auto"/>
        <w:jc w:val="both"/>
        <w:rPr/>
      </w:pPr>
      <w:r w:rsidDel="00000000" w:rsidR="00000000" w:rsidRPr="00000000">
        <w:rPr>
          <w:rtl w:val="0"/>
        </w:rPr>
        <w:t xml:space="preserve">Personalized protocol selection based on patient-specific centrosome characteristics represents the ultimate extension of precision medicine to directed differentiation. Just as tumor molecular profiling guides oncology treatment selection, proteomic analysis of a patient's stem cell centrosomes could inform the choice and dosing of centriolar modulators. Patients whose cells exhibit shorter centrioles or altered distal appendage composition might benefit from extended ciliogenesis enhancement windows; those with biased mother-daughter inheritance patterns might receive NEK2 modulators to influence asymmetric division outcomes. Such personalized protocols acknowledge the substantial inter-individual variation in centrosome structure and function, much of which remains unexplored.</w:t>
      </w:r>
    </w:p>
    <w:p w:rsidR="00000000" w:rsidDel="00000000" w:rsidP="00000000" w:rsidRDefault="00000000" w:rsidRPr="00000000" w14:paraId="000000AD">
      <w:pPr>
        <w:pStyle w:val="Heading2"/>
        <w:spacing w:after="200" w:lineRule="auto"/>
        <w:jc w:val="both"/>
        <w:rPr/>
      </w:pPr>
      <w:bookmarkStart w:colFirst="0" w:colLast="0" w:name="_mov35tk1xku4" w:id="42"/>
      <w:bookmarkEnd w:id="42"/>
      <w:r w:rsidDel="00000000" w:rsidR="00000000" w:rsidRPr="00000000">
        <w:rPr>
          <w:rtl w:val="0"/>
        </w:rPr>
        <w:t xml:space="preserve">Concluding Thesis</w:t>
      </w:r>
    </w:p>
    <w:p w:rsidR="00000000" w:rsidDel="00000000" w:rsidP="00000000" w:rsidRDefault="00000000" w:rsidRPr="00000000" w14:paraId="000000AE">
      <w:pPr>
        <w:spacing w:after="200" w:lineRule="auto"/>
        <w:jc w:val="both"/>
        <w:rPr/>
      </w:pPr>
      <w:r w:rsidDel="00000000" w:rsidR="00000000" w:rsidRPr="00000000">
        <w:rPr>
          <w:rtl w:val="0"/>
        </w:rPr>
        <w:t xml:space="preserve">The centriole is undergoing a fundamental conceptual transition: from a static, "untouchable" organelle whose primary function is microtubule organization, to a dynamic and manipulable target for biotechnological engineering of cell fate. This reimagining draws strength from convergent advances in basic centrosome biology, stem cell research, and bioengineering. The demonstration that centrosomes actively resist mechanical fracture [citation:Schmitt et al., 2025], that their protein composition varies across cell types [citation:Camargo Ortega &amp; Götz, 2022], and that their inheritance patterns influence stem cell maintenance and differentiation [citation:Yamashita et al., 2007; Wang et al., 2009] collectively establish the organelle as a legitimate and promising intervention point.</w:t>
      </w:r>
    </w:p>
    <w:p w:rsidR="00000000" w:rsidDel="00000000" w:rsidP="00000000" w:rsidRDefault="00000000" w:rsidRPr="00000000" w14:paraId="000000AF">
      <w:pPr>
        <w:spacing w:after="200" w:lineRule="auto"/>
        <w:jc w:val="both"/>
        <w:rPr/>
      </w:pPr>
      <w:r w:rsidDel="00000000" w:rsidR="00000000" w:rsidRPr="00000000">
        <w:rPr>
          <w:rtl w:val="0"/>
        </w:rPr>
        <w:t xml:space="preserve">Ex vivo manipulation strategies targeting centrioles represent the next logical step in the evolution of regenerative medicine. By engaging the intracellular machinery that executes fate decisions—rather than merely supplying extracellular signals and hoping cells interpret them correctly—these approaches promise to move the field beyond generating "cells that resemble the desired type" toward creating truly functional, mature, and safe transplantable products. The challenges are substantial: validating long-term safety, scaling to clinical production, and navigating ethical and regulatory frameworks. Yet the potential rewards—cell therapies that more faithfully recapitulate native tissue function and durably restore organ function—justify the investment.</w:t>
      </w:r>
    </w:p>
    <w:p w:rsidR="00000000" w:rsidDel="00000000" w:rsidP="00000000" w:rsidRDefault="00000000" w:rsidRPr="00000000" w14:paraId="000000B0">
      <w:pPr>
        <w:spacing w:after="200" w:lineRule="auto"/>
        <w:jc w:val="both"/>
        <w:rPr/>
      </w:pPr>
      <w:r w:rsidDel="00000000" w:rsidR="00000000" w:rsidRPr="00000000">
        <w:rPr>
          <w:rtl w:val="0"/>
        </w:rPr>
        <w:t xml:space="preserve">The integration of centriole-targeted methods with classical differentiation strategies, guided by predictive digital twin models and enabled by advanced imaging and omics technologies, will define the coming era of stem cell engineering. In this future, the centrosome is no longer a black box at the cell's center but a known and controllable variable in the equation of directed differentiation.</w:t>
      </w:r>
    </w:p>
    <w:p w:rsidR="00000000" w:rsidDel="00000000" w:rsidP="00000000" w:rsidRDefault="00000000" w:rsidRPr="00000000" w14:paraId="000000B1">
      <w:pPr>
        <w:pStyle w:val="Heading1"/>
        <w:spacing w:after="200" w:lineRule="auto"/>
        <w:rPr/>
      </w:pPr>
      <w:bookmarkStart w:colFirst="0" w:colLast="0" w:name="_9rkn17p2ultl" w:id="43"/>
      <w:bookmarkEnd w:id="43"/>
      <w:r w:rsidDel="00000000" w:rsidR="00000000" w:rsidRPr="00000000">
        <w:rPr>
          <w:rtl w:val="0"/>
        </w:rPr>
        <w:t xml:space="preserve">References</w:t>
      </w:r>
    </w:p>
    <w:p w:rsidR="00000000" w:rsidDel="00000000" w:rsidP="00000000" w:rsidRDefault="00000000" w:rsidRPr="00000000" w14:paraId="000000B2">
      <w:pPr>
        <w:spacing w:after="200" w:lineRule="auto"/>
        <w:jc w:val="both"/>
        <w:rPr>
          <w:sz w:val="18"/>
          <w:szCs w:val="18"/>
        </w:rPr>
      </w:pPr>
      <w:r w:rsidDel="00000000" w:rsidR="00000000" w:rsidRPr="00000000">
        <w:rPr>
          <w:sz w:val="18"/>
          <w:szCs w:val="18"/>
          <w:rtl w:val="0"/>
        </w:rPr>
        <w:t xml:space="preserve">An, Y. H., Choi, Y. H., Kim, H., Kim, S. H., Lee, E., Hwang, N. S., &amp; Koh, R. H. (2016). High throughput approaches for controlled stem cell differentiation. Acta Biomaterialia, 34, 21–29.</w:t>
      </w:r>
    </w:p>
    <w:p w:rsidR="00000000" w:rsidDel="00000000" w:rsidP="00000000" w:rsidRDefault="00000000" w:rsidRPr="00000000" w14:paraId="000000B3">
      <w:pPr>
        <w:spacing w:after="200" w:lineRule="auto"/>
        <w:jc w:val="both"/>
        <w:rPr>
          <w:sz w:val="18"/>
          <w:szCs w:val="18"/>
        </w:rPr>
      </w:pPr>
      <w:r w:rsidDel="00000000" w:rsidR="00000000" w:rsidRPr="00000000">
        <w:rPr>
          <w:sz w:val="18"/>
          <w:szCs w:val="18"/>
          <w:rtl w:val="0"/>
        </w:rPr>
        <w:t xml:space="preserve">Axon Medchem. (n.d.). Stem Cell LSB inhibitor Set (Axon 5004). Retrieved from https://www.axonmedchem.com/5004</w:t>
      </w:r>
    </w:p>
    <w:p w:rsidR="00000000" w:rsidDel="00000000" w:rsidP="00000000" w:rsidRDefault="00000000" w:rsidRPr="00000000" w14:paraId="000000B4">
      <w:pPr>
        <w:spacing w:after="200" w:lineRule="auto"/>
        <w:jc w:val="both"/>
        <w:rPr>
          <w:sz w:val="18"/>
          <w:szCs w:val="18"/>
        </w:rPr>
      </w:pPr>
      <w:r w:rsidDel="00000000" w:rsidR="00000000" w:rsidRPr="00000000">
        <w:rPr>
          <w:sz w:val="18"/>
          <w:szCs w:val="18"/>
          <w:rtl w:val="0"/>
        </w:rPr>
        <w:t xml:space="preserve">Bruschi, M., Vanzolini, T., Sahu, N., Balduini, A., Magnani, M., &amp; Fraternale, A. (2022). Engineering the hematopoietic stem cell niche for blood cell production. Frontiers in Bioengineering and Biotechnology, 10, 1012145.</w:t>
      </w:r>
    </w:p>
    <w:p w:rsidR="00000000" w:rsidDel="00000000" w:rsidP="00000000" w:rsidRDefault="00000000" w:rsidRPr="00000000" w14:paraId="000000B5">
      <w:pPr>
        <w:spacing w:after="200" w:lineRule="auto"/>
        <w:jc w:val="both"/>
        <w:rPr>
          <w:sz w:val="18"/>
          <w:szCs w:val="18"/>
        </w:rPr>
      </w:pPr>
      <w:r w:rsidDel="00000000" w:rsidR="00000000" w:rsidRPr="00000000">
        <w:rPr>
          <w:sz w:val="18"/>
          <w:szCs w:val="18"/>
          <w:rtl w:val="0"/>
        </w:rPr>
        <w:t xml:space="preserve">Buta, C., David, R., Dressel, R., Emgård, M., Fuchs, C., Gross, U., … &amp; Martin, U. (2013). Reconsidering pluripotency tests: Do we still need teratoma assays? Stem Cell Research, 11(1), 552–562.</w:t>
      </w:r>
    </w:p>
    <w:p w:rsidR="00000000" w:rsidDel="00000000" w:rsidP="00000000" w:rsidRDefault="00000000" w:rsidRPr="00000000" w14:paraId="000000B6">
      <w:pPr>
        <w:spacing w:after="200" w:lineRule="auto"/>
        <w:jc w:val="both"/>
        <w:rPr>
          <w:sz w:val="18"/>
          <w:szCs w:val="18"/>
        </w:rPr>
      </w:pPr>
      <w:r w:rsidDel="00000000" w:rsidR="00000000" w:rsidRPr="00000000">
        <w:rPr>
          <w:sz w:val="18"/>
          <w:szCs w:val="18"/>
          <w:rtl w:val="0"/>
        </w:rPr>
        <w:t xml:space="preserve">Camargo Ortega, G., &amp; Götz, M. (2022). Centrosome heterogeneity in stem cells regulates cell diversity. Trends in Cell Biology, 32(8), 707–719.</w:t>
      </w:r>
    </w:p>
    <w:p w:rsidR="00000000" w:rsidDel="00000000" w:rsidP="00000000" w:rsidRDefault="00000000" w:rsidRPr="00000000" w14:paraId="000000B7">
      <w:pPr>
        <w:spacing w:after="200" w:lineRule="auto"/>
        <w:jc w:val="both"/>
        <w:rPr>
          <w:sz w:val="18"/>
          <w:szCs w:val="18"/>
        </w:rPr>
      </w:pPr>
      <w:r w:rsidDel="00000000" w:rsidR="00000000" w:rsidRPr="00000000">
        <w:rPr>
          <w:sz w:val="18"/>
          <w:szCs w:val="18"/>
          <w:rtl w:val="0"/>
        </w:rPr>
        <w:t xml:space="preserve">Camargo Ortega, G., &amp; Götz, M. (2022). Centrosome heterogeneity in stem cells regulates cell diversity. Trends in Cell Biology, 32(8), 707–719. </w:t>
      </w:r>
    </w:p>
    <w:p w:rsidR="00000000" w:rsidDel="00000000" w:rsidP="00000000" w:rsidRDefault="00000000" w:rsidRPr="00000000" w14:paraId="000000B8">
      <w:pPr>
        <w:spacing w:after="200" w:lineRule="auto"/>
        <w:jc w:val="both"/>
        <w:rPr>
          <w:sz w:val="18"/>
          <w:szCs w:val="18"/>
        </w:rPr>
      </w:pPr>
      <w:r w:rsidDel="00000000" w:rsidR="00000000" w:rsidRPr="00000000">
        <w:rPr>
          <w:sz w:val="18"/>
          <w:szCs w:val="18"/>
          <w:rtl w:val="0"/>
        </w:rPr>
        <w:t xml:space="preserve">Cetin, B., Erendor, F., Eksi, Y. E., Sanlioglu, A. D., &amp; Sanlioglu, S. (2025). Advancing CRISPR genome editing into gene therapy clinical trials: Progress and future prospects. Expert Reviews in Molecular Medicine, 27, e12.</w:t>
      </w:r>
    </w:p>
    <w:p w:rsidR="00000000" w:rsidDel="00000000" w:rsidP="00000000" w:rsidRDefault="00000000" w:rsidRPr="00000000" w14:paraId="000000B9">
      <w:pPr>
        <w:spacing w:after="200" w:lineRule="auto"/>
        <w:jc w:val="both"/>
        <w:rPr>
          <w:sz w:val="18"/>
          <w:szCs w:val="18"/>
        </w:rPr>
      </w:pPr>
      <w:r w:rsidDel="00000000" w:rsidR="00000000" w:rsidRPr="00000000">
        <w:rPr>
          <w:sz w:val="18"/>
          <w:szCs w:val="18"/>
          <w:rtl w:val="0"/>
        </w:rPr>
        <w:t xml:space="preserve">de Almeida Magalhães, T., Veiga Cruzeiro, G. A., Borges, K. S., Yulu, C. L., de Souza, G. R., da Silva, K. R., ... &amp; Tone, L. G. (2020). Alisertib acts synergistically with sonidegib by modulating primary cilia assembly in a pediatric RELA ependymoma cell line. Cancer Research, 80(14 Supplement), A30.</w:t>
      </w:r>
    </w:p>
    <w:p w:rsidR="00000000" w:rsidDel="00000000" w:rsidP="00000000" w:rsidRDefault="00000000" w:rsidRPr="00000000" w14:paraId="000000BA">
      <w:pPr>
        <w:spacing w:after="200" w:lineRule="auto"/>
        <w:jc w:val="both"/>
        <w:rPr>
          <w:sz w:val="18"/>
          <w:szCs w:val="18"/>
        </w:rPr>
      </w:pPr>
      <w:r w:rsidDel="00000000" w:rsidR="00000000" w:rsidRPr="00000000">
        <w:rPr>
          <w:sz w:val="18"/>
          <w:szCs w:val="18"/>
          <w:rtl w:val="0"/>
        </w:rPr>
        <w:t xml:space="preserve">de Almeida Magalhães, T., Veiga Cruzeiro, G. A., Borges, K. S., Yulu, C. L., de Souza, G. R., da Silva, K. R., Scridelli, C. A., Salic, A., &amp; Tone, L. G. (2020). Alisertib acts synergistically with sonidegib by modulating primary cilia assembly in a pediatric RELA ependymoma cell line. Cancer Research, 80(14 Supplement), A30.</w:t>
      </w:r>
    </w:p>
    <w:p w:rsidR="00000000" w:rsidDel="00000000" w:rsidP="00000000" w:rsidRDefault="00000000" w:rsidRPr="00000000" w14:paraId="000000BB">
      <w:pPr>
        <w:spacing w:after="200" w:lineRule="auto"/>
        <w:jc w:val="both"/>
        <w:rPr>
          <w:sz w:val="18"/>
          <w:szCs w:val="18"/>
        </w:rPr>
      </w:pPr>
      <w:r w:rsidDel="00000000" w:rsidR="00000000" w:rsidRPr="00000000">
        <w:rPr>
          <w:sz w:val="18"/>
          <w:szCs w:val="18"/>
          <w:rtl w:val="0"/>
        </w:rPr>
        <w:t xml:space="preserve">Della Rocca, Y., et al. (2025). Stem cells in regenerative medicine: A journey from adult stem cells to induced pluripotent cells. International Journal of Molecular Sciences, 26(17), 8255.</w:t>
      </w:r>
    </w:p>
    <w:p w:rsidR="00000000" w:rsidDel="00000000" w:rsidP="00000000" w:rsidRDefault="00000000" w:rsidRPr="00000000" w14:paraId="000000BC">
      <w:pPr>
        <w:spacing w:after="200" w:lineRule="auto"/>
        <w:jc w:val="both"/>
        <w:rPr>
          <w:sz w:val="18"/>
          <w:szCs w:val="18"/>
        </w:rPr>
      </w:pPr>
      <w:r w:rsidDel="00000000" w:rsidR="00000000" w:rsidRPr="00000000">
        <w:rPr>
          <w:sz w:val="18"/>
          <w:szCs w:val="18"/>
          <w:rtl w:val="0"/>
        </w:rPr>
        <w:t xml:space="preserve">Dhaiban, S., et al. (2025). Clinical translation of human iPSC technologies: advances, safety concerns, and future directions. Frontiers in Cell and Developmental Biology, 13, 1627149. </w:t>
      </w:r>
    </w:p>
    <w:p w:rsidR="00000000" w:rsidDel="00000000" w:rsidP="00000000" w:rsidRDefault="00000000" w:rsidRPr="00000000" w14:paraId="000000BD">
      <w:pPr>
        <w:spacing w:after="200" w:lineRule="auto"/>
        <w:jc w:val="both"/>
        <w:rPr>
          <w:sz w:val="18"/>
          <w:szCs w:val="18"/>
        </w:rPr>
      </w:pPr>
      <w:r w:rsidDel="00000000" w:rsidR="00000000" w:rsidRPr="00000000">
        <w:rPr>
          <w:sz w:val="18"/>
          <w:szCs w:val="18"/>
          <w:rtl w:val="0"/>
        </w:rPr>
        <w:t xml:space="preserve">Duan, L., Che, D., Zhang, K., Ong, Q., Guo, S., &amp; Cui, B. (2015). Optogenetic control of molecular motors and organelle distributions in cells. Chemistry &amp; Biology, 22(5), 671–682.</w:t>
      </w:r>
    </w:p>
    <w:p w:rsidR="00000000" w:rsidDel="00000000" w:rsidP="00000000" w:rsidRDefault="00000000" w:rsidRPr="00000000" w14:paraId="000000BE">
      <w:pPr>
        <w:spacing w:after="200" w:lineRule="auto"/>
        <w:jc w:val="both"/>
        <w:rPr>
          <w:sz w:val="18"/>
          <w:szCs w:val="18"/>
        </w:rPr>
      </w:pPr>
      <w:r w:rsidDel="00000000" w:rsidR="00000000" w:rsidRPr="00000000">
        <w:rPr>
          <w:sz w:val="18"/>
          <w:szCs w:val="18"/>
          <w:rtl w:val="0"/>
        </w:rPr>
        <w:t xml:space="preserve">Duclos, M., Prigent, C., Le Borgne, R., &amp; Guen, V. J. (2021). Immunofluorescence staining and light sheet microscopy analysis of primary cilia in mouse mammary organoids. Journal of Visualized Experiments, (170), e62365. </w:t>
      </w:r>
    </w:p>
    <w:p w:rsidR="00000000" w:rsidDel="00000000" w:rsidP="00000000" w:rsidRDefault="00000000" w:rsidRPr="00000000" w14:paraId="000000BF">
      <w:pPr>
        <w:spacing w:after="200" w:lineRule="auto"/>
        <w:jc w:val="both"/>
        <w:rPr>
          <w:sz w:val="18"/>
          <w:szCs w:val="18"/>
        </w:rPr>
      </w:pPr>
      <w:r w:rsidDel="00000000" w:rsidR="00000000" w:rsidRPr="00000000">
        <w:rPr>
          <w:sz w:val="18"/>
          <w:szCs w:val="18"/>
          <w:rtl w:val="0"/>
        </w:rPr>
        <w:t xml:space="preserve">Elder, N., Fabbri, A., Snijders, A. P., &amp; Wernig, M. (2022). Diseased, differentiated and difficult: Strategies for improved engineering of in vitro neurological systems. Frontiers in Cellular Neuroscience, 16, 962103.</w:t>
      </w:r>
    </w:p>
    <w:p w:rsidR="00000000" w:rsidDel="00000000" w:rsidP="00000000" w:rsidRDefault="00000000" w:rsidRPr="00000000" w14:paraId="000000C0">
      <w:pPr>
        <w:spacing w:after="200" w:lineRule="auto"/>
        <w:jc w:val="both"/>
        <w:rPr>
          <w:sz w:val="18"/>
          <w:szCs w:val="18"/>
        </w:rPr>
      </w:pPr>
      <w:r w:rsidDel="00000000" w:rsidR="00000000" w:rsidRPr="00000000">
        <w:rPr>
          <w:sz w:val="18"/>
          <w:szCs w:val="18"/>
          <w:rtl w:val="0"/>
        </w:rPr>
        <w:t xml:space="preserve">Engel, M., Do-Ha, D., Muñoz, S. S., &amp; Ooi, L. (2016). Common pitfalls of stem cell differentiation: A guide to improving protocols for neurodegenerative disease models and research. Cellular and Molecular Life Sciences, 73(19), 3693–3709.</w:t>
      </w:r>
    </w:p>
    <w:p w:rsidR="00000000" w:rsidDel="00000000" w:rsidP="00000000" w:rsidRDefault="00000000" w:rsidRPr="00000000" w14:paraId="000000C1">
      <w:pPr>
        <w:spacing w:after="200" w:lineRule="auto"/>
        <w:jc w:val="both"/>
        <w:rPr>
          <w:sz w:val="18"/>
          <w:szCs w:val="18"/>
        </w:rPr>
      </w:pPr>
      <w:r w:rsidDel="00000000" w:rsidR="00000000" w:rsidRPr="00000000">
        <w:rPr>
          <w:sz w:val="18"/>
          <w:szCs w:val="18"/>
          <w:rtl w:val="0"/>
        </w:rPr>
        <w:t xml:space="preserve">Ferrai, C., &amp; Schulte, C. (2024). Mechanotransduction in stem cells. European Journal of Cell Biology, 103(2), 151417.</w:t>
      </w:r>
    </w:p>
    <w:p w:rsidR="00000000" w:rsidDel="00000000" w:rsidP="00000000" w:rsidRDefault="00000000" w:rsidRPr="00000000" w14:paraId="000000C2">
      <w:pPr>
        <w:spacing w:after="200" w:lineRule="auto"/>
        <w:jc w:val="both"/>
        <w:rPr>
          <w:sz w:val="18"/>
          <w:szCs w:val="18"/>
        </w:rPr>
      </w:pPr>
      <w:r w:rsidDel="00000000" w:rsidR="00000000" w:rsidRPr="00000000">
        <w:rPr>
          <w:sz w:val="18"/>
          <w:szCs w:val="18"/>
          <w:rtl w:val="0"/>
        </w:rPr>
        <w:t xml:space="preserve">Fong, C. Y., Gauthaman, K., &amp; Bongso, A. (2025). Culturing potential: Advances in ex vivo cell culture systems for haematopoietic cell-based regenerative therapies. Regenerative Therapy, 28, 107–118.</w:t>
      </w:r>
    </w:p>
    <w:p w:rsidR="00000000" w:rsidDel="00000000" w:rsidP="00000000" w:rsidRDefault="00000000" w:rsidRPr="00000000" w14:paraId="000000C3">
      <w:pPr>
        <w:spacing w:after="200" w:lineRule="auto"/>
        <w:jc w:val="both"/>
        <w:rPr>
          <w:sz w:val="18"/>
          <w:szCs w:val="18"/>
        </w:rPr>
      </w:pPr>
      <w:r w:rsidDel="00000000" w:rsidR="00000000" w:rsidRPr="00000000">
        <w:rPr>
          <w:sz w:val="18"/>
          <w:szCs w:val="18"/>
          <w:rtl w:val="0"/>
        </w:rPr>
        <w:t xml:space="preserve">Hayashi, Y., &amp; Nakade, K. (2024). Generation of reporter human pluripotent stem cells using CRISPR/Cas9 editing. Methods in Molecular Biology, 210, 85–92.</w:t>
      </w:r>
    </w:p>
    <w:p w:rsidR="00000000" w:rsidDel="00000000" w:rsidP="00000000" w:rsidRDefault="00000000" w:rsidRPr="00000000" w14:paraId="000000C4">
      <w:pPr>
        <w:spacing w:after="200" w:lineRule="auto"/>
        <w:jc w:val="both"/>
        <w:rPr>
          <w:sz w:val="18"/>
          <w:szCs w:val="18"/>
        </w:rPr>
      </w:pPr>
      <w:r w:rsidDel="00000000" w:rsidR="00000000" w:rsidRPr="00000000">
        <w:rPr>
          <w:sz w:val="18"/>
          <w:szCs w:val="18"/>
          <w:rtl w:val="0"/>
        </w:rPr>
        <w:t xml:space="preserve">Henise, J. C., Taunton, J., &amp; Shokat, K. M. (2016). Irreversible Nek2 kinase inhibitors with cellular activity. Journal of Medicinal Chemistry, 59(8), 3760–3773.</w:t>
      </w:r>
    </w:p>
    <w:p w:rsidR="00000000" w:rsidDel="00000000" w:rsidP="00000000" w:rsidRDefault="00000000" w:rsidRPr="00000000" w14:paraId="000000C5">
      <w:pPr>
        <w:spacing w:after="200" w:lineRule="auto"/>
        <w:jc w:val="both"/>
        <w:rPr>
          <w:sz w:val="18"/>
          <w:szCs w:val="18"/>
        </w:rPr>
      </w:pPr>
      <w:r w:rsidDel="00000000" w:rsidR="00000000" w:rsidRPr="00000000">
        <w:rPr>
          <w:sz w:val="18"/>
          <w:szCs w:val="18"/>
          <w:rtl w:val="0"/>
        </w:rPr>
        <w:t xml:space="preserve">Hu, J., Liang, R., Li, M., Zhang, X., Li, M., Qu, H., &amp; Wang, Z. (2025). Differentiation of human umbilical cord mesenchymal stem cells into functional intestinal epithelial cells via conditioned medium co-culture. Gene, 934, 149008.</w:t>
      </w:r>
    </w:p>
    <w:p w:rsidR="00000000" w:rsidDel="00000000" w:rsidP="00000000" w:rsidRDefault="00000000" w:rsidRPr="00000000" w14:paraId="000000C6">
      <w:pPr>
        <w:spacing w:after="200" w:lineRule="auto"/>
        <w:jc w:val="both"/>
        <w:rPr>
          <w:sz w:val="18"/>
          <w:szCs w:val="18"/>
        </w:rPr>
      </w:pPr>
      <w:r w:rsidDel="00000000" w:rsidR="00000000" w:rsidRPr="00000000">
        <w:rPr>
          <w:sz w:val="18"/>
          <w:szCs w:val="18"/>
          <w:rtl w:val="0"/>
        </w:rPr>
        <w:t xml:space="preserve">Huang, Y., Jia, X., Bai, K., Gong, X., &amp; Fan, Y. (2010). Effect of fluid shear stress on cardiomyogenic differentiation of rat bone marrow mesenchymal stem cells. Archives of Medical Research, 41(7), 497–505. </w:t>
      </w:r>
    </w:p>
    <w:p w:rsidR="00000000" w:rsidDel="00000000" w:rsidP="00000000" w:rsidRDefault="00000000" w:rsidRPr="00000000" w14:paraId="000000C7">
      <w:pPr>
        <w:spacing w:after="200" w:lineRule="auto"/>
        <w:jc w:val="both"/>
        <w:rPr>
          <w:sz w:val="18"/>
          <w:szCs w:val="18"/>
        </w:rPr>
      </w:pPr>
      <w:r w:rsidDel="00000000" w:rsidR="00000000" w:rsidRPr="00000000">
        <w:rPr>
          <w:sz w:val="18"/>
          <w:szCs w:val="18"/>
          <w:rtl w:val="0"/>
        </w:rPr>
        <w:t xml:space="preserve">Ieda, M. (2013). Direct reprogramming into desired cell types by defined factors. Keio Journal of Medicine, 62(3), 74–82.</w:t>
      </w:r>
    </w:p>
    <w:p w:rsidR="00000000" w:rsidDel="00000000" w:rsidP="00000000" w:rsidRDefault="00000000" w:rsidRPr="00000000" w14:paraId="000000C8">
      <w:pPr>
        <w:spacing w:after="200" w:lineRule="auto"/>
        <w:jc w:val="both"/>
        <w:rPr>
          <w:sz w:val="18"/>
          <w:szCs w:val="18"/>
        </w:rPr>
      </w:pPr>
      <w:r w:rsidDel="00000000" w:rsidR="00000000" w:rsidRPr="00000000">
        <w:rPr>
          <w:sz w:val="18"/>
          <w:szCs w:val="18"/>
          <w:rtl w:val="0"/>
        </w:rPr>
        <w:t xml:space="preserve">Ieda, M., Fu, J. D., Delgado-Olguin, P., Vedantham, V., Hayashi, Y., Bruneau, B. G., &amp; Srivastava, D. (2010). Direct reprogramming of fibroblasts into functional cardiomyocytes by defined factors. Cell, 142(3), 375–386.</w:t>
      </w:r>
    </w:p>
    <w:p w:rsidR="00000000" w:rsidDel="00000000" w:rsidP="00000000" w:rsidRDefault="00000000" w:rsidRPr="00000000" w14:paraId="000000C9">
      <w:pPr>
        <w:spacing w:after="200" w:lineRule="auto"/>
        <w:jc w:val="both"/>
        <w:rPr>
          <w:sz w:val="18"/>
          <w:szCs w:val="18"/>
        </w:rPr>
      </w:pPr>
      <w:r w:rsidDel="00000000" w:rsidR="00000000" w:rsidRPr="00000000">
        <w:rPr>
          <w:sz w:val="18"/>
          <w:szCs w:val="18"/>
          <w:rtl w:val="0"/>
        </w:rPr>
        <w:t xml:space="preserve">International Society for Stem Cell Research. (2025). Guidelines for Stem Cell Research and Clinical Translation (Version 1.2). </w:t>
      </w:r>
    </w:p>
    <w:p w:rsidR="00000000" w:rsidDel="00000000" w:rsidP="00000000" w:rsidRDefault="00000000" w:rsidRPr="00000000" w14:paraId="000000CA">
      <w:pPr>
        <w:spacing w:after="200" w:lineRule="auto"/>
        <w:jc w:val="both"/>
        <w:rPr>
          <w:sz w:val="18"/>
          <w:szCs w:val="18"/>
        </w:rPr>
      </w:pPr>
      <w:r w:rsidDel="00000000" w:rsidR="00000000" w:rsidRPr="00000000">
        <w:rPr>
          <w:sz w:val="18"/>
          <w:szCs w:val="18"/>
          <w:rtl w:val="0"/>
        </w:rPr>
        <w:t xml:space="preserve">Ito, H., Takano, C., Yamazaki, A., Kuki, N., Kaga, M., Taiko, I., ... &amp; Miki, T. (2025). Intraportal transplantation of amniotic epithelial stem cells in pigs: in vivo kinetics and functional assessment. Transplantation, 109(10S), S93. </w:t>
      </w:r>
    </w:p>
    <w:p w:rsidR="00000000" w:rsidDel="00000000" w:rsidP="00000000" w:rsidRDefault="00000000" w:rsidRPr="00000000" w14:paraId="000000CB">
      <w:pPr>
        <w:spacing w:after="200" w:lineRule="auto"/>
        <w:jc w:val="both"/>
        <w:rPr>
          <w:sz w:val="18"/>
          <w:szCs w:val="18"/>
        </w:rPr>
      </w:pPr>
      <w:r w:rsidDel="00000000" w:rsidR="00000000" w:rsidRPr="00000000">
        <w:rPr>
          <w:sz w:val="18"/>
          <w:szCs w:val="18"/>
          <w:rtl w:val="0"/>
        </w:rPr>
        <w:t xml:space="preserve">Jaba, T. (2022). Dasatinib and quercetin: short-term simultaneous administration yields senolytic effect in humans. Issues and Developments in Medicine and Medical Research Vol. 2, 22-31.</w:t>
      </w:r>
    </w:p>
    <w:p w:rsidR="00000000" w:rsidDel="00000000" w:rsidP="00000000" w:rsidRDefault="00000000" w:rsidRPr="00000000" w14:paraId="000000CC">
      <w:pPr>
        <w:spacing w:after="200" w:lineRule="auto"/>
        <w:jc w:val="both"/>
        <w:rPr>
          <w:sz w:val="18"/>
          <w:szCs w:val="18"/>
        </w:rPr>
      </w:pPr>
      <w:r w:rsidDel="00000000" w:rsidR="00000000" w:rsidRPr="00000000">
        <w:rPr>
          <w:sz w:val="18"/>
          <w:szCs w:val="18"/>
          <w:rtl w:val="0"/>
        </w:rPr>
        <w:t xml:space="preserve">Januschke, J., Llamazares, S., Reina, J., &amp; Gonzalez, C. (2011). Drosophila neuroblasts retain the daughter centrosome. Nature Communications, 2, 243.</w:t>
      </w:r>
    </w:p>
    <w:p w:rsidR="00000000" w:rsidDel="00000000" w:rsidP="00000000" w:rsidRDefault="00000000" w:rsidRPr="00000000" w14:paraId="000000CD">
      <w:pPr>
        <w:spacing w:after="200" w:lineRule="auto"/>
        <w:jc w:val="both"/>
        <w:rPr>
          <w:sz w:val="18"/>
          <w:szCs w:val="18"/>
        </w:rPr>
      </w:pPr>
      <w:r w:rsidDel="00000000" w:rsidR="00000000" w:rsidRPr="00000000">
        <w:rPr>
          <w:sz w:val="18"/>
          <w:szCs w:val="18"/>
          <w:rtl w:val="0"/>
        </w:rPr>
        <w:t xml:space="preserve">Jinek, M., Chylinski, K., Fonfara, I., Hauer, M., Doudna, J. A., &amp; Charpentier, E. (2012). A programmable dual-RNA-guided DNA endonuclease in adaptive bacterial immunity. Science, 337(6096), 816–821.</w:t>
      </w:r>
    </w:p>
    <w:p w:rsidR="00000000" w:rsidDel="00000000" w:rsidP="00000000" w:rsidRDefault="00000000" w:rsidRPr="00000000" w14:paraId="000000CE">
      <w:pPr>
        <w:spacing w:after="200" w:lineRule="auto"/>
        <w:jc w:val="both"/>
        <w:rPr>
          <w:sz w:val="18"/>
          <w:szCs w:val="18"/>
        </w:rPr>
      </w:pPr>
      <w:r w:rsidDel="00000000" w:rsidR="00000000" w:rsidRPr="00000000">
        <w:rPr>
          <w:sz w:val="18"/>
          <w:szCs w:val="18"/>
          <w:rtl w:val="0"/>
        </w:rPr>
        <w:t xml:space="preserve">Kaitsuka, T., &amp; Hakim, F. (2021). Response of pluripotent stem cells to environmental stress and its application for directed differentiation. Biology, 10(2), 84. </w:t>
      </w:r>
    </w:p>
    <w:p w:rsidR="00000000" w:rsidDel="00000000" w:rsidP="00000000" w:rsidRDefault="00000000" w:rsidRPr="00000000" w14:paraId="000000CF">
      <w:pPr>
        <w:spacing w:after="200" w:lineRule="auto"/>
        <w:jc w:val="both"/>
        <w:rPr>
          <w:sz w:val="18"/>
          <w:szCs w:val="18"/>
        </w:rPr>
      </w:pPr>
      <w:r w:rsidDel="00000000" w:rsidR="00000000" w:rsidRPr="00000000">
        <w:rPr>
          <w:sz w:val="18"/>
          <w:szCs w:val="18"/>
          <w:rtl w:val="0"/>
        </w:rPr>
        <w:t xml:space="preserve">Kandasamy, M., &amp; Ross, A. (2025). Chemogenetic regulation in reprogrammed stem cell-derived precursor cells in treating neurodegenerative diseases. Journal of Visualized Experiments, (68032). </w:t>
      </w:r>
    </w:p>
    <w:p w:rsidR="00000000" w:rsidDel="00000000" w:rsidP="00000000" w:rsidRDefault="00000000" w:rsidRPr="00000000" w14:paraId="000000D0">
      <w:pPr>
        <w:spacing w:after="200" w:lineRule="auto"/>
        <w:jc w:val="both"/>
        <w:rPr>
          <w:sz w:val="18"/>
          <w:szCs w:val="18"/>
        </w:rPr>
      </w:pPr>
      <w:r w:rsidDel="00000000" w:rsidR="00000000" w:rsidRPr="00000000">
        <w:rPr>
          <w:sz w:val="18"/>
          <w:szCs w:val="18"/>
          <w:rtl w:val="0"/>
        </w:rPr>
        <w:t xml:space="preserve">Kawaguchi, H. (2026). Stem cell therapy for spinal cord injury: lessons from Japan's experiment in regulatory deregulation. The Spine Journal, available online 7 January 2026. </w:t>
      </w:r>
    </w:p>
    <w:p w:rsidR="00000000" w:rsidDel="00000000" w:rsidP="00000000" w:rsidRDefault="00000000" w:rsidRPr="00000000" w14:paraId="000000D1">
      <w:pPr>
        <w:spacing w:after="200" w:lineRule="auto"/>
        <w:jc w:val="both"/>
        <w:rPr>
          <w:sz w:val="18"/>
          <w:szCs w:val="18"/>
        </w:rPr>
      </w:pPr>
      <w:r w:rsidDel="00000000" w:rsidR="00000000" w:rsidRPr="00000000">
        <w:rPr>
          <w:sz w:val="18"/>
          <w:szCs w:val="18"/>
          <w:rtl w:val="0"/>
        </w:rPr>
        <w:t xml:space="preserve">Konkuk University. (2026). Digital Twin–Guided Development of Stem Cell Organoids for Disease Modeling and Tissue Repair. Horizon Europe Project Proposal.</w:t>
      </w:r>
    </w:p>
    <w:p w:rsidR="00000000" w:rsidDel="00000000" w:rsidP="00000000" w:rsidRDefault="00000000" w:rsidRPr="00000000" w14:paraId="000000D2">
      <w:pPr>
        <w:spacing w:after="200" w:lineRule="auto"/>
        <w:jc w:val="both"/>
        <w:rPr>
          <w:sz w:val="18"/>
          <w:szCs w:val="18"/>
        </w:rPr>
      </w:pPr>
      <w:r w:rsidDel="00000000" w:rsidR="00000000" w:rsidRPr="00000000">
        <w:rPr>
          <w:sz w:val="18"/>
          <w:szCs w:val="18"/>
          <w:rtl w:val="0"/>
        </w:rPr>
        <w:t xml:space="preserve">Lau, L., Lee, Y. L., Sahl, S. J., Stearns, T., &amp; Moerner, W. E. (2012). STED microscopy with optimized labeling density reveals 9-fold arrangement of a centriole protein. Biophysical Journal, 102(12), 2926–2935. </w:t>
      </w:r>
    </w:p>
    <w:p w:rsidR="00000000" w:rsidDel="00000000" w:rsidP="00000000" w:rsidRDefault="00000000" w:rsidRPr="00000000" w14:paraId="000000D3">
      <w:pPr>
        <w:spacing w:after="200" w:lineRule="auto"/>
        <w:jc w:val="both"/>
        <w:rPr>
          <w:sz w:val="18"/>
          <w:szCs w:val="18"/>
        </w:rPr>
      </w:pPr>
      <w:r w:rsidDel="00000000" w:rsidR="00000000" w:rsidRPr="00000000">
        <w:rPr>
          <w:sz w:val="18"/>
          <w:szCs w:val="18"/>
          <w:rtl w:val="0"/>
        </w:rPr>
        <w:t xml:space="preserve">Limitations of Induced Pluripotent Stem Cells in 2026. (2025). BioInformant. </w:t>
      </w:r>
    </w:p>
    <w:p w:rsidR="00000000" w:rsidDel="00000000" w:rsidP="00000000" w:rsidRDefault="00000000" w:rsidRPr="00000000" w14:paraId="000000D4">
      <w:pPr>
        <w:spacing w:after="200" w:lineRule="auto"/>
        <w:jc w:val="both"/>
        <w:rPr>
          <w:sz w:val="18"/>
          <w:szCs w:val="18"/>
        </w:rPr>
      </w:pPr>
      <w:r w:rsidDel="00000000" w:rsidR="00000000" w:rsidRPr="00000000">
        <w:rPr>
          <w:sz w:val="18"/>
          <w:szCs w:val="18"/>
          <w:rtl w:val="0"/>
        </w:rPr>
        <w:t xml:space="preserve">Lin, Q., et al. (2024). Advances in shear stress stimulation of stem cells: A review of the last three decades. Biomedicines, 12(9), 1982. </w:t>
      </w:r>
    </w:p>
    <w:p w:rsidR="00000000" w:rsidDel="00000000" w:rsidP="00000000" w:rsidRDefault="00000000" w:rsidRPr="00000000" w14:paraId="000000D5">
      <w:pPr>
        <w:spacing w:after="200" w:lineRule="auto"/>
        <w:jc w:val="both"/>
        <w:rPr>
          <w:sz w:val="18"/>
          <w:szCs w:val="18"/>
        </w:rPr>
      </w:pPr>
      <w:r w:rsidDel="00000000" w:rsidR="00000000" w:rsidRPr="00000000">
        <w:rPr>
          <w:sz w:val="18"/>
          <w:szCs w:val="18"/>
          <w:rtl w:val="0"/>
        </w:rPr>
        <w:t xml:space="preserve">Liu, J., Long, H., Zeuschner, D., Räder, A. F. B., Polacheck, W. J., Kessler, H., Sorokin, L., &amp; Trappmann, B. (2021). Synthetic extracellular matrices with tailored adhesiveness and degradability support lumen formation during angiogenic sprouting. Nature Communications, 12(1), 3402.</w:t>
      </w:r>
    </w:p>
    <w:p w:rsidR="00000000" w:rsidDel="00000000" w:rsidP="00000000" w:rsidRDefault="00000000" w:rsidRPr="00000000" w14:paraId="000000D6">
      <w:pPr>
        <w:spacing w:after="200" w:lineRule="auto"/>
        <w:jc w:val="both"/>
        <w:rPr>
          <w:sz w:val="18"/>
          <w:szCs w:val="18"/>
        </w:rPr>
      </w:pPr>
      <w:r w:rsidDel="00000000" w:rsidR="00000000" w:rsidRPr="00000000">
        <w:rPr>
          <w:sz w:val="18"/>
          <w:szCs w:val="18"/>
          <w:rtl w:val="0"/>
        </w:rPr>
        <w:t xml:space="preserve">Magalhães, T. A., Cruzeiro, G. A. V., Borges, K. S., Yulu, C. L., de Souza, G. R., da Silva, K. R., Scridelli, C. A., Salic, A., &amp; Tone, L. G. (2020). Activation of Hedgehog signaling by the oncogenic RELA fusion reveals a primary cilia-dependent vulnerability in supratentorial ependymoma. Neuro-Oncology, 24(8), 1282–1294.</w:t>
      </w:r>
    </w:p>
    <w:p w:rsidR="00000000" w:rsidDel="00000000" w:rsidP="00000000" w:rsidRDefault="00000000" w:rsidRPr="00000000" w14:paraId="000000D7">
      <w:pPr>
        <w:spacing w:after="200" w:lineRule="auto"/>
        <w:jc w:val="both"/>
        <w:rPr>
          <w:sz w:val="18"/>
          <w:szCs w:val="18"/>
        </w:rPr>
      </w:pPr>
      <w:r w:rsidDel="00000000" w:rsidR="00000000" w:rsidRPr="00000000">
        <w:rPr>
          <w:sz w:val="18"/>
          <w:szCs w:val="18"/>
          <w:rtl w:val="0"/>
        </w:rPr>
        <w:t xml:space="preserve">Magne, L., Pottier, T., Michel, D., Laussu, J., Bonnet, D., Bugarin, F., ... &amp; Segonds, S. (2025). Unveiling how mitotic spindle orientation in 3D human colon organoids affects matrix displacements through a 4D study using DVC. Scientific Reports, 15, 22052. </w:t>
      </w:r>
    </w:p>
    <w:p w:rsidR="00000000" w:rsidDel="00000000" w:rsidP="00000000" w:rsidRDefault="00000000" w:rsidRPr="00000000" w14:paraId="000000D8">
      <w:pPr>
        <w:spacing w:after="200" w:lineRule="auto"/>
        <w:jc w:val="both"/>
        <w:rPr>
          <w:sz w:val="18"/>
          <w:szCs w:val="18"/>
        </w:rPr>
      </w:pPr>
      <w:r w:rsidDel="00000000" w:rsidR="00000000" w:rsidRPr="00000000">
        <w:rPr>
          <w:sz w:val="18"/>
          <w:szCs w:val="18"/>
          <w:rtl w:val="0"/>
        </w:rPr>
        <w:t xml:space="preserve">Masip, M., Veiga, A., Izpisúa Belmonte, J. C., &amp; Simón, C. (2010). Reprogramming with defined factors: From induced pluripotency to induced transdifferentiation. Stem Cells and Development, 19(11), 1625–1636.</w:t>
      </w:r>
    </w:p>
    <w:p w:rsidR="00000000" w:rsidDel="00000000" w:rsidP="00000000" w:rsidRDefault="00000000" w:rsidRPr="00000000" w14:paraId="000000D9">
      <w:pPr>
        <w:spacing w:after="200" w:lineRule="auto"/>
        <w:jc w:val="both"/>
        <w:rPr>
          <w:sz w:val="18"/>
          <w:szCs w:val="18"/>
        </w:rPr>
      </w:pPr>
      <w:r w:rsidDel="00000000" w:rsidR="00000000" w:rsidRPr="00000000">
        <w:rPr>
          <w:sz w:val="18"/>
          <w:szCs w:val="18"/>
          <w:rtl w:val="0"/>
        </w:rPr>
        <w:t xml:space="preserve">Maul, T. M., Chew, D. W., Nieponice, A., &amp; Vorp, D. A. (2011). Mechanical stimuli differentially control stem cell behavior: Morphology, proliferation, and differentiation. Biomechanics and Modeling in Mechanobiology, 10(6), 939–953. </w:t>
      </w:r>
    </w:p>
    <w:p w:rsidR="00000000" w:rsidDel="00000000" w:rsidP="00000000" w:rsidRDefault="00000000" w:rsidRPr="00000000" w14:paraId="000000DA">
      <w:pPr>
        <w:spacing w:after="200" w:lineRule="auto"/>
        <w:jc w:val="both"/>
        <w:rPr>
          <w:sz w:val="18"/>
          <w:szCs w:val="18"/>
        </w:rPr>
      </w:pPr>
      <w:r w:rsidDel="00000000" w:rsidR="00000000" w:rsidRPr="00000000">
        <w:rPr>
          <w:sz w:val="18"/>
          <w:szCs w:val="18"/>
          <w:rtl w:val="0"/>
        </w:rPr>
        <w:t xml:space="preserve">McCoy, R. J., &amp; O'Brien, F. J. (2012). Bioreactors to influence stem cell fate: Augmentation of mesenchymal stem cell signaling pathways via dynamic culture systems. Biochimica et Biophysica Acta (BBA)-General Subjects, 1820(2), 132–141. </w:t>
      </w:r>
    </w:p>
    <w:p w:rsidR="00000000" w:rsidDel="00000000" w:rsidP="00000000" w:rsidRDefault="00000000" w:rsidRPr="00000000" w14:paraId="000000DB">
      <w:pPr>
        <w:spacing w:after="200" w:lineRule="auto"/>
        <w:jc w:val="both"/>
        <w:rPr>
          <w:sz w:val="18"/>
          <w:szCs w:val="18"/>
        </w:rPr>
      </w:pPr>
      <w:r w:rsidDel="00000000" w:rsidR="00000000" w:rsidRPr="00000000">
        <w:rPr>
          <w:sz w:val="18"/>
          <w:szCs w:val="18"/>
          <w:rtl w:val="0"/>
        </w:rPr>
        <w:t xml:space="preserve">Morrison, S. J., &amp; Spradling, A. C. (2008). Stem cells and niches: Mechanisms that promote stem cell maintenance throughout life. Cell, 132(4), 598–611.</w:t>
      </w:r>
    </w:p>
    <w:p w:rsidR="00000000" w:rsidDel="00000000" w:rsidP="00000000" w:rsidRDefault="00000000" w:rsidRPr="00000000" w14:paraId="000000DC">
      <w:pPr>
        <w:spacing w:after="200" w:lineRule="auto"/>
        <w:jc w:val="both"/>
        <w:rPr>
          <w:sz w:val="18"/>
          <w:szCs w:val="18"/>
        </w:rPr>
      </w:pPr>
      <w:r w:rsidDel="00000000" w:rsidR="00000000" w:rsidRPr="00000000">
        <w:rPr>
          <w:sz w:val="18"/>
          <w:szCs w:val="18"/>
          <w:rtl w:val="0"/>
        </w:rPr>
        <w:t xml:space="preserve">Müller, F. J., Goldmann, J., Löser, P., &amp; Loring, J. F. (2010). A call to standardize teratoma assays used to define human pluripotent cell lines. Cell Stem Cell, 6(5), 412–414.</w:t>
      </w:r>
    </w:p>
    <w:p w:rsidR="00000000" w:rsidDel="00000000" w:rsidP="00000000" w:rsidRDefault="00000000" w:rsidRPr="00000000" w14:paraId="000000DD">
      <w:pPr>
        <w:spacing w:after="200" w:lineRule="auto"/>
        <w:jc w:val="both"/>
        <w:rPr>
          <w:sz w:val="18"/>
          <w:szCs w:val="18"/>
        </w:rPr>
      </w:pPr>
      <w:r w:rsidDel="00000000" w:rsidR="00000000" w:rsidRPr="00000000">
        <w:rPr>
          <w:sz w:val="18"/>
          <w:szCs w:val="18"/>
          <w:rtl w:val="0"/>
        </w:rPr>
        <w:t xml:space="preserve">Pei, S. L., Chen, Y. T., &amp; Yang, T. T. (2025). The crucial role of centrioles in tooth growth and development. Journal of the Formosan Medical Association, 124(3), 271–277.</w:t>
      </w:r>
    </w:p>
    <w:p w:rsidR="00000000" w:rsidDel="00000000" w:rsidP="00000000" w:rsidRDefault="00000000" w:rsidRPr="00000000" w14:paraId="000000DE">
      <w:pPr>
        <w:spacing w:after="200" w:lineRule="auto"/>
        <w:jc w:val="both"/>
        <w:rPr>
          <w:sz w:val="18"/>
          <w:szCs w:val="18"/>
        </w:rPr>
      </w:pPr>
      <w:r w:rsidDel="00000000" w:rsidR="00000000" w:rsidRPr="00000000">
        <w:rPr>
          <w:sz w:val="18"/>
          <w:szCs w:val="18"/>
          <w:rtl w:val="0"/>
        </w:rPr>
        <w:t xml:space="preserve">Pereira, C. F., Chang, B., Qiu, J., Niu, X., Papatsenko, D., Hendry, C. E., Clark, N. R., Nomura-Kitabayashi, A., Kovacic, J. C., Ma'ayan, A., Schaniel, C., &amp; Lemischka, I. R. (2016). Converting cell fates: Generating hematopoietic stem cells de novo via transcription factor reprogramming. Annals of the New York Academy of Sciences, 1370(1), 24–35.</w:t>
      </w:r>
    </w:p>
    <w:p w:rsidR="00000000" w:rsidDel="00000000" w:rsidP="00000000" w:rsidRDefault="00000000" w:rsidRPr="00000000" w14:paraId="000000DF">
      <w:pPr>
        <w:spacing w:after="200" w:lineRule="auto"/>
        <w:jc w:val="both"/>
        <w:rPr>
          <w:sz w:val="18"/>
          <w:szCs w:val="18"/>
        </w:rPr>
      </w:pPr>
      <w:r w:rsidDel="00000000" w:rsidR="00000000" w:rsidRPr="00000000">
        <w:rPr>
          <w:sz w:val="18"/>
          <w:szCs w:val="18"/>
          <w:rtl w:val="0"/>
        </w:rPr>
        <w:t xml:space="preserve">PLIN2-GFP2-P2A-Puro human induced pluripotent stem cell line (SEUi001-A) via CRISPR/Cas9-mediated gene editing technology. (2025). Stem Cell Research, 90, 103896.</w:t>
      </w:r>
    </w:p>
    <w:p w:rsidR="00000000" w:rsidDel="00000000" w:rsidP="00000000" w:rsidRDefault="00000000" w:rsidRPr="00000000" w14:paraId="000000E0">
      <w:pPr>
        <w:spacing w:after="200" w:lineRule="auto"/>
        <w:jc w:val="both"/>
        <w:rPr>
          <w:sz w:val="18"/>
          <w:szCs w:val="18"/>
        </w:rPr>
      </w:pPr>
      <w:r w:rsidDel="00000000" w:rsidR="00000000" w:rsidRPr="00000000">
        <w:rPr>
          <w:sz w:val="18"/>
          <w:szCs w:val="18"/>
          <w:rtl w:val="0"/>
        </w:rPr>
        <w:t xml:space="preserve">PMC NIH. (2025). Ethical and Regulatory Considerations Related to Regenerative Medicine. HSS Journal, online ahead of print. </w:t>
      </w:r>
    </w:p>
    <w:p w:rsidR="00000000" w:rsidDel="00000000" w:rsidP="00000000" w:rsidRDefault="00000000" w:rsidRPr="00000000" w14:paraId="000000E1">
      <w:pPr>
        <w:spacing w:after="200" w:lineRule="auto"/>
        <w:jc w:val="both"/>
        <w:rPr>
          <w:sz w:val="18"/>
          <w:szCs w:val="18"/>
        </w:rPr>
      </w:pPr>
      <w:r w:rsidDel="00000000" w:rsidR="00000000" w:rsidRPr="00000000">
        <w:rPr>
          <w:sz w:val="18"/>
          <w:szCs w:val="18"/>
          <w:rtl w:val="0"/>
        </w:rPr>
        <w:t xml:space="preserve">R&amp;D Systems. (n.d.). Centrinone (CAS 1798871-30-3). Product Information.</w:t>
      </w:r>
    </w:p>
    <w:p w:rsidR="00000000" w:rsidDel="00000000" w:rsidP="00000000" w:rsidRDefault="00000000" w:rsidRPr="00000000" w14:paraId="000000E2">
      <w:pPr>
        <w:spacing w:after="200" w:lineRule="auto"/>
        <w:jc w:val="both"/>
        <w:rPr>
          <w:sz w:val="18"/>
          <w:szCs w:val="18"/>
        </w:rPr>
      </w:pPr>
      <w:r w:rsidDel="00000000" w:rsidR="00000000" w:rsidRPr="00000000">
        <w:rPr>
          <w:sz w:val="18"/>
          <w:szCs w:val="18"/>
          <w:rtl w:val="0"/>
        </w:rPr>
        <w:t xml:space="preserve">R&amp;D Systems. (n.d.). Centrinone (CAS 1798871-30-3). Retrieved from https://www.rndsystems.com/products/centrinone_5687</w:t>
      </w:r>
    </w:p>
    <w:p w:rsidR="00000000" w:rsidDel="00000000" w:rsidP="00000000" w:rsidRDefault="00000000" w:rsidRPr="00000000" w14:paraId="000000E3">
      <w:pPr>
        <w:spacing w:after="200" w:lineRule="auto"/>
        <w:jc w:val="both"/>
        <w:rPr>
          <w:sz w:val="18"/>
          <w:szCs w:val="18"/>
        </w:rPr>
      </w:pPr>
      <w:r w:rsidDel="00000000" w:rsidR="00000000" w:rsidRPr="00000000">
        <w:rPr>
          <w:sz w:val="18"/>
          <w:szCs w:val="18"/>
          <w:rtl w:val="0"/>
        </w:rPr>
        <w:t xml:space="preserve">Rajaei, B., et al. (2025). Clinically compliant enrichment of human pluripotent stem cell–derived islets. Science Translational Medicine, 17(795), eadl4390. </w:t>
      </w:r>
    </w:p>
    <w:p w:rsidR="00000000" w:rsidDel="00000000" w:rsidP="00000000" w:rsidRDefault="00000000" w:rsidRPr="00000000" w14:paraId="000000E4">
      <w:pPr>
        <w:spacing w:after="200" w:lineRule="auto"/>
        <w:jc w:val="both"/>
        <w:rPr>
          <w:sz w:val="18"/>
          <w:szCs w:val="18"/>
        </w:rPr>
      </w:pPr>
      <w:r w:rsidDel="00000000" w:rsidR="00000000" w:rsidRPr="00000000">
        <w:rPr>
          <w:sz w:val="18"/>
          <w:szCs w:val="18"/>
          <w:rtl w:val="0"/>
        </w:rPr>
        <w:t xml:space="preserve">Razavi, Z., Mirzaei, M., Ghorbani, A., &amp; Alizadeh, A. (2024). CRISPR innovations in tissue engineering and gene editing. Life Sciences, 358, 123120.</w:t>
      </w:r>
    </w:p>
    <w:p w:rsidR="00000000" w:rsidDel="00000000" w:rsidP="00000000" w:rsidRDefault="00000000" w:rsidRPr="00000000" w14:paraId="000000E5">
      <w:pPr>
        <w:spacing w:after="200" w:lineRule="auto"/>
        <w:jc w:val="both"/>
        <w:rPr>
          <w:sz w:val="18"/>
          <w:szCs w:val="18"/>
        </w:rPr>
      </w:pPr>
      <w:r w:rsidDel="00000000" w:rsidR="00000000" w:rsidRPr="00000000">
        <w:rPr>
          <w:sz w:val="18"/>
          <w:szCs w:val="18"/>
          <w:rtl w:val="0"/>
        </w:rPr>
        <w:t xml:space="preserve">RegMedNet. (2025). Navigating the technical landscape of stem cell therapy production. Interview with Alyssa Clearwood, Sartorius. </w:t>
      </w:r>
    </w:p>
    <w:p w:rsidR="00000000" w:rsidDel="00000000" w:rsidP="00000000" w:rsidRDefault="00000000" w:rsidRPr="00000000" w14:paraId="000000E6">
      <w:pPr>
        <w:spacing w:after="200" w:lineRule="auto"/>
        <w:jc w:val="both"/>
        <w:rPr>
          <w:sz w:val="18"/>
          <w:szCs w:val="18"/>
        </w:rPr>
      </w:pPr>
      <w:r w:rsidDel="00000000" w:rsidR="00000000" w:rsidRPr="00000000">
        <w:rPr>
          <w:sz w:val="18"/>
          <w:szCs w:val="18"/>
          <w:rtl w:val="0"/>
        </w:rPr>
        <w:t xml:space="preserve">Rowe, R. G., &amp; Daley, G. Q. (2019). The centrosomal protein 83 (CEP83) regulates human pluripotent stem cell differentiation toward the kidney lineage. eLife, 8, e48976. </w:t>
      </w:r>
    </w:p>
    <w:p w:rsidR="00000000" w:rsidDel="00000000" w:rsidP="00000000" w:rsidRDefault="00000000" w:rsidRPr="00000000" w14:paraId="000000E7">
      <w:pPr>
        <w:spacing w:after="200" w:lineRule="auto"/>
        <w:jc w:val="both"/>
        <w:rPr>
          <w:sz w:val="18"/>
          <w:szCs w:val="18"/>
        </w:rPr>
      </w:pPr>
      <w:r w:rsidDel="00000000" w:rsidR="00000000" w:rsidRPr="00000000">
        <w:rPr>
          <w:sz w:val="18"/>
          <w:szCs w:val="18"/>
          <w:rtl w:val="0"/>
        </w:rPr>
        <w:t xml:space="preserve">Salzmann, V., Chen, C., Chiang, C. Y., Tiyaboonchai, A., Mayer, M., &amp; Yamashita, Y. M. (2013). Organelle asymmetry for proper fitness, function, and fate. Chromosome Research, 21(3), 271–286.</w:t>
      </w:r>
    </w:p>
    <w:p w:rsidR="00000000" w:rsidDel="00000000" w:rsidP="00000000" w:rsidRDefault="00000000" w:rsidRPr="00000000" w14:paraId="000000E8">
      <w:pPr>
        <w:spacing w:after="200" w:lineRule="auto"/>
        <w:jc w:val="both"/>
        <w:rPr>
          <w:sz w:val="18"/>
          <w:szCs w:val="18"/>
        </w:rPr>
      </w:pPr>
      <w:r w:rsidDel="00000000" w:rsidR="00000000" w:rsidRPr="00000000">
        <w:rPr>
          <w:sz w:val="18"/>
          <w:szCs w:val="18"/>
          <w:rtl w:val="0"/>
        </w:rPr>
        <w:t xml:space="preserve">Samara, A., Falck, M., Spildrejorde, M., Leithaug, M., Acharya, G., Lyle, R., &amp; Eskeland, R. (2022). Robust and reproducible neuronal differentiation of human embryonic stem cells for neurotoxicology. bioRxiv, 2022.01.26.477818.</w:t>
      </w:r>
    </w:p>
    <w:p w:rsidR="00000000" w:rsidDel="00000000" w:rsidP="00000000" w:rsidRDefault="00000000" w:rsidRPr="00000000" w14:paraId="000000E9">
      <w:pPr>
        <w:spacing w:after="200" w:lineRule="auto"/>
        <w:jc w:val="both"/>
        <w:rPr>
          <w:sz w:val="18"/>
          <w:szCs w:val="18"/>
        </w:rPr>
      </w:pPr>
      <w:r w:rsidDel="00000000" w:rsidR="00000000" w:rsidRPr="00000000">
        <w:rPr>
          <w:sz w:val="18"/>
          <w:szCs w:val="18"/>
          <w:rtl w:val="0"/>
        </w:rPr>
        <w:t xml:space="preserve">Schmitt, M. T., Kroll, J., Ruiz-Fernandez, M. J. A., Hauschild, R., Ghosh, S., Kameritsch, P., ... &amp; Renkawitz, J. (2025). Protecting centrosomes from fracturing enables efficient cell navigation. Science Advances, 11(17), eadx4047.</w:t>
      </w:r>
    </w:p>
    <w:p w:rsidR="00000000" w:rsidDel="00000000" w:rsidP="00000000" w:rsidRDefault="00000000" w:rsidRPr="00000000" w14:paraId="000000EA">
      <w:pPr>
        <w:spacing w:after="200" w:lineRule="auto"/>
        <w:jc w:val="both"/>
        <w:rPr>
          <w:sz w:val="18"/>
          <w:szCs w:val="18"/>
        </w:rPr>
      </w:pPr>
      <w:r w:rsidDel="00000000" w:rsidR="00000000" w:rsidRPr="00000000">
        <w:rPr>
          <w:sz w:val="18"/>
          <w:szCs w:val="18"/>
          <w:rtl w:val="0"/>
        </w:rPr>
        <w:t xml:space="preserve">Schmitt, M. T., Kroll, J., Ruiz-Fernandez, M. J. A., Hauschild, R., Ghosh, S., Kameritsch, P., Merrin, J., Schmid, J., Stefanowski, K., Thomae, A. W., Cheng, J., Öztan, G. N., Konopka, P., Camargo Ortega, G., Penz, T., Bach, L., Baumjohann, D., Bock, C., Straub, T., Meissner, F., Kiermaier, E., &amp; Renkawitz, J. (2025). Protecting centrosomes from fracturing enables efficient cell navigation. Science Advances, 11(17), eadx4047. </w:t>
      </w:r>
    </w:p>
    <w:p w:rsidR="00000000" w:rsidDel="00000000" w:rsidP="00000000" w:rsidRDefault="00000000" w:rsidRPr="00000000" w14:paraId="000000EB">
      <w:pPr>
        <w:spacing w:after="200" w:lineRule="auto"/>
        <w:jc w:val="both"/>
        <w:rPr>
          <w:sz w:val="18"/>
          <w:szCs w:val="18"/>
        </w:rPr>
      </w:pPr>
      <w:r w:rsidDel="00000000" w:rsidR="00000000" w:rsidRPr="00000000">
        <w:rPr>
          <w:sz w:val="18"/>
          <w:szCs w:val="18"/>
          <w:rtl w:val="0"/>
        </w:rPr>
        <w:t xml:space="preserve">Sharma, N., &amp; Jackson, P. K. (2025). Quantitative PCR-based assay to measure Sonic Hedgehog signaling in cellular model of ciliogenesis. Journal of Visualized Experiments, (67407). </w:t>
      </w:r>
    </w:p>
    <w:p w:rsidR="00000000" w:rsidDel="00000000" w:rsidP="00000000" w:rsidRDefault="00000000" w:rsidRPr="00000000" w14:paraId="000000EC">
      <w:pPr>
        <w:spacing w:after="200" w:lineRule="auto"/>
        <w:jc w:val="both"/>
        <w:rPr>
          <w:sz w:val="18"/>
          <w:szCs w:val="18"/>
        </w:rPr>
      </w:pPr>
      <w:r w:rsidDel="00000000" w:rsidR="00000000" w:rsidRPr="00000000">
        <w:rPr>
          <w:sz w:val="18"/>
          <w:szCs w:val="18"/>
          <w:rtl w:val="0"/>
        </w:rPr>
        <w:t xml:space="preserve">Shen, N., Knopf, A., Westendorf, C., Kraushaar, U., Riedl, J., Bauer, H., Pöschel, S., Layland, S. L., Holeiter, M., &amp; Knolle, S. (2017). Steps toward maturation of embryonic stem cell-derived cardiomyocytes by defined physical signals. Stem Cell Reports, 9(1), 122–135. </w:t>
      </w:r>
    </w:p>
    <w:p w:rsidR="00000000" w:rsidDel="00000000" w:rsidP="00000000" w:rsidRDefault="00000000" w:rsidRPr="00000000" w14:paraId="000000ED">
      <w:pPr>
        <w:spacing w:after="200" w:lineRule="auto"/>
        <w:jc w:val="both"/>
        <w:rPr>
          <w:sz w:val="18"/>
          <w:szCs w:val="18"/>
        </w:rPr>
      </w:pPr>
      <w:r w:rsidDel="00000000" w:rsidR="00000000" w:rsidRPr="00000000">
        <w:rPr>
          <w:sz w:val="18"/>
          <w:szCs w:val="18"/>
          <w:rtl w:val="0"/>
        </w:rPr>
        <w:t xml:space="preserve">Shi, H., et al. (2023). Integrating physicomechanical and biological strategies for BTE: Biomaterials-induced osteogenic differentiation of MSCs. Theranostics, 13(10), 3245–3265. </w:t>
      </w:r>
    </w:p>
    <w:p w:rsidR="00000000" w:rsidDel="00000000" w:rsidP="00000000" w:rsidRDefault="00000000" w:rsidRPr="00000000" w14:paraId="000000EE">
      <w:pPr>
        <w:spacing w:after="200" w:lineRule="auto"/>
        <w:jc w:val="both"/>
        <w:rPr>
          <w:sz w:val="18"/>
          <w:szCs w:val="18"/>
        </w:rPr>
      </w:pPr>
      <w:r w:rsidDel="00000000" w:rsidR="00000000" w:rsidRPr="00000000">
        <w:rPr>
          <w:sz w:val="18"/>
          <w:szCs w:val="18"/>
          <w:rtl w:val="0"/>
        </w:rPr>
        <w:t xml:space="preserve">Skriloff, O., &amp; Tzanakakis, E. (2025). Data augmentation models for machine learning applications in stem cell bioprocessing. 2025 AIChE Annual Meeting Proceedings, Paper 595c.</w:t>
      </w:r>
    </w:p>
    <w:p w:rsidR="00000000" w:rsidDel="00000000" w:rsidP="00000000" w:rsidRDefault="00000000" w:rsidRPr="00000000" w14:paraId="000000EF">
      <w:pPr>
        <w:spacing w:after="200" w:lineRule="auto"/>
        <w:jc w:val="both"/>
        <w:rPr>
          <w:sz w:val="18"/>
          <w:szCs w:val="18"/>
        </w:rPr>
      </w:pPr>
      <w:r w:rsidDel="00000000" w:rsidR="00000000" w:rsidRPr="00000000">
        <w:rPr>
          <w:sz w:val="18"/>
          <w:szCs w:val="18"/>
          <w:rtl w:val="0"/>
        </w:rPr>
        <w:t xml:space="preserve">Smith, L., Quelch-Cliffe, R., Liu, F., Hidalgo Aguilar, A., &amp; Przyborski, S. (2025). Evaluating strategies to assess the differentiation potential of human pluripotent stem cells: A review, analysis and call for innovation. Stem Cell Reviews and Reports, 21(1), 107–125.</w:t>
      </w:r>
    </w:p>
    <w:p w:rsidR="00000000" w:rsidDel="00000000" w:rsidP="00000000" w:rsidRDefault="00000000" w:rsidRPr="00000000" w14:paraId="000000F0">
      <w:pPr>
        <w:spacing w:after="200" w:lineRule="auto"/>
        <w:jc w:val="both"/>
        <w:rPr>
          <w:sz w:val="18"/>
          <w:szCs w:val="18"/>
        </w:rPr>
      </w:pPr>
      <w:r w:rsidDel="00000000" w:rsidR="00000000" w:rsidRPr="00000000">
        <w:rPr>
          <w:rFonts w:ascii="Arial Unicode MS" w:cs="Arial Unicode MS" w:eastAsia="Arial Unicode MS" w:hAnsi="Arial Unicode MS"/>
          <w:sz w:val="18"/>
          <w:szCs w:val="18"/>
          <w:rtl w:val="0"/>
        </w:rPr>
        <w:t xml:space="preserve">Song, Y., Zhang, J., Xu, T., &amp; Wang, X. (2013). Trichostatin A promotes osteogenic differentiation of inflammatory gingival mesenchymal stem cells [曲古抑菌素A促进炎症牙龈间充质干细胞成骨分化的研究]. Master's thesis, Tianjin Medical University.</w:t>
      </w:r>
    </w:p>
    <w:p w:rsidR="00000000" w:rsidDel="00000000" w:rsidP="00000000" w:rsidRDefault="00000000" w:rsidRPr="00000000" w14:paraId="000000F1">
      <w:pPr>
        <w:spacing w:after="200" w:lineRule="auto"/>
        <w:jc w:val="both"/>
        <w:rPr>
          <w:sz w:val="18"/>
          <w:szCs w:val="18"/>
        </w:rPr>
      </w:pPr>
      <w:r w:rsidDel="00000000" w:rsidR="00000000" w:rsidRPr="00000000">
        <w:rPr>
          <w:sz w:val="18"/>
          <w:szCs w:val="18"/>
          <w:rtl w:val="0"/>
        </w:rPr>
        <w:t xml:space="preserve">Stem Cell Research. (2019). Application of CRISPR/Cas9 editing and digital droplet PCR in human iPSCs to generate novel knock-in reporter lines to visualize dopaminergic neurons. Stem Cell Research, 41, 101656.</w:t>
      </w:r>
    </w:p>
    <w:p w:rsidR="00000000" w:rsidDel="00000000" w:rsidP="00000000" w:rsidRDefault="00000000" w:rsidRPr="00000000" w14:paraId="000000F2">
      <w:pPr>
        <w:spacing w:after="200" w:lineRule="auto"/>
        <w:jc w:val="both"/>
        <w:rPr>
          <w:sz w:val="18"/>
          <w:szCs w:val="18"/>
        </w:rPr>
      </w:pPr>
      <w:r w:rsidDel="00000000" w:rsidR="00000000" w:rsidRPr="00000000">
        <w:rPr>
          <w:sz w:val="18"/>
          <w:szCs w:val="18"/>
          <w:rtl w:val="0"/>
        </w:rPr>
        <w:t xml:space="preserve">Su, Z., et al. (2025). Frontier progress and translational challenges of pluripotent differentiation of stem cells. Frontiers in Genetics, 16, 1583391.</w:t>
      </w:r>
    </w:p>
    <w:p w:rsidR="00000000" w:rsidDel="00000000" w:rsidP="00000000" w:rsidRDefault="00000000" w:rsidRPr="00000000" w14:paraId="000000F3">
      <w:pPr>
        <w:spacing w:after="200" w:lineRule="auto"/>
        <w:jc w:val="both"/>
        <w:rPr>
          <w:sz w:val="18"/>
          <w:szCs w:val="18"/>
        </w:rPr>
      </w:pPr>
      <w:r w:rsidDel="00000000" w:rsidR="00000000" w:rsidRPr="00000000">
        <w:rPr>
          <w:sz w:val="18"/>
          <w:szCs w:val="18"/>
          <w:rtl w:val="0"/>
        </w:rPr>
        <w:t xml:space="preserve">Su, Z., et al. (2025). Frontier progress and translational challenges of pluripotent differentiation of stem cells. Frontiers in Genetics, 16, 1583391. </w:t>
      </w:r>
    </w:p>
    <w:p w:rsidR="00000000" w:rsidDel="00000000" w:rsidP="00000000" w:rsidRDefault="00000000" w:rsidRPr="00000000" w14:paraId="000000F4">
      <w:pPr>
        <w:spacing w:after="200" w:lineRule="auto"/>
        <w:jc w:val="both"/>
        <w:rPr>
          <w:sz w:val="18"/>
          <w:szCs w:val="18"/>
        </w:rPr>
      </w:pPr>
      <w:r w:rsidDel="00000000" w:rsidR="00000000" w:rsidRPr="00000000">
        <w:rPr>
          <w:sz w:val="18"/>
          <w:szCs w:val="18"/>
          <w:rtl w:val="0"/>
        </w:rPr>
        <w:t xml:space="preserve">Taguchi, J., Yamada, Y., Ohta, S., Nakasuka, F., Yamamoto, T., Ozawa, M., &amp; Yamada, Y. (2024). A versatile in vivo platform for reversible control of transgene expression in adult tissues. Stem Cell Reports, 19(12), 1789–1802.</w:t>
      </w:r>
    </w:p>
    <w:p w:rsidR="00000000" w:rsidDel="00000000" w:rsidP="00000000" w:rsidRDefault="00000000" w:rsidRPr="00000000" w14:paraId="000000F5">
      <w:pPr>
        <w:spacing w:after="200" w:lineRule="auto"/>
        <w:jc w:val="both"/>
        <w:rPr>
          <w:sz w:val="18"/>
          <w:szCs w:val="18"/>
        </w:rPr>
      </w:pPr>
      <w:r w:rsidDel="00000000" w:rsidR="00000000" w:rsidRPr="00000000">
        <w:rPr>
          <w:sz w:val="18"/>
          <w:szCs w:val="18"/>
          <w:rtl w:val="0"/>
        </w:rPr>
        <w:t xml:space="preserve">Takahashi, K., &amp; Yamanaka, S. (2006). Induction of pluripotent stem cells from mouse embryonic and adult fibroblast cultures by defined factors. Cell, 126(4), 663–676.</w:t>
      </w:r>
    </w:p>
    <w:p w:rsidR="00000000" w:rsidDel="00000000" w:rsidP="00000000" w:rsidRDefault="00000000" w:rsidRPr="00000000" w14:paraId="000000F6">
      <w:pPr>
        <w:spacing w:after="200" w:lineRule="auto"/>
        <w:jc w:val="both"/>
        <w:rPr>
          <w:sz w:val="18"/>
          <w:szCs w:val="18"/>
        </w:rPr>
      </w:pPr>
      <w:r w:rsidDel="00000000" w:rsidR="00000000" w:rsidRPr="00000000">
        <w:rPr>
          <w:sz w:val="18"/>
          <w:szCs w:val="18"/>
          <w:rtl w:val="0"/>
        </w:rPr>
        <w:t xml:space="preserve">Tkemaladze, J. (2023). Reduction, proliferation, and differentiation defects of stem cells over time: a consequence of selective accumulation of old centrioles in the stem cells?. Molecular Biology Reports, 50(3), 2751-2761. DOI : https://pubmed.ncbi.nlm.nih.gov/36583780/ </w:t>
      </w:r>
    </w:p>
    <w:p w:rsidR="00000000" w:rsidDel="00000000" w:rsidP="00000000" w:rsidRDefault="00000000" w:rsidRPr="00000000" w14:paraId="000000F7">
      <w:pPr>
        <w:spacing w:after="200" w:lineRule="auto"/>
        <w:jc w:val="both"/>
        <w:rPr>
          <w:sz w:val="18"/>
          <w:szCs w:val="18"/>
        </w:rPr>
      </w:pPr>
      <w:r w:rsidDel="00000000" w:rsidR="00000000" w:rsidRPr="00000000">
        <w:rPr>
          <w:sz w:val="18"/>
          <w:szCs w:val="18"/>
          <w:rtl w:val="0"/>
        </w:rPr>
        <w:t xml:space="preserve">Tkemaladze, J. (2024). Editorial: Molecular mechanism of ageing and therapeutic advances through targeting glycative and oxidative stress. Front Pharmacol. 2024 Mar 6;14:1324446. DOI : 10.3389/fphar.2023.1324446. PMID: 38510429; PMCID: PMC10953819.</w:t>
      </w:r>
    </w:p>
    <w:p w:rsidR="00000000" w:rsidDel="00000000" w:rsidP="00000000" w:rsidRDefault="00000000" w:rsidRPr="00000000" w14:paraId="000000F8">
      <w:pPr>
        <w:spacing w:after="200" w:lineRule="auto"/>
        <w:jc w:val="both"/>
        <w:rPr>
          <w:sz w:val="18"/>
          <w:szCs w:val="18"/>
        </w:rPr>
      </w:pPr>
      <w:r w:rsidDel="00000000" w:rsidR="00000000" w:rsidRPr="00000000">
        <w:rPr>
          <w:sz w:val="18"/>
          <w:szCs w:val="18"/>
          <w:rtl w:val="0"/>
        </w:rPr>
        <w:t xml:space="preserve">Tkemaladze, J. (2026). Old Centrioles Make Old Bodies. Annals of Rejuvenation Science, 1(1). DOI : https://doi.org/10.65649/yx9sn772</w:t>
      </w:r>
    </w:p>
    <w:p w:rsidR="00000000" w:rsidDel="00000000" w:rsidP="00000000" w:rsidRDefault="00000000" w:rsidRPr="00000000" w14:paraId="000000F9">
      <w:pPr>
        <w:spacing w:after="200" w:lineRule="auto"/>
        <w:jc w:val="both"/>
        <w:rPr>
          <w:sz w:val="18"/>
          <w:szCs w:val="18"/>
        </w:rPr>
      </w:pPr>
      <w:r w:rsidDel="00000000" w:rsidR="00000000" w:rsidRPr="00000000">
        <w:rPr>
          <w:sz w:val="18"/>
          <w:szCs w:val="18"/>
          <w:rtl w:val="0"/>
        </w:rPr>
        <w:t xml:space="preserve">Tkemaladze, J. (2026). Visions of the Future. Longevity Horizon, 2(1). DOI : https://doi.org/10.65649/8be27s21</w:t>
      </w:r>
    </w:p>
    <w:p w:rsidR="00000000" w:rsidDel="00000000" w:rsidP="00000000" w:rsidRDefault="00000000" w:rsidRPr="00000000" w14:paraId="000000FA">
      <w:pPr>
        <w:spacing w:after="200" w:lineRule="auto"/>
        <w:jc w:val="both"/>
        <w:rPr>
          <w:sz w:val="18"/>
          <w:szCs w:val="18"/>
        </w:rPr>
      </w:pPr>
      <w:r w:rsidDel="00000000" w:rsidR="00000000" w:rsidRPr="00000000">
        <w:rPr>
          <w:sz w:val="18"/>
          <w:szCs w:val="18"/>
          <w:rtl w:val="0"/>
        </w:rPr>
        <w:t xml:space="preserve">Trappmann, B., Gautrot, J. E., Connelly, J. T., Strange, D. G. T., Li, Y., Oyen, M. L., Cohen Stuart, M. A., Boehm, H., Li, B., Vogel, V., Spatz, J. P., Watt, F. M., &amp; Huck, W. T. S. (2012). Extracellular-matrix tethering regulates stem-cell fate. Nature Materials, 11(8), 642–649.</w:t>
      </w:r>
    </w:p>
    <w:p w:rsidR="00000000" w:rsidDel="00000000" w:rsidP="00000000" w:rsidRDefault="00000000" w:rsidRPr="00000000" w14:paraId="000000FB">
      <w:pPr>
        <w:spacing w:after="200" w:lineRule="auto"/>
        <w:jc w:val="both"/>
        <w:rPr>
          <w:sz w:val="18"/>
          <w:szCs w:val="18"/>
        </w:rPr>
      </w:pPr>
      <w:r w:rsidDel="00000000" w:rsidR="00000000" w:rsidRPr="00000000">
        <w:rPr>
          <w:sz w:val="18"/>
          <w:szCs w:val="18"/>
          <w:rtl w:val="0"/>
        </w:rPr>
        <w:t xml:space="preserve">Vierbuchen, T., Ostermeier, A., Pang, Z. P., Kokubu, Y., Südhof, T. C., &amp; Wernig, M. (2010). Direct conversion of fibroblasts to functional neurons by defined factors. Nature, 463(7284), 1035–1041.</w:t>
      </w:r>
    </w:p>
    <w:p w:rsidR="00000000" w:rsidDel="00000000" w:rsidP="00000000" w:rsidRDefault="00000000" w:rsidRPr="00000000" w14:paraId="000000FC">
      <w:pPr>
        <w:spacing w:after="200" w:lineRule="auto"/>
        <w:jc w:val="both"/>
        <w:rPr>
          <w:sz w:val="18"/>
          <w:szCs w:val="18"/>
        </w:rPr>
      </w:pPr>
      <w:r w:rsidDel="00000000" w:rsidR="00000000" w:rsidRPr="00000000">
        <w:rPr>
          <w:sz w:val="18"/>
          <w:szCs w:val="18"/>
          <w:rtl w:val="0"/>
        </w:rPr>
        <w:t xml:space="preserve">Visone, R., Talò, G., Lopa, S., Rasponi, M., &amp; Moretti, M. (2018). Enhancing all-in-one bioreactors by combining interstitial perfusion, electrical stimulation, on-line monitoring and testing within a single chamber for cardiac constructs. Scientific Reports, 8(1), 1–13. </w:t>
      </w:r>
    </w:p>
    <w:p w:rsidR="00000000" w:rsidDel="00000000" w:rsidP="00000000" w:rsidRDefault="00000000" w:rsidRPr="00000000" w14:paraId="000000FD">
      <w:pPr>
        <w:spacing w:after="200" w:lineRule="auto"/>
        <w:jc w:val="both"/>
        <w:rPr>
          <w:sz w:val="18"/>
          <w:szCs w:val="18"/>
        </w:rPr>
      </w:pPr>
      <w:r w:rsidDel="00000000" w:rsidR="00000000" w:rsidRPr="00000000">
        <w:rPr>
          <w:sz w:val="18"/>
          <w:szCs w:val="18"/>
          <w:rtl w:val="0"/>
        </w:rPr>
        <w:t xml:space="preserve">Wang, M., &amp; Duan, L. (2019). Optogenetic control of organelle transport and intracellular signaling. Institute for Tissue Engineering and Regenerative Medicine, The Chinese University of Hong Kong.</w:t>
      </w:r>
    </w:p>
    <w:p w:rsidR="00000000" w:rsidDel="00000000" w:rsidP="00000000" w:rsidRDefault="00000000" w:rsidRPr="00000000" w14:paraId="000000FE">
      <w:pPr>
        <w:spacing w:after="200" w:lineRule="auto"/>
        <w:jc w:val="both"/>
        <w:rPr>
          <w:sz w:val="18"/>
          <w:szCs w:val="18"/>
        </w:rPr>
      </w:pPr>
      <w:r w:rsidDel="00000000" w:rsidR="00000000" w:rsidRPr="00000000">
        <w:rPr>
          <w:sz w:val="18"/>
          <w:szCs w:val="18"/>
          <w:rtl w:val="0"/>
        </w:rPr>
        <w:t xml:space="preserve">Wang, X., Tsai, J. W., Imai, J. H., Lian, W. N., Vallee, R. B., &amp; Shi, S. H. (2009). Asymmetric centrosome inheritance maintains neural progenitors in the neocortex. Nature, 461(7266), 947–955.</w:t>
      </w:r>
    </w:p>
    <w:p w:rsidR="00000000" w:rsidDel="00000000" w:rsidP="00000000" w:rsidRDefault="00000000" w:rsidRPr="00000000" w14:paraId="000000FF">
      <w:pPr>
        <w:spacing w:after="200" w:lineRule="auto"/>
        <w:jc w:val="both"/>
        <w:rPr>
          <w:sz w:val="18"/>
          <w:szCs w:val="18"/>
        </w:rPr>
      </w:pPr>
      <w:r w:rsidDel="00000000" w:rsidR="00000000" w:rsidRPr="00000000">
        <w:rPr>
          <w:sz w:val="18"/>
          <w:szCs w:val="18"/>
          <w:rtl w:val="0"/>
        </w:rPr>
        <w:t xml:space="preserve">Warren, L., Manos, P. D., Ahfeldt, T., Loh, Y. H., Li, H., Lau, F., Ebina, W., Mandal, P. K., Smith, Z. D., Meissner, A., Daley, G. Q., Brack, A. S., Collins, J. J., Cowan, C., Schlaeger, T. M., &amp; Rossi, D. J. (2010). Highly efficient reprogramming to pluripotency and directed differentiation of human cells with synthetic modified mRNA. Cell Stem Cell, 7(5), 618–630.</w:t>
      </w:r>
    </w:p>
    <w:p w:rsidR="00000000" w:rsidDel="00000000" w:rsidP="00000000" w:rsidRDefault="00000000" w:rsidRPr="00000000" w14:paraId="00000100">
      <w:pPr>
        <w:spacing w:after="200" w:lineRule="auto"/>
        <w:jc w:val="both"/>
        <w:rPr>
          <w:sz w:val="18"/>
          <w:szCs w:val="18"/>
        </w:rPr>
      </w:pPr>
      <w:r w:rsidDel="00000000" w:rsidR="00000000" w:rsidRPr="00000000">
        <w:rPr>
          <w:sz w:val="18"/>
          <w:szCs w:val="18"/>
          <w:rtl w:val="0"/>
        </w:rPr>
        <w:t xml:space="preserve">Woltjen, K., Michael, I. P., Mohseni, P., Desai, R., Mileikovsky, M., Hämäläinen, R., Cowling, R., Wang, W., Liu, P., Gertsenstein, M., Kaji, K., Sung, H. K., &amp; Nagy, A. (2009). piggyBac transposition reprograms fibroblasts to induced pluripotent stem cells. Nature, 458(7239), 766–770.</w:t>
      </w:r>
    </w:p>
    <w:p w:rsidR="00000000" w:rsidDel="00000000" w:rsidP="00000000" w:rsidRDefault="00000000" w:rsidRPr="00000000" w14:paraId="00000101">
      <w:pPr>
        <w:spacing w:after="200" w:lineRule="auto"/>
        <w:jc w:val="both"/>
        <w:rPr>
          <w:sz w:val="18"/>
          <w:szCs w:val="18"/>
        </w:rPr>
      </w:pPr>
      <w:r w:rsidDel="00000000" w:rsidR="00000000" w:rsidRPr="00000000">
        <w:rPr>
          <w:sz w:val="18"/>
          <w:szCs w:val="18"/>
          <w:rtl w:val="0"/>
        </w:rPr>
        <w:t xml:space="preserve">Wong, P. K., &amp; Cane, M. (2024). Aurora kinase A inhibition plus Tumor Treating Fields suppress glioma cell proliferation in a cilium-independent manner. Science Translational Medicine, 16(742), eadi5678.</w:t>
      </w:r>
    </w:p>
    <w:p w:rsidR="00000000" w:rsidDel="00000000" w:rsidP="00000000" w:rsidRDefault="00000000" w:rsidRPr="00000000" w14:paraId="00000102">
      <w:pPr>
        <w:spacing w:after="200" w:lineRule="auto"/>
        <w:jc w:val="both"/>
        <w:rPr>
          <w:sz w:val="18"/>
          <w:szCs w:val="18"/>
        </w:rPr>
      </w:pPr>
      <w:r w:rsidDel="00000000" w:rsidR="00000000" w:rsidRPr="00000000">
        <w:rPr>
          <w:sz w:val="18"/>
          <w:szCs w:val="18"/>
          <w:rtl w:val="0"/>
        </w:rPr>
        <w:t xml:space="preserve">Yamashita, Y. M. (2009). The centrosome and asymmetric cell division. Prion, 3(2), 84–88.</w:t>
      </w:r>
    </w:p>
    <w:p w:rsidR="00000000" w:rsidDel="00000000" w:rsidP="00000000" w:rsidRDefault="00000000" w:rsidRPr="00000000" w14:paraId="00000103">
      <w:pPr>
        <w:spacing w:after="200" w:lineRule="auto"/>
        <w:jc w:val="both"/>
        <w:rPr>
          <w:sz w:val="18"/>
          <w:szCs w:val="18"/>
        </w:rPr>
      </w:pPr>
      <w:r w:rsidDel="00000000" w:rsidR="00000000" w:rsidRPr="00000000">
        <w:rPr>
          <w:sz w:val="18"/>
          <w:szCs w:val="18"/>
          <w:rtl w:val="0"/>
        </w:rPr>
        <w:t xml:space="preserve">Yamashita, Y. M., Jones, D. L., &amp; Fuller, M. T. (2003). Orientation of asymmetric stem cell division by the APC tumor suppressor and centrosome. Science, 301(5639), 1547–1550.</w:t>
      </w:r>
    </w:p>
    <w:p w:rsidR="00000000" w:rsidDel="00000000" w:rsidP="00000000" w:rsidRDefault="00000000" w:rsidRPr="00000000" w14:paraId="00000104">
      <w:pPr>
        <w:spacing w:after="200" w:lineRule="auto"/>
        <w:jc w:val="both"/>
        <w:rPr>
          <w:sz w:val="18"/>
          <w:szCs w:val="18"/>
        </w:rPr>
      </w:pPr>
      <w:r w:rsidDel="00000000" w:rsidR="00000000" w:rsidRPr="00000000">
        <w:rPr>
          <w:sz w:val="18"/>
          <w:szCs w:val="18"/>
          <w:rtl w:val="0"/>
        </w:rPr>
        <w:t xml:space="preserve">Yamashita, Y. M., Mahowald, A. P., Perlin, J. R., &amp; Fuller, M. T. (2007). Asymmetric inheritance of mother versus daughter centrosome in stem cell division. Science, 315(5811), 518–521</w:t>
      </w:r>
    </w:p>
    <w:p w:rsidR="00000000" w:rsidDel="00000000" w:rsidP="00000000" w:rsidRDefault="00000000" w:rsidRPr="00000000" w14:paraId="00000105">
      <w:pPr>
        <w:spacing w:after="200" w:lineRule="auto"/>
        <w:jc w:val="both"/>
        <w:rPr>
          <w:sz w:val="18"/>
          <w:szCs w:val="18"/>
        </w:rPr>
      </w:pPr>
      <w:r w:rsidDel="00000000" w:rsidR="00000000" w:rsidRPr="00000000">
        <w:rPr>
          <w:sz w:val="18"/>
          <w:szCs w:val="18"/>
          <w:rtl w:val="0"/>
        </w:rPr>
        <w:t xml:space="preserve">Yamashita, Y. M., Mahowald, A. P., Perlin, J. R., &amp; Fuller, M. T. (2007). Asymmetric inheritance of mother versus daughter centrosome in stem cell division. Science, 315(5811), 518–521.</w:t>
      </w:r>
    </w:p>
    <w:p w:rsidR="00000000" w:rsidDel="00000000" w:rsidP="00000000" w:rsidRDefault="00000000" w:rsidRPr="00000000" w14:paraId="00000106">
      <w:pPr>
        <w:spacing w:after="200" w:lineRule="auto"/>
        <w:jc w:val="both"/>
        <w:rPr>
          <w:sz w:val="18"/>
          <w:szCs w:val="18"/>
        </w:rPr>
      </w:pPr>
      <w:r w:rsidDel="00000000" w:rsidR="00000000" w:rsidRPr="00000000">
        <w:rPr>
          <w:sz w:val="18"/>
          <w:szCs w:val="18"/>
          <w:rtl w:val="0"/>
        </w:rPr>
        <w:t xml:space="preserve">Yang, Y., et al. (2025). Automated and Enclosed Three-Dimensional Biofabrication System for Mesenchymal Stem Cell Culture to Enhance Diabetic Wound Healing. Biomaterials Research, 29, 0205. </w:t>
      </w:r>
    </w:p>
    <w:p w:rsidR="00000000" w:rsidDel="00000000" w:rsidP="00000000" w:rsidRDefault="00000000" w:rsidRPr="00000000" w14:paraId="00000107">
      <w:pPr>
        <w:spacing w:after="200" w:lineRule="auto"/>
        <w:jc w:val="both"/>
        <w:rPr>
          <w:sz w:val="18"/>
          <w:szCs w:val="18"/>
        </w:rPr>
      </w:pPr>
      <w:r w:rsidDel="00000000" w:rsidR="00000000" w:rsidRPr="00000000">
        <w:rPr>
          <w:sz w:val="18"/>
          <w:szCs w:val="18"/>
          <w:rtl w:val="0"/>
        </w:rPr>
        <w:t xml:space="preserve">Yeatts, A. B., &amp; Fisher, J. P. (2011). Bone tissue engineering bioreactors: Dynamic culture and the influence of shear stress. Bone, 48(2), 171–181. </w:t>
      </w:r>
    </w:p>
    <w:p w:rsidR="00000000" w:rsidDel="00000000" w:rsidP="00000000" w:rsidRDefault="00000000" w:rsidRPr="00000000" w14:paraId="00000108">
      <w:pPr>
        <w:spacing w:after="200" w:lineRule="auto"/>
        <w:jc w:val="both"/>
        <w:rPr>
          <w:sz w:val="18"/>
          <w:szCs w:val="18"/>
        </w:rPr>
      </w:pPr>
      <w:r w:rsidDel="00000000" w:rsidR="00000000" w:rsidRPr="00000000">
        <w:rPr>
          <w:sz w:val="18"/>
          <w:szCs w:val="18"/>
          <w:rtl w:val="0"/>
        </w:rPr>
        <w:t xml:space="preserve">Zhao, T., Zhang, J., Gao, X., Yuan, D., Gu, Z., &amp; Xu, Y. (2022). Advances in bone regeneration of electrospun nanofibers: Compositions, structures, functions, and fabrication technologies. Journal of Materials Chemistry B, 10(32), 6078–6106.</w:t>
      </w:r>
    </w:p>
    <w:p w:rsidR="00000000" w:rsidDel="00000000" w:rsidP="00000000" w:rsidRDefault="00000000" w:rsidRPr="00000000" w14:paraId="00000109">
      <w:pPr>
        <w:spacing w:after="200" w:lineRule="auto"/>
        <w:jc w:val="both"/>
        <w:rPr>
          <w:sz w:val="18"/>
          <w:szCs w:val="18"/>
        </w:rPr>
      </w:pPr>
      <w:r w:rsidDel="00000000" w:rsidR="00000000" w:rsidRPr="00000000">
        <w:rPr>
          <w:sz w:val="18"/>
          <w:szCs w:val="18"/>
          <w:rtl w:val="0"/>
        </w:rPr>
        <w:t xml:space="preserve">Zheng, F., &amp; Piel, M. (2017). Programmed self-assembly of a biochemical and magnetic scaffold to trigger and manipulate microtubule structures. Scientific Reports, 7, 11344.</w:t>
      </w:r>
    </w:p>
    <w:sectPr>
      <w:headerReference r:id="rId8" w:type="default"/>
      <w:headerReference r:id="rId9" w:type="first"/>
      <w:footerReference r:id="rId10" w:type="default"/>
      <w:footerReference r:id="rId11"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C">
    <w:pPr>
      <w:rPr/>
    </w:pPr>
    <w:r w:rsidDel="00000000" w:rsidR="00000000" w:rsidRPr="00000000">
      <w:rPr>
        <w:sz w:val="18"/>
        <w:szCs w:val="18"/>
        <w:rtl w:val="0"/>
      </w:rPr>
      <w:t xml:space="preserve">© Under </w:t>
    </w:r>
    <w:hyperlink r:id="rId1">
      <w:r w:rsidDel="00000000" w:rsidR="00000000" w:rsidRPr="00000000">
        <w:rPr>
          <w:color w:val="1155cc"/>
          <w:sz w:val="18"/>
          <w:szCs w:val="18"/>
          <w:u w:val="single"/>
          <w:rtl w:val="0"/>
        </w:rPr>
        <w:t xml:space="preserve">CC BY-NC-ND 4.0 International License</w:t>
      </w:r>
    </w:hyperlink>
    <w:r w:rsidDel="00000000" w:rsidR="00000000" w:rsidRPr="00000000">
      <w:rPr>
        <w:sz w:val="18"/>
        <w:szCs w:val="18"/>
        <w:rtl w:val="0"/>
      </w:rPr>
      <w:t xml:space="preserve"> | </w:t>
    </w:r>
    <w:hyperlink r:id="rId2">
      <w:r w:rsidDel="00000000" w:rsidR="00000000" w:rsidRPr="00000000">
        <w:rPr>
          <w:color w:val="1155cc"/>
          <w:sz w:val="18"/>
          <w:szCs w:val="18"/>
          <w:u w:val="single"/>
          <w:rtl w:val="0"/>
        </w:rPr>
        <w:t xml:space="preserve">Longevity Horizon</w:t>
      </w:r>
    </w:hyperlink>
    <w:r w:rsidDel="00000000" w:rsidR="00000000" w:rsidRPr="00000000">
      <w:rPr>
        <w:sz w:val="18"/>
        <w:szCs w:val="18"/>
        <w:rtl w:val="0"/>
      </w:rPr>
      <w:t xml:space="preserve">, 2(4)</w:t>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D">
    <w:pPr>
      <w:jc w:val="right"/>
      <w:rPr/>
    </w:pPr>
    <w:r w:rsidDel="00000000" w:rsidR="00000000" w:rsidRPr="00000000">
      <w:rPr>
        <w:sz w:val="18"/>
        <w:szCs w:val="18"/>
        <w:rtl w:val="0"/>
      </w:rPr>
      <w:t xml:space="preserve">© Under </w:t>
    </w:r>
    <w:hyperlink r:id="rId1">
      <w:r w:rsidDel="00000000" w:rsidR="00000000" w:rsidRPr="00000000">
        <w:rPr>
          <w:color w:val="1155cc"/>
          <w:sz w:val="18"/>
          <w:szCs w:val="18"/>
          <w:u w:val="single"/>
          <w:rtl w:val="0"/>
        </w:rPr>
        <w:t xml:space="preserve">CC BY-NC-ND 4.0 International License</w:t>
      </w:r>
    </w:hyperlink>
    <w:r w:rsidDel="00000000" w:rsidR="00000000" w:rsidRPr="00000000">
      <w:rPr>
        <w:sz w:val="18"/>
        <w:szCs w:val="18"/>
        <w:rtl w:val="0"/>
      </w:rPr>
      <w:t xml:space="preserve"> | </w:t>
    </w:r>
    <w:hyperlink r:id="rId2">
      <w:r w:rsidDel="00000000" w:rsidR="00000000" w:rsidRPr="00000000">
        <w:rPr>
          <w:color w:val="1155cc"/>
          <w:sz w:val="18"/>
          <w:szCs w:val="18"/>
          <w:u w:val="single"/>
          <w:rtl w:val="0"/>
        </w:rPr>
        <w:t xml:space="preserve">Longevity Horizon</w:t>
      </w:r>
    </w:hyperlink>
    <w:r w:rsidDel="00000000" w:rsidR="00000000" w:rsidRPr="00000000">
      <w:rPr>
        <w:sz w:val="18"/>
        <w:szCs w:val="18"/>
        <w:rtl w:val="0"/>
      </w:rPr>
      <w:t xml:space="preserve">, 2(4)</w:t>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A">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B">
    <w:pPr>
      <w:rPr/>
    </w:pPr>
    <w:r w:rsidDel="00000000" w:rsidR="00000000" w:rsidRPr="00000000">
      <w:rPr/>
      <mc:AlternateContent>
        <mc:Choice Requires="wpg">
          <w:drawing>
            <wp:inline distB="114300" distT="114300" distL="114300" distR="114300">
              <wp:extent cx="5943600" cy="1727200"/>
              <wp:effectExtent b="0" l="0" r="0" t="0"/>
              <wp:docPr id="1" name=""/>
              <a:graphic>
                <a:graphicData uri="http://schemas.microsoft.com/office/word/2010/wordprocessingGroup">
                  <wpg:wgp>
                    <wpg:cNvGrpSpPr/>
                    <wpg:grpSpPr>
                      <a:xfrm>
                        <a:off x="0" y="2591100"/>
                        <a:ext cx="5943600" cy="1727200"/>
                        <a:chOff x="0" y="2591100"/>
                        <a:chExt cx="9753500" cy="2825450"/>
                      </a:xfrm>
                    </wpg:grpSpPr>
                    <wpg:grpSp>
                      <wpg:cNvGrpSpPr/>
                      <wpg:grpSpPr>
                        <a:xfrm>
                          <a:off x="-50050" y="2595877"/>
                          <a:ext cx="3547090" cy="2815895"/>
                          <a:chOff x="0" y="0"/>
                          <a:chExt cx="1612900" cy="1320900"/>
                        </a:xfrm>
                      </wpg:grpSpPr>
                      <wps:wsp>
                        <wps:cNvSpPr/>
                        <wps:cNvPr id="3" name="Shape 3"/>
                        <wps:spPr>
                          <a:xfrm>
                            <a:off x="0" y="0"/>
                            <a:ext cx="1612900" cy="1320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94925" lIns="194925" spcFirstLastPara="1" rIns="194925" wrap="square" tIns="194925">
                          <a:noAutofit/>
                        </wps:bodyPr>
                      </wps:wsp>
                      <wps:wsp>
                        <wps:cNvSpPr/>
                        <wps:cNvPr id="4" name="Shape 4"/>
                        <wps:spPr>
                          <a:xfrm>
                            <a:off x="0" y="0"/>
                            <a:ext cx="1612900" cy="1320800"/>
                          </a:xfrm>
                          <a:custGeom>
                            <a:rect b="b" l="l" r="r" t="t"/>
                            <a:pathLst>
                              <a:path extrusionOk="0" h="1320800" w="1612900">
                                <a:moveTo>
                                  <a:pt x="1485900" y="1320800"/>
                                </a:moveTo>
                                <a:lnTo>
                                  <a:pt x="127000" y="1320800"/>
                                </a:lnTo>
                                <a:lnTo>
                                  <a:pt x="77565" y="1310819"/>
                                </a:lnTo>
                                <a:lnTo>
                                  <a:pt x="37197" y="1283602"/>
                                </a:lnTo>
                                <a:lnTo>
                                  <a:pt x="9980" y="1243234"/>
                                </a:lnTo>
                                <a:lnTo>
                                  <a:pt x="0" y="1193800"/>
                                </a:lnTo>
                                <a:lnTo>
                                  <a:pt x="0" y="0"/>
                                </a:lnTo>
                                <a:lnTo>
                                  <a:pt x="1612900" y="0"/>
                                </a:lnTo>
                                <a:lnTo>
                                  <a:pt x="1612900" y="1193800"/>
                                </a:lnTo>
                                <a:lnTo>
                                  <a:pt x="1602919" y="1243234"/>
                                </a:lnTo>
                                <a:lnTo>
                                  <a:pt x="1575702" y="1283602"/>
                                </a:lnTo>
                                <a:lnTo>
                                  <a:pt x="1535334" y="1310819"/>
                                </a:lnTo>
                                <a:lnTo>
                                  <a:pt x="1485900" y="1320800"/>
                                </a:lnTo>
                                <a:close/>
                              </a:path>
                            </a:pathLst>
                          </a:custGeom>
                          <a:solidFill>
                            <a:srgbClr val="343F3E"/>
                          </a:solidFill>
                          <a:ln>
                            <a:noFill/>
                          </a:ln>
                        </wps:spPr>
                        <wps:bodyPr anchorCtr="0" anchor="ctr" bIns="194925" lIns="194925" spcFirstLastPara="1" rIns="194925" wrap="square" tIns="194925">
                          <a:noAutofit/>
                        </wps:bodyPr>
                      </wps:wsp>
                      <wps:wsp>
                        <wps:cNvSpPr/>
                        <wps:cNvPr id="5" name="Shape 5"/>
                        <wps:spPr>
                          <a:xfrm>
                            <a:off x="0" y="0"/>
                            <a:ext cx="1612800" cy="1320900"/>
                          </a:xfrm>
                          <a:prstGeom prst="rect">
                            <a:avLst/>
                          </a:prstGeom>
                          <a:gradFill>
                            <a:gsLst>
                              <a:gs pos="0">
                                <a:srgbClr val="1076D2"/>
                              </a:gs>
                              <a:gs pos="100000">
                                <a:srgbClr val="093053"/>
                              </a:gs>
                            </a:gsLst>
                            <a:lin ang="5400012" scaled="0"/>
                          </a:gradFill>
                          <a:ln cap="flat" cmpd="sng" w="9525">
                            <a:solidFill>
                              <a:srgbClr val="878A8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42.63800048828125"/>
                                  <w:vertAlign w:val="baseline"/>
                                </w:rPr>
                                <w:br w:type="textWrapping"/>
                              </w:r>
                              <w:r w:rsidDel="00000000" w:rsidR="00000000" w:rsidRPr="00000000">
                                <w:rPr>
                                  <w:rFonts w:ascii="Arial" w:cs="Arial" w:eastAsia="Arial" w:hAnsi="Arial"/>
                                  <w:b w:val="1"/>
                                  <w:i w:val="0"/>
                                  <w:smallCaps w:val="0"/>
                                  <w:strike w:val="0"/>
                                  <w:color w:val="ffffff"/>
                                  <w:sz w:val="42.63800048828125"/>
                                  <w:vertAlign w:val="baseline"/>
                                </w:rPr>
                                <w:t xml:space="preserve">Immortalitas in Hac Vita</w:t>
                              </w:r>
                            </w:p>
                            <w:p w:rsidR="00000000" w:rsidDel="00000000" w:rsidP="00000000" w:rsidRDefault="00000000" w:rsidRPr="00000000">
                              <w:pPr>
                                <w:spacing w:after="0" w:before="2.1299999952316284" w:line="240"/>
                                <w:ind w:left="0" w:right="0" w:firstLine="0"/>
                                <w:jc w:val="center"/>
                                <w:textDirection w:val="btLr"/>
                              </w:pPr>
                              <w:r w:rsidDel="00000000" w:rsidR="00000000" w:rsidRPr="00000000">
                                <w:rPr>
                                  <w:rFonts w:ascii="Arial" w:cs="Arial" w:eastAsia="Arial" w:hAnsi="Arial"/>
                                  <w:b w:val="1"/>
                                  <w:i w:val="0"/>
                                  <w:smallCaps w:val="0"/>
                                  <w:strike w:val="0"/>
                                  <w:color w:val="000000"/>
                                  <w:sz w:val="42.63800048828125"/>
                                  <w:vertAlign w:val="baseline"/>
                                </w:rPr>
                              </w:r>
                            </w:p>
                            <w:p w:rsidR="00000000" w:rsidDel="00000000" w:rsidP="00000000" w:rsidRDefault="00000000" w:rsidRPr="00000000">
                              <w:pPr>
                                <w:spacing w:after="0" w:before="2.1299999952316284" w:line="240"/>
                                <w:ind w:left="0" w:right="0" w:firstLine="0"/>
                                <w:jc w:val="center"/>
                                <w:textDirection w:val="btLr"/>
                              </w:pPr>
                              <w:r w:rsidDel="00000000" w:rsidR="00000000" w:rsidRPr="00000000">
                                <w:rPr>
                                  <w:rFonts w:ascii="Tahoma" w:cs="Tahoma" w:eastAsia="Tahoma" w:hAnsi="Tahoma"/>
                                  <w:b w:val="1"/>
                                  <w:i w:val="0"/>
                                  <w:smallCaps w:val="0"/>
                                  <w:strike w:val="0"/>
                                  <w:color w:val="6fa8dc"/>
                                  <w:sz w:val="63.957401275634766"/>
                                  <w:vertAlign w:val="baseline"/>
                                </w:rPr>
                              </w:r>
                              <w:r w:rsidDel="00000000" w:rsidR="00000000" w:rsidRPr="00000000">
                                <w:rPr>
                                  <w:rFonts w:ascii="Tahoma" w:cs="Tahoma" w:eastAsia="Tahoma" w:hAnsi="Tahoma"/>
                                  <w:b w:val="1"/>
                                  <w:i w:val="0"/>
                                  <w:smallCaps w:val="0"/>
                                  <w:strike w:val="0"/>
                                  <w:color w:val="6fa8dc"/>
                                  <w:sz w:val="63.957401275634766"/>
                                  <w:vertAlign w:val="baseline"/>
                                </w:rPr>
                                <w:t xml:space="preserve">Longevity</w:t>
                              </w:r>
                              <w:r w:rsidDel="00000000" w:rsidR="00000000" w:rsidRPr="00000000">
                                <w:rPr>
                                  <w:rFonts w:ascii="Tahoma" w:cs="Tahoma" w:eastAsia="Tahoma" w:hAnsi="Tahoma"/>
                                  <w:b w:val="1"/>
                                  <w:i w:val="0"/>
                                  <w:smallCaps w:val="0"/>
                                  <w:strike w:val="0"/>
                                  <w:color w:val="6fa8dc"/>
                                  <w:sz w:val="63.957401275634766"/>
                                  <w:vertAlign w:val="baseline"/>
                                </w:rPr>
                                <w:br w:type="textWrapping"/>
                              </w:r>
                              <w:r w:rsidDel="00000000" w:rsidR="00000000" w:rsidRPr="00000000">
                                <w:rPr>
                                  <w:rFonts w:ascii="Tahoma" w:cs="Tahoma" w:eastAsia="Tahoma" w:hAnsi="Tahoma"/>
                                  <w:b w:val="1"/>
                                  <w:i w:val="0"/>
                                  <w:smallCaps w:val="0"/>
                                  <w:strike w:val="0"/>
                                  <w:color w:val="6fa8dc"/>
                                  <w:sz w:val="63.957401275634766"/>
                                  <w:vertAlign w:val="baseline"/>
                                </w:rPr>
                                <w:t xml:space="preserve">Platform</w:t>
                              </w:r>
                            </w:p>
                            <w:p w:rsidR="00000000" w:rsidDel="00000000" w:rsidP="00000000" w:rsidRDefault="00000000" w:rsidRPr="00000000">
                              <w:pPr>
                                <w:spacing w:after="0" w:before="2.1299999952316284" w:line="240"/>
                                <w:ind w:left="0" w:right="0" w:firstLine="0"/>
                                <w:jc w:val="center"/>
                                <w:textDirection w:val="btLr"/>
                              </w:pPr>
                              <w:r w:rsidDel="00000000" w:rsidR="00000000" w:rsidRPr="00000000">
                                <w:rPr>
                                  <w:rFonts w:ascii="Tahoma" w:cs="Tahoma" w:eastAsia="Tahoma" w:hAnsi="Tahoma"/>
                                  <w:b w:val="1"/>
                                  <w:i w:val="0"/>
                                  <w:smallCaps w:val="0"/>
                                  <w:strike w:val="0"/>
                                  <w:color w:val="6fa8dc"/>
                                  <w:sz w:val="63.957401275634766"/>
                                  <w:vertAlign w:val="baseline"/>
                                </w:rPr>
                              </w:r>
                            </w:p>
                            <w:p w:rsidR="00000000" w:rsidDel="00000000" w:rsidP="00000000" w:rsidRDefault="00000000" w:rsidRPr="00000000">
                              <w:pPr>
                                <w:spacing w:after="0" w:before="23.450000286102295" w:line="240"/>
                                <w:ind w:left="0" w:right="0" w:firstLine="0"/>
                                <w:jc w:val="center"/>
                                <w:textDirection w:val="btLr"/>
                              </w:pPr>
                              <w:r w:rsidDel="00000000" w:rsidR="00000000" w:rsidRPr="00000000">
                                <w:rPr>
                                  <w:rFonts w:ascii="Tahoma" w:cs="Tahoma" w:eastAsia="Tahoma" w:hAnsi="Tahoma"/>
                                  <w:b w:val="1"/>
                                  <w:i w:val="0"/>
                                  <w:smallCaps w:val="0"/>
                                  <w:strike w:val="0"/>
                                  <w:color w:val="6fa8dc"/>
                                  <w:sz w:val="25.447799682617188"/>
                                  <w:vertAlign w:val="baseline"/>
                                </w:rPr>
                              </w:r>
                              <w:r w:rsidDel="00000000" w:rsidR="00000000" w:rsidRPr="00000000">
                                <w:rPr>
                                  <w:rFonts w:ascii="Arial" w:cs="Arial" w:eastAsia="Arial" w:hAnsi="Arial"/>
                                  <w:b w:val="0"/>
                                  <w:i w:val="0"/>
                                  <w:smallCaps w:val="0"/>
                                  <w:strike w:val="0"/>
                                  <w:color w:val="ffffff"/>
                                  <w:sz w:val="42.63800048828125"/>
                                  <w:vertAlign w:val="baseline"/>
                                </w:rPr>
                                <w:t xml:space="preserve">https://www.</w:t>
                              </w:r>
                              <w:r w:rsidDel="00000000" w:rsidR="00000000" w:rsidRPr="00000000">
                                <w:rPr>
                                  <w:rFonts w:ascii="Arial" w:cs="Arial" w:eastAsia="Arial" w:hAnsi="Arial"/>
                                  <w:b w:val="0"/>
                                  <w:i w:val="0"/>
                                  <w:smallCaps w:val="0"/>
                                  <w:strike w:val="0"/>
                                  <w:color w:val="ffffff"/>
                                  <w:sz w:val="42.63800048828125"/>
                                  <w:vertAlign w:val="baseline"/>
                                </w:rPr>
                                <w:t xml:space="preserve">longevity.ge</w:t>
                              </w:r>
                            </w:p>
                          </w:txbxContent>
                        </wps:txbx>
                        <wps:bodyPr anchorCtr="0" anchor="t" bIns="0" lIns="0" spcFirstLastPara="1" rIns="0" wrap="square" tIns="0">
                          <a:noAutofit/>
                        </wps:bodyPr>
                      </wps:wsp>
                    </wpg:grpSp>
                    <wps:wsp>
                      <wps:cNvSpPr txBox="1"/>
                      <wps:cNvPr id="6" name="Shape 6"/>
                      <wps:spPr>
                        <a:xfrm>
                          <a:off x="5180639" y="3839260"/>
                          <a:ext cx="3595800" cy="10368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46.902198791503906"/>
                                <w:vertAlign w:val="baseline"/>
                              </w:rPr>
                              <w:t xml:space="preserve">Longevity Horizon</w:t>
                            </w:r>
                            <w:r w:rsidDel="00000000" w:rsidR="00000000" w:rsidRPr="00000000">
                              <w:rPr>
                                <w:rFonts w:ascii="Tahoma" w:cs="Tahoma" w:eastAsia="Tahoma" w:hAnsi="Tahoma"/>
                                <w:b w:val="1"/>
                                <w:i w:val="0"/>
                                <w:smallCaps w:val="0"/>
                                <w:strike w:val="0"/>
                                <w:color w:val="ffffff"/>
                                <w:sz w:val="46.902198791503906"/>
                                <w:vertAlign w:val="baseline"/>
                              </w:rPr>
                              <w:br w:type="textWrapping"/>
                            </w:r>
                            <w:r w:rsidDel="00000000" w:rsidR="00000000" w:rsidRPr="00000000">
                              <w:rPr>
                                <w:rFonts w:ascii="Tahoma" w:cs="Tahoma" w:eastAsia="Tahoma" w:hAnsi="Tahoma"/>
                                <w:b w:val="1"/>
                                <w:i w:val="0"/>
                                <w:smallCaps w:val="0"/>
                                <w:strike w:val="0"/>
                                <w:color w:val="ffffff"/>
                                <w:sz w:val="38.37419891357422"/>
                                <w:vertAlign w:val="baseline"/>
                              </w:rPr>
                              <w:t xml:space="preserve">ISSN: 3088-4063</w:t>
                            </w:r>
                          </w:p>
                        </w:txbxContent>
                      </wps:txbx>
                      <wps:bodyPr anchorCtr="0" anchor="t" bIns="194925" lIns="194925" spcFirstLastPara="1" rIns="194925" wrap="square" tIns="194925">
                        <a:noAutofit/>
                      </wps:bodyPr>
                    </wps:wsp>
                    <wps:wsp>
                      <wps:cNvSpPr/>
                      <wps:cNvPr id="7" name="Shape 7"/>
                      <wps:spPr>
                        <a:xfrm>
                          <a:off x="8094486" y="3846232"/>
                          <a:ext cx="1652302" cy="1029145"/>
                        </a:xfrm>
                        <a:custGeom>
                          <a:rect b="b" l="l" r="r" t="t"/>
                          <a:pathLst>
                            <a:path extrusionOk="0" h="482600" w="1327150">
                              <a:moveTo>
                                <a:pt x="1326832" y="190500"/>
                              </a:moveTo>
                              <a:lnTo>
                                <a:pt x="136563" y="190500"/>
                              </a:lnTo>
                              <a:lnTo>
                                <a:pt x="136563" y="0"/>
                              </a:lnTo>
                              <a:lnTo>
                                <a:pt x="0" y="0"/>
                              </a:lnTo>
                              <a:lnTo>
                                <a:pt x="0" y="482600"/>
                              </a:lnTo>
                              <a:lnTo>
                                <a:pt x="136563" y="482600"/>
                              </a:lnTo>
                              <a:lnTo>
                                <a:pt x="136563" y="228600"/>
                              </a:lnTo>
                              <a:lnTo>
                                <a:pt x="1326832" y="228600"/>
                              </a:lnTo>
                              <a:lnTo>
                                <a:pt x="1326832" y="190500"/>
                              </a:lnTo>
                              <a:close/>
                            </a:path>
                          </a:pathLst>
                        </a:custGeom>
                        <a:solidFill>
                          <a:srgbClr val="CFE2F3"/>
                        </a:solidFill>
                        <a:ln>
                          <a:noFill/>
                        </a:ln>
                      </wps:spPr>
                      <wps:bodyPr anchorCtr="0" anchor="ctr" bIns="194925" lIns="194925" spcFirstLastPara="1" rIns="194925" wrap="square" tIns="194925">
                        <a:noAutofit/>
                      </wps:bodyPr>
                    </wps:wsp>
                    <wps:wsp>
                      <wps:cNvSpPr/>
                      <wps:cNvPr id="8" name="Shape 8"/>
                      <wps:spPr>
                        <a:xfrm>
                          <a:off x="8094486" y="3839233"/>
                          <a:ext cx="1659000" cy="1036800"/>
                        </a:xfrm>
                        <a:prstGeom prst="rect">
                          <a:avLst/>
                        </a:prstGeom>
                        <a:noFill/>
                        <a:ln>
                          <a:noFill/>
                        </a:ln>
                      </wps:spPr>
                      <wps:txbx>
                        <w:txbxContent>
                          <w:p w:rsidR="00000000" w:rsidDel="00000000" w:rsidP="00000000" w:rsidRDefault="00000000" w:rsidRPr="00000000">
                            <w:pPr>
                              <w:spacing w:after="0" w:before="0" w:line="334.9999237060547"/>
                              <w:ind w:left="0" w:right="0" w:firstLine="0"/>
                              <w:jc w:val="right"/>
                              <w:textDirection w:val="btLr"/>
                            </w:pPr>
                            <w:r w:rsidDel="00000000" w:rsidR="00000000" w:rsidRPr="00000000">
                              <w:rPr>
                                <w:rFonts w:ascii="Arial" w:cs="Arial" w:eastAsia="Arial" w:hAnsi="Arial"/>
                                <w:b w:val="1"/>
                                <w:i w:val="0"/>
                                <w:smallCaps w:val="0"/>
                                <w:strike w:val="0"/>
                                <w:color w:val="000000"/>
                                <w:sz w:val="63.957401275634766"/>
                                <w:vertAlign w:val="baseline"/>
                              </w:rPr>
                              <w:t xml:space="preserve">20</w:t>
                            </w:r>
                            <w:r w:rsidDel="00000000" w:rsidR="00000000" w:rsidRPr="00000000">
                              <w:rPr>
                                <w:rFonts w:ascii="Arial" w:cs="Arial" w:eastAsia="Arial" w:hAnsi="Arial"/>
                                <w:b w:val="1"/>
                                <w:i w:val="0"/>
                                <w:smallCaps w:val="0"/>
                                <w:strike w:val="0"/>
                                <w:color w:val="000000"/>
                                <w:sz w:val="63.957401275634766"/>
                                <w:vertAlign w:val="baseline"/>
                              </w:rPr>
                              <w:t xml:space="preserve">26</w:t>
                            </w:r>
                          </w:p>
                          <w:p w:rsidR="00000000" w:rsidDel="00000000" w:rsidP="00000000" w:rsidRDefault="00000000" w:rsidRPr="00000000">
                            <w:pPr>
                              <w:spacing w:after="0" w:before="115.12399673461914" w:line="240"/>
                              <w:ind w:left="0" w:right="0" w:firstLine="0"/>
                              <w:jc w:val="right"/>
                              <w:textDirection w:val="btLr"/>
                            </w:pPr>
                            <w:r w:rsidDel="00000000" w:rsidR="00000000" w:rsidRPr="00000000">
                              <w:rPr>
                                <w:rFonts w:ascii="Arial" w:cs="Arial" w:eastAsia="Arial" w:hAnsi="Arial"/>
                                <w:b w:val="1"/>
                                <w:i w:val="0"/>
                                <w:smallCaps w:val="0"/>
                                <w:strike w:val="0"/>
                                <w:color w:val="000000"/>
                                <w:sz w:val="63.957401275634766"/>
                                <w:vertAlign w:val="baseline"/>
                              </w:rPr>
                            </w:r>
                            <w:r w:rsidDel="00000000" w:rsidR="00000000" w:rsidRPr="00000000">
                              <w:rPr>
                                <w:rFonts w:ascii="Arial" w:cs="Arial" w:eastAsia="Arial" w:hAnsi="Arial"/>
                                <w:b w:val="0"/>
                                <w:i w:val="0"/>
                                <w:smallCaps w:val="0"/>
                                <w:strike w:val="0"/>
                                <w:color w:val="000000"/>
                                <w:sz w:val="34.11040115356445"/>
                                <w:vertAlign w:val="baseline"/>
                              </w:rPr>
                              <w:t xml:space="preserve">Vol.</w:t>
                            </w:r>
                            <w:r w:rsidDel="00000000" w:rsidR="00000000" w:rsidRPr="00000000">
                              <w:rPr>
                                <w:rFonts w:ascii="Arial" w:cs="Arial" w:eastAsia="Arial" w:hAnsi="Arial"/>
                                <w:b w:val="0"/>
                                <w:i w:val="0"/>
                                <w:smallCaps w:val="0"/>
                                <w:strike w:val="0"/>
                                <w:color w:val="000000"/>
                                <w:sz w:val="34.11040115356445"/>
                                <w:vertAlign w:val="baseline"/>
                              </w:rPr>
                              <w:t xml:space="preserve">2</w:t>
                            </w:r>
                            <w:r w:rsidDel="00000000" w:rsidR="00000000" w:rsidRPr="00000000">
                              <w:rPr>
                                <w:rFonts w:ascii="Arial" w:cs="Arial" w:eastAsia="Arial" w:hAnsi="Arial"/>
                                <w:b w:val="0"/>
                                <w:i w:val="0"/>
                                <w:smallCaps w:val="0"/>
                                <w:strike w:val="0"/>
                                <w:color w:val="000000"/>
                                <w:sz w:val="34.11040115356445"/>
                                <w:vertAlign w:val="baseline"/>
                              </w:rPr>
                              <w:t xml:space="preserve"> No.</w:t>
                            </w:r>
                            <w:r w:rsidDel="00000000" w:rsidR="00000000" w:rsidRPr="00000000">
                              <w:rPr>
                                <w:rFonts w:ascii="Arial" w:cs="Arial" w:eastAsia="Arial" w:hAnsi="Arial"/>
                                <w:b w:val="0"/>
                                <w:i w:val="0"/>
                                <w:smallCaps w:val="0"/>
                                <w:strike w:val="0"/>
                                <w:color w:val="000000"/>
                                <w:sz w:val="34.11040115356445"/>
                                <w:vertAlign w:val="baseline"/>
                              </w:rPr>
                              <w:t xml:space="preserve">4</w:t>
                            </w:r>
                            <w:r w:rsidDel="00000000" w:rsidR="00000000" w:rsidRPr="00000000">
                              <w:rPr>
                                <w:rFonts w:ascii="Arial" w:cs="Arial" w:eastAsia="Arial" w:hAnsi="Arial"/>
                                <w:b w:val="0"/>
                                <w:i w:val="0"/>
                                <w:smallCaps w:val="0"/>
                                <w:strike w:val="0"/>
                                <w:color w:val="000000"/>
                                <w:sz w:val="34.11040115356445"/>
                                <w:vertAlign w:val="baseline"/>
                              </w:rPr>
                              <w:t xml:space="preserve">:</w:t>
                            </w:r>
                            <w:r w:rsidDel="00000000" w:rsidR="00000000" w:rsidRPr="00000000">
                              <w:rPr>
                                <w:rFonts w:ascii="Arial" w:cs="Arial" w:eastAsia="Arial" w:hAnsi="Arial"/>
                                <w:b w:val="0"/>
                                <w:i w:val="0"/>
                                <w:smallCaps w:val="0"/>
                                <w:strike w:val="0"/>
                                <w:color w:val="000000"/>
                                <w:sz w:val="34.11040115356445"/>
                                <w:vertAlign w:val="baseline"/>
                              </w:rPr>
                              <w:t xml:space="preserve">18</w:t>
                            </w:r>
                          </w:p>
                        </w:txbxContent>
                      </wps:txbx>
                      <wps:bodyPr anchorCtr="0" anchor="t" bIns="0" lIns="0" spcFirstLastPara="1" rIns="0" wrap="square" tIns="0">
                        <a:noAutofit/>
                      </wps:bodyPr>
                    </wps:wsp>
                    <wps:wsp>
                      <wps:cNvSpPr/>
                      <wps:cNvPr id="9" name="Shape 9"/>
                      <wps:spPr>
                        <a:xfrm>
                          <a:off x="3497042" y="3846255"/>
                          <a:ext cx="4620300" cy="1029600"/>
                        </a:xfrm>
                        <a:prstGeom prst="rect">
                          <a:avLst/>
                        </a:prstGeom>
                        <a:gradFill>
                          <a:gsLst>
                            <a:gs pos="0">
                              <a:srgbClr val="D4E5F5"/>
                            </a:gs>
                            <a:gs pos="100000">
                              <a:srgbClr val="70A4D5"/>
                            </a:gs>
                          </a:gsLst>
                          <a:lin ang="5400012" scaled="0"/>
                        </a:gradFill>
                        <a:ln>
                          <a:noFill/>
                        </a:ln>
                      </wps:spPr>
                      <wps:txbx>
                        <w:txbxContent>
                          <w:p w:rsidR="00000000" w:rsidDel="00000000" w:rsidP="00000000" w:rsidRDefault="00000000" w:rsidRPr="00000000">
                            <w:pPr>
                              <w:spacing w:after="0" w:before="260.09199142456055" w:line="273.0000114440918"/>
                              <w:ind w:left="7674.8760986328125" w:right="134.30999755859375" w:firstLine="9209.849853515625"/>
                              <w:jc w:val="left"/>
                              <w:textDirection w:val="btLr"/>
                            </w:pPr>
                          </w:p>
                        </w:txbxContent>
                      </wps:txbx>
                      <wps:bodyPr anchorCtr="0" anchor="t" bIns="0" lIns="0" spcFirstLastPara="1" rIns="0" wrap="square" tIns="0">
                        <a:noAutofit/>
                      </wps:bodyPr>
                    </wps:wsp>
                    <wps:wsp>
                      <wps:cNvSpPr txBox="1"/>
                      <wps:cNvPr id="10" name="Shape 10"/>
                      <wps:spPr>
                        <a:xfrm>
                          <a:off x="4521499" y="3842549"/>
                          <a:ext cx="3595800" cy="10368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46.902198791503906"/>
                                <w:vertAlign w:val="baseline"/>
                              </w:rPr>
                              <w:t xml:space="preserve">Longevity Horizon</w:t>
                            </w:r>
                            <w:r w:rsidDel="00000000" w:rsidR="00000000" w:rsidRPr="00000000">
                              <w:rPr>
                                <w:rFonts w:ascii="Tahoma" w:cs="Tahoma" w:eastAsia="Tahoma" w:hAnsi="Tahoma"/>
                                <w:b w:val="1"/>
                                <w:i w:val="0"/>
                                <w:smallCaps w:val="0"/>
                                <w:strike w:val="0"/>
                                <w:color w:val="ffffff"/>
                                <w:sz w:val="46.902198791503906"/>
                                <w:vertAlign w:val="baseline"/>
                              </w:rPr>
                              <w:br w:type="textWrapping"/>
                            </w:r>
                            <w:r w:rsidDel="00000000" w:rsidR="00000000" w:rsidRPr="00000000">
                              <w:rPr>
                                <w:rFonts w:ascii="Tahoma" w:cs="Tahoma" w:eastAsia="Tahoma" w:hAnsi="Tahoma"/>
                                <w:b w:val="1"/>
                                <w:i w:val="0"/>
                                <w:smallCaps w:val="0"/>
                                <w:strike w:val="0"/>
                                <w:color w:val="ffffff"/>
                                <w:sz w:val="38.37419891357422"/>
                                <w:vertAlign w:val="baseline"/>
                              </w:rPr>
                              <w:t xml:space="preserve">ISSN:3088-4063</w:t>
                            </w:r>
                          </w:p>
                        </w:txbxContent>
                      </wps:txbx>
                      <wps:bodyPr anchorCtr="0" anchor="t" bIns="194925" lIns="194925" spcFirstLastPara="1" rIns="194925" wrap="square" tIns="194925">
                        <a:noAutofit/>
                      </wps:bodyPr>
                    </wps:wsp>
                  </wpg:wgp>
                </a:graphicData>
              </a:graphic>
            </wp:inline>
          </w:drawing>
        </mc:Choice>
        <mc:Fallback>
          <w:drawing>
            <wp:inline distB="114300" distT="114300" distL="114300" distR="114300">
              <wp:extent cx="5943600" cy="1727200"/>
              <wp:effectExtent b="0" l="0" r="0" t="0"/>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5943600" cy="1727200"/>
                      </a:xfrm>
                      <a:prstGeom prst="rect"/>
                      <a:ln/>
                    </pic:spPr>
                  </pic:pic>
                </a:graphicData>
              </a:graphic>
            </wp:inline>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200" w:lineRule="auto"/>
      <w:jc w:val="both"/>
    </w:pPr>
    <w:rPr>
      <w:rFonts w:ascii="Tahoma" w:cs="Tahoma" w:eastAsia="Tahoma" w:hAnsi="Tahoma"/>
      <w:b w:val="1"/>
      <w:bCs w:val="1"/>
      <w:color w:val="073763"/>
      <w:sz w:val="36"/>
      <w:szCs w:val="36"/>
    </w:rPr>
  </w:style>
  <w:style w:type="paragraph" w:styleId="Heading2">
    <w:name w:val="heading 2"/>
    <w:basedOn w:val="Normal"/>
    <w:next w:val="Normal"/>
    <w:pPr>
      <w:keepNext w:val="1"/>
      <w:keepLines w:val="1"/>
      <w:spacing w:before="360" w:lineRule="auto"/>
      <w:jc w:val="both"/>
    </w:pPr>
    <w:rPr>
      <w:b w:val="1"/>
      <w:bCs w:val="1"/>
      <w:color w:val="3d85c6"/>
      <w:sz w:val="26"/>
      <w:szCs w:val="26"/>
    </w:rPr>
  </w:style>
  <w:style w:type="paragraph" w:styleId="Heading3">
    <w:name w:val="heading 3"/>
    <w:basedOn w:val="Normal"/>
    <w:next w:val="Normal"/>
    <w:pPr>
      <w:keepNext w:val="1"/>
      <w:keepLines w:val="1"/>
      <w:spacing w:before="200" w:lineRule="auto"/>
    </w:pPr>
    <w:rPr>
      <w:b w:val="1"/>
      <w:bCs w:val="1"/>
      <w:color w:val="3d85c6"/>
      <w:sz w:val="24"/>
      <w:szCs w:val="24"/>
    </w:rPr>
  </w:style>
  <w:style w:type="paragraph" w:styleId="Heading4">
    <w:name w:val="heading 4"/>
    <w:basedOn w:val="Normal"/>
    <w:next w:val="Normal"/>
    <w:pPr>
      <w:keepNext w:val="1"/>
      <w:keepLines w:val="1"/>
      <w:spacing w:after="80" w:before="280" w:lineRule="auto"/>
      <w:jc w:val="both"/>
    </w:pPr>
    <w:rPr>
      <w:b w:val="1"/>
      <w:bCs w:val="1"/>
      <w:color w:val="6fa8dc"/>
    </w:rPr>
  </w:style>
  <w:style w:type="paragraph" w:styleId="Heading5">
    <w:name w:val="heading 5"/>
    <w:basedOn w:val="Normal"/>
    <w:next w:val="Normal"/>
    <w:pPr>
      <w:keepNext w:val="1"/>
      <w:keepLines w:val="1"/>
      <w:spacing w:after="80" w:lineRule="auto"/>
      <w:jc w:val="both"/>
    </w:pPr>
    <w:rPr>
      <w:i w:val="1"/>
      <w:iCs w:val="1"/>
      <w:color w:val="073763"/>
      <w:sz w:val="18"/>
      <w:szCs w:val="18"/>
    </w:rPr>
  </w:style>
  <w:style w:type="paragraph" w:styleId="Heading6">
    <w:name w:val="heading 6"/>
    <w:basedOn w:val="Normal"/>
    <w:next w:val="Normal"/>
    <w:pPr>
      <w:keepNext w:val="1"/>
      <w:keepLines w:val="1"/>
      <w:spacing w:after="80" w:before="240" w:lineRule="auto"/>
      <w:jc w:val="both"/>
    </w:pPr>
    <w:rPr>
      <w:i w:val="1"/>
      <w:iCs w:val="1"/>
      <w:color w:val="073763"/>
      <w:sz w:val="20"/>
      <w:szCs w:val="20"/>
    </w:rPr>
  </w:style>
  <w:style w:type="paragraph" w:styleId="Title">
    <w:name w:val="Title"/>
    <w:basedOn w:val="Normal"/>
    <w:next w:val="Normal"/>
    <w:pPr>
      <w:keepNext w:val="1"/>
      <w:keepLines w:val="1"/>
      <w:spacing w:after="60" w:lineRule="auto"/>
      <w:jc w:val="both"/>
    </w:pPr>
    <w:rPr>
      <w:rFonts w:ascii="Tahoma" w:cs="Tahoma" w:eastAsia="Tahoma" w:hAnsi="Tahoma"/>
      <w:b w:val="1"/>
      <w:bCs w:val="1"/>
      <w:color w:val="073763"/>
      <w:sz w:val="42"/>
      <w:szCs w:val="4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mailto:djabbat@gmail.com" TargetMode="External"/><Relationship Id="rId7" Type="http://schemas.openxmlformats.org/officeDocument/2006/relationships/hyperlink" Target="https://doi.org/10.65649/hmrj2g17"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Tahoma-regular.ttf"/><Relationship Id="rId6" Type="http://schemas.openxmlformats.org/officeDocument/2006/relationships/font" Target="fonts/Tahoma-bold.ttf"/></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