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v1bje7vazkjs" w:id="0"/>
      <w:bookmarkEnd w:id="0"/>
      <w:r w:rsidDel="00000000" w:rsidR="00000000" w:rsidRPr="00000000">
        <w:rPr>
          <w:rtl w:val="0"/>
        </w:rPr>
        <w:t xml:space="preserve">The Main Cause of Organismal Aging </w:t>
      </w:r>
      <w:r w:rsidDel="00000000" w:rsidR="00000000" w:rsidRPr="00000000">
        <w:rPr>
          <w:sz w:val="22"/>
          <w:szCs w:val="22"/>
          <w:rtl w:val="0"/>
        </w:rPr>
        <w:t xml:space="preserve">—</w:t>
      </w:r>
      <w:r w:rsidDel="00000000" w:rsidR="00000000" w:rsidRPr="00000000">
        <w:rPr>
          <w:rtl w:val="0"/>
        </w:rPr>
        <w:t xml:space="preserve"> Accumulation of Unrepairable Old Centrioles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23"/>
        </w:numPr>
        <w:ind w:left="720" w:hanging="360"/>
        <w:jc w:val="both"/>
      </w:pPr>
      <w:r w:rsidDel="00000000" w:rsidR="00000000" w:rsidRPr="00000000">
        <w:rPr>
          <w:rtl w:val="0"/>
        </w:rPr>
        <w:t xml:space="preserve">There was a scientist named Leonard Hayflick. Before him, scientists thought that cells multiply infinitely. Aging was explained by ignorance of the "ideal" conditions for cells, and the efforts of immortalists were aimed at studying nutrition, sleep, and breathing patterns.</w:t>
      </w:r>
    </w:p>
    <w:p w:rsidR="00000000" w:rsidDel="00000000" w:rsidP="00000000" w:rsidRDefault="00000000" w:rsidRPr="00000000" w14:paraId="00000004">
      <w:pPr>
        <w:numPr>
          <w:ilvl w:val="0"/>
          <w:numId w:val="23"/>
        </w:numPr>
        <w:ind w:left="720" w:hanging="360"/>
        <w:jc w:val="both"/>
      </w:pPr>
      <w:r w:rsidDel="00000000" w:rsidR="00000000" w:rsidRPr="00000000">
        <w:rPr>
          <w:rtl w:val="0"/>
        </w:rPr>
        <w:t xml:space="preserve">Hayflick debunked this myth by proving that cells do not divide infinitely even under ideal conditions. By creating ideal conditions for cells and the body, one can only improve longevity, but not rejuvenate.</w:t>
      </w:r>
    </w:p>
    <w:p w:rsidR="00000000" w:rsidDel="00000000" w:rsidP="00000000" w:rsidRDefault="00000000" w:rsidRPr="00000000" w14:paraId="00000005">
      <w:pPr>
        <w:numPr>
          <w:ilvl w:val="0"/>
          <w:numId w:val="23"/>
        </w:numPr>
        <w:ind w:left="720" w:hanging="360"/>
        <w:jc w:val="both"/>
      </w:pPr>
      <w:r w:rsidDel="00000000" w:rsidR="00000000" w:rsidRPr="00000000">
        <w:rPr>
          <w:rtl w:val="0"/>
        </w:rPr>
        <w:t xml:space="preserve">Hayflick did not have time to debunk the myth that was formed after he discovered the replicative limit in non-stem cells - it is possible to rejuvenate cells and the body by increasing the replicative limit.</w:t>
      </w:r>
    </w:p>
    <w:p w:rsidR="00000000" w:rsidDel="00000000" w:rsidP="00000000" w:rsidRDefault="00000000" w:rsidRPr="00000000" w14:paraId="00000006">
      <w:pPr>
        <w:numPr>
          <w:ilvl w:val="0"/>
          <w:numId w:val="23"/>
        </w:numPr>
        <w:ind w:left="720" w:hanging="360"/>
        <w:jc w:val="both"/>
      </w:pPr>
      <w:r w:rsidDel="00000000" w:rsidR="00000000" w:rsidRPr="00000000">
        <w:rPr>
          <w:rtl w:val="0"/>
        </w:rPr>
        <w:t xml:space="preserve">With the advent of the Internet, we fruitfully collaborated, since I, like Leonard, approached the problem of aging from a thermodynamic point of view.</w:t>
      </w:r>
    </w:p>
    <w:p w:rsidR="00000000" w:rsidDel="00000000" w:rsidP="00000000" w:rsidRDefault="00000000" w:rsidRPr="00000000" w14:paraId="00000007">
      <w:pPr>
        <w:numPr>
          <w:ilvl w:val="0"/>
          <w:numId w:val="23"/>
        </w:numPr>
        <w:ind w:left="720" w:hanging="360"/>
        <w:jc w:val="both"/>
      </w:pPr>
      <w:r w:rsidDel="00000000" w:rsidR="00000000" w:rsidRPr="00000000">
        <w:rPr>
          <w:rtl w:val="0"/>
        </w:rPr>
        <w:t xml:space="preserve">Leonard (and also the Russian scientist Nadezhdina) helped to theoretically substantiate and support with new experimental data my Centriolar Theory of Differentiation, which explains the biological significance of the replicative limit.</w:t>
      </w:r>
    </w:p>
    <w:p w:rsidR="00000000" w:rsidDel="00000000" w:rsidP="00000000" w:rsidRDefault="00000000" w:rsidRPr="00000000" w14:paraId="00000008">
      <w:pPr>
        <w:numPr>
          <w:ilvl w:val="0"/>
          <w:numId w:val="23"/>
        </w:numPr>
        <w:ind w:left="720" w:hanging="360"/>
        <w:jc w:val="both"/>
      </w:pPr>
      <w:r w:rsidDel="00000000" w:rsidR="00000000" w:rsidRPr="00000000">
        <w:rPr>
          <w:rtl w:val="0"/>
        </w:rPr>
        <w:t xml:space="preserve">After the publication of Leonard Hayflick's last article "The greatest risk factor for the leading cause of death is ignored", he gave me courage and daily helped me formulate a special case, a consequence of the Centriolar Theory of Differentiation.</w:t>
      </w:r>
    </w:p>
    <w:p w:rsidR="00000000" w:rsidDel="00000000" w:rsidP="00000000" w:rsidRDefault="00000000" w:rsidRPr="00000000" w14:paraId="00000009">
      <w:pPr>
        <w:numPr>
          <w:ilvl w:val="0"/>
          <w:numId w:val="23"/>
        </w:numPr>
        <w:ind w:left="720" w:hanging="360"/>
        <w:jc w:val="both"/>
      </w:pPr>
      <w:r w:rsidDel="00000000" w:rsidR="00000000" w:rsidRPr="00000000">
        <w:rPr>
          <w:rtl w:val="0"/>
        </w:rPr>
        <w:t xml:space="preserve">With his help, I realized and then presented in "Reduction, Proliferation, and Differentiation Defects of Stem Cells Over Time: a Consequence of Selective Accumulation of Old Centrioles in the Stem Cells?" the theory of the initial version of the Centriolar Theory of Aging, the fact of selective accumulation of old centrioles (which are the only ones that cannot be repaired, i.e. accumulate structural defects in the cell). His questions and criticism were invaluable.</w:t>
      </w:r>
    </w:p>
    <w:p w:rsidR="00000000" w:rsidDel="00000000" w:rsidP="00000000" w:rsidRDefault="00000000" w:rsidRPr="00000000" w14:paraId="0000000A">
      <w:pPr>
        <w:numPr>
          <w:ilvl w:val="0"/>
          <w:numId w:val="23"/>
        </w:numPr>
        <w:ind w:left="720" w:hanging="360"/>
        <w:jc w:val="both"/>
      </w:pPr>
      <w:r w:rsidDel="00000000" w:rsidR="00000000" w:rsidRPr="00000000">
        <w:rPr>
          <w:rtl w:val="0"/>
        </w:rPr>
        <w:t xml:space="preserve">After his death, I was the only one who continues his work - substantiation of the fact that the main cause of aging is the influence of the 2nd law of thermodynamics. This model should be refined at least to the quantum electrodynamics model in order to safely and radically rejuvenate organisms.</w:t>
      </w:r>
    </w:p>
    <w:p w:rsidR="00000000" w:rsidDel="00000000" w:rsidP="00000000" w:rsidRDefault="00000000" w:rsidRPr="00000000" w14:paraId="0000000B">
      <w:pPr>
        <w:numPr>
          <w:ilvl w:val="0"/>
          <w:numId w:val="23"/>
        </w:numPr>
        <w:ind w:left="720" w:hanging="360"/>
        <w:jc w:val="both"/>
      </w:pPr>
      <w:r w:rsidDel="00000000" w:rsidR="00000000" w:rsidRPr="00000000">
        <w:rPr>
          <w:rtl w:val="0"/>
        </w:rPr>
        <w:t xml:space="preserve">Aging of the organism is the result of the accumulation of old, non-repairable centrioles (accumulating defects in a random mode) by the organism — due to the implementation of differentiation programs (in the processes of development and then self-restoration of tissues and organs), leading to the Hayflick replicative limit.</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Jaba Tkemaladze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3"/>
        </w:numPr>
        <w:ind w:left="720" w:hanging="360"/>
        <w:jc w:val="both"/>
      </w:pPr>
      <w:r w:rsidDel="00000000" w:rsidR="00000000" w:rsidRPr="00000000">
        <w:rPr>
          <w:rtl w:val="0"/>
        </w:rPr>
        <w:t xml:space="preserve">Institution</w:t>
      </w:r>
    </w:p>
    <w:p w:rsidR="00000000" w:rsidDel="00000000" w:rsidP="00000000" w:rsidRDefault="00000000" w:rsidRPr="00000000" w14:paraId="00000011">
      <w:pPr>
        <w:numPr>
          <w:ilvl w:val="0"/>
          <w:numId w:val="3"/>
        </w:numPr>
        <w:ind w:left="720" w:hanging="360"/>
        <w:jc w:val="both"/>
      </w:pPr>
      <w:r w:rsidDel="00000000" w:rsidR="00000000" w:rsidRPr="00000000">
        <w:rPr>
          <w:rtl w:val="0"/>
        </w:rPr>
        <w:t xml:space="preserve">Date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Heading1"/>
        <w:jc w:val="both"/>
        <w:rPr/>
      </w:pPr>
      <w:bookmarkStart w:colFirst="0" w:colLast="0" w:name="_pumy5s9ayhsj" w:id="1"/>
      <w:bookmarkEnd w:id="1"/>
      <w:r w:rsidDel="00000000" w:rsidR="00000000" w:rsidRPr="00000000">
        <w:rPr>
          <w:rtl w:val="0"/>
        </w:rPr>
        <w:t xml:space="preserve">Abstract</w:t>
      </w:r>
    </w:p>
    <w:p w:rsidR="00000000" w:rsidDel="00000000" w:rsidP="00000000" w:rsidRDefault="00000000" w:rsidRPr="00000000" w14:paraId="00000014">
      <w:pPr>
        <w:jc w:val="both"/>
        <w:rPr/>
      </w:pPr>
      <w:r w:rsidDel="00000000" w:rsidR="00000000" w:rsidRPr="00000000">
        <w:rPr>
          <w:rtl w:val="0"/>
        </w:rPr>
        <w:t xml:space="preserve">The centriolar theory of differentiation proposes that the asymmetric behavior of centrioles plays a critical role in determining cellular fate during differentiation. This thesis investigates the interplay between centriolar dynamics and the Hayflick Limit — the finite number of divisions a somatic cell can undergo before entering senescence. The study integrates insights from cellular biology, microscopy, and computational analysis to explore how centriolar asymmetry influences cellular aging and differentiation, ultimately shaping the replicative lifespan of cells.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 research delves into the structural and functional properties of centrioles, focusing on their selective inheritance during asymmetric cell division. Experimental findings reveal that the age and state of centrioles impact the regulation of key pathways involved in cellular proliferation and senescence. Specifically, the study uncovers evidence suggesting that older centrioles are preferentially allocated to cells undergoing terminal differentiation, while newer centrioles are retained in progenitor or stem-like cells, preserving their capacity for division.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The thesis also examines the molecular mechanisms linking centriolar dynamics to telomere shortening and DNA damage response, providing a unified framework that connects centrioles to the attainment of the Hayflick Limit. This connection is critical for understanding cellular aging, as it highlights the dual role of centrioles as both architects of cellular organization and regulators of replicative potential.</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findings have profound implications for regenerative medicine and aging research, suggesting novel approaches to delay senescence and enhance cellular rejuvenation. By targeting centriolar pathways, it may be possible to extend the functional lifespan of cells, providing therapeutic avenues for age-related diseases.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This work contributes to the growing body of evidence supporting the pivotal role of centrioles in cellular differentiation and aging, offering a new perspective on the mechanisms that define the limits of cellular division.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1"/>
        <w:jc w:val="both"/>
        <w:rPr/>
      </w:pPr>
      <w:bookmarkStart w:colFirst="0" w:colLast="0" w:name="_3ii3m6gukqz7" w:id="2"/>
      <w:bookmarkEnd w:id="2"/>
      <w:r w:rsidDel="00000000" w:rsidR="00000000" w:rsidRPr="00000000">
        <w:rPr>
          <w:rtl w:val="0"/>
        </w:rPr>
        <w:t xml:space="preserve">Acknowledgements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Leonard Hayflick for his patience and attention to detail in analyzing and revising both the Centriolar Theory of Aging and the Centriolar Theory of Replicative Aging that explains its biological foundations. Thanks to his ingenious thermodynamic model of aging, I was able to pinpoint more clearly the single structure in the body that selectively accumulates entropy - the centrioles of stem cells. For the second time, he gave us all hope of discovering the ultimate cause of aging.</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pStyle w:val="Heading1"/>
        <w:jc w:val="both"/>
        <w:rPr/>
      </w:pPr>
      <w:bookmarkStart w:colFirst="0" w:colLast="0" w:name="_qo63hc9tazbv" w:id="3"/>
      <w:bookmarkEnd w:id="3"/>
      <w:r w:rsidDel="00000000" w:rsidR="00000000" w:rsidRPr="00000000">
        <w:rPr>
          <w:rtl w:val="0"/>
        </w:rPr>
        <w:t xml:space="preserve">Table of Contents</w:t>
      </w:r>
    </w:p>
    <w:p w:rsidR="00000000" w:rsidDel="00000000" w:rsidP="00000000" w:rsidRDefault="00000000" w:rsidRPr="00000000" w14:paraId="00000023">
      <w:pPr>
        <w:pStyle w:val="Heading2"/>
        <w:jc w:val="both"/>
        <w:rPr/>
      </w:pPr>
      <w:bookmarkStart w:colFirst="0" w:colLast="0" w:name="_dtxeh3xt17ft" w:id="4"/>
      <w:bookmarkEnd w:id="4"/>
      <w:r w:rsidDel="00000000" w:rsidR="00000000" w:rsidRPr="00000000">
        <w:rPr>
          <w:rtl w:val="0"/>
        </w:rPr>
        <w:t xml:space="preserve">List of Figures and Tables</w:t>
      </w:r>
    </w:p>
    <w:p w:rsidR="00000000" w:rsidDel="00000000" w:rsidP="00000000" w:rsidRDefault="00000000" w:rsidRPr="00000000" w14:paraId="00000024">
      <w:pPr>
        <w:numPr>
          <w:ilvl w:val="0"/>
          <w:numId w:val="43"/>
        </w:numPr>
        <w:ind w:left="720" w:hanging="360"/>
        <w:jc w:val="both"/>
      </w:pPr>
      <w:r w:rsidDel="00000000" w:rsidR="00000000" w:rsidRPr="00000000">
        <w:rPr>
          <w:rtl w:val="0"/>
        </w:rPr>
        <w:t xml:space="preserve">Picture 1. Selective inheritance of newly formed structures and organelles during the transfer of the old maternal centriole to the sibling that maintains stem-like potential</w:t>
      </w:r>
    </w:p>
    <w:p w:rsidR="00000000" w:rsidDel="00000000" w:rsidP="00000000" w:rsidRDefault="00000000" w:rsidRPr="00000000" w14:paraId="00000025">
      <w:pPr>
        <w:numPr>
          <w:ilvl w:val="0"/>
          <w:numId w:val="43"/>
        </w:numPr>
        <w:ind w:left="720" w:hanging="360"/>
        <w:jc w:val="both"/>
      </w:pPr>
      <w:r w:rsidDel="00000000" w:rsidR="00000000" w:rsidRPr="00000000">
        <w:rPr>
          <w:rtl w:val="0"/>
        </w:rPr>
        <w:t xml:space="preserve">Picture 2. The structural model of the cartwheel, which represents a fundamental component of the centriole and is crucial for its assembly and proper functioning </w:t>
      </w:r>
    </w:p>
    <w:p w:rsidR="00000000" w:rsidDel="00000000" w:rsidP="00000000" w:rsidRDefault="00000000" w:rsidRPr="00000000" w14:paraId="00000026">
      <w:pPr>
        <w:numPr>
          <w:ilvl w:val="0"/>
          <w:numId w:val="43"/>
        </w:numPr>
        <w:ind w:left="720" w:hanging="360"/>
        <w:jc w:val="both"/>
      </w:pPr>
      <w:r w:rsidDel="00000000" w:rsidR="00000000" w:rsidRPr="00000000">
        <w:rPr>
          <w:rtl w:val="0"/>
        </w:rPr>
        <w:t xml:space="preserve">Picture 3. The detailed structure of the centriole and the complex process of its biogenesis, including the molecular mechanisms involved in its formation and maintenance</w:t>
      </w:r>
    </w:p>
    <w:p w:rsidR="00000000" w:rsidDel="00000000" w:rsidP="00000000" w:rsidRDefault="00000000" w:rsidRPr="00000000" w14:paraId="00000027">
      <w:pPr>
        <w:numPr>
          <w:ilvl w:val="0"/>
          <w:numId w:val="43"/>
        </w:numPr>
        <w:ind w:left="720" w:hanging="360"/>
        <w:jc w:val="both"/>
      </w:pPr>
      <w:r w:rsidDel="00000000" w:rsidR="00000000" w:rsidRPr="00000000">
        <w:rPr>
          <w:rtl w:val="0"/>
        </w:rPr>
        <w:t xml:space="preserve">Picture 4. Model of the centriolar architecture</w:t>
      </w:r>
    </w:p>
    <w:p w:rsidR="00000000" w:rsidDel="00000000" w:rsidP="00000000" w:rsidRDefault="00000000" w:rsidRPr="00000000" w14:paraId="00000028">
      <w:pPr>
        <w:numPr>
          <w:ilvl w:val="0"/>
          <w:numId w:val="43"/>
        </w:numPr>
        <w:ind w:left="720" w:hanging="360"/>
        <w:jc w:val="both"/>
      </w:pPr>
      <w:r w:rsidDel="00000000" w:rsidR="00000000" w:rsidRPr="00000000">
        <w:rPr>
          <w:rtl w:val="0"/>
        </w:rPr>
        <w:t xml:space="preserve">Picture 5. The proximal organization of the centriole</w:t>
      </w:r>
    </w:p>
    <w:p w:rsidR="00000000" w:rsidDel="00000000" w:rsidP="00000000" w:rsidRDefault="00000000" w:rsidRPr="00000000" w14:paraId="00000029">
      <w:pPr>
        <w:numPr>
          <w:ilvl w:val="0"/>
          <w:numId w:val="43"/>
        </w:numPr>
        <w:ind w:left="720" w:hanging="360"/>
        <w:jc w:val="both"/>
      </w:pPr>
      <w:r w:rsidDel="00000000" w:rsidR="00000000" w:rsidRPr="00000000">
        <w:rPr>
          <w:rtl w:val="0"/>
        </w:rPr>
        <w:t xml:space="preserve">Picture 6. The central core and inner scaffold</w:t>
      </w:r>
    </w:p>
    <w:p w:rsidR="00000000" w:rsidDel="00000000" w:rsidP="00000000" w:rsidRDefault="00000000" w:rsidRPr="00000000" w14:paraId="0000002A">
      <w:pPr>
        <w:numPr>
          <w:ilvl w:val="0"/>
          <w:numId w:val="43"/>
        </w:numPr>
        <w:ind w:left="720" w:hanging="360"/>
        <w:jc w:val="both"/>
      </w:pPr>
      <w:r w:rsidDel="00000000" w:rsidR="00000000" w:rsidRPr="00000000">
        <w:rPr>
          <w:rtl w:val="0"/>
        </w:rPr>
        <w:t xml:space="preserve">Picture 7. The centriolar appendages and MIPs</w:t>
      </w:r>
    </w:p>
    <w:p w:rsidR="00000000" w:rsidDel="00000000" w:rsidP="00000000" w:rsidRDefault="00000000" w:rsidRPr="00000000" w14:paraId="0000002B">
      <w:pPr>
        <w:numPr>
          <w:ilvl w:val="0"/>
          <w:numId w:val="43"/>
        </w:numPr>
        <w:ind w:left="720" w:hanging="360"/>
        <w:jc w:val="both"/>
      </w:pPr>
      <w:r w:rsidDel="00000000" w:rsidR="00000000" w:rsidRPr="00000000">
        <w:rPr>
          <w:rtl w:val="0"/>
        </w:rPr>
        <w:t xml:space="preserve">Picture 8. Possible mechanism of the emergence of somatic and germ cell lines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pStyle w:val="Heading1"/>
        <w:jc w:val="both"/>
        <w:rPr/>
      </w:pPr>
      <w:bookmarkStart w:colFirst="0" w:colLast="0" w:name="_sbb5qidfql9w" w:id="5"/>
      <w:bookmarkEnd w:id="5"/>
      <w:r w:rsidDel="00000000" w:rsidR="00000000" w:rsidRPr="00000000">
        <w:rPr>
          <w:rtl w:val="0"/>
        </w:rPr>
        <w:t xml:space="preserve">Chapter 1: Introduction</w:t>
      </w:r>
    </w:p>
    <w:p w:rsidR="00000000" w:rsidDel="00000000" w:rsidP="00000000" w:rsidRDefault="00000000" w:rsidRPr="00000000" w14:paraId="0000002E">
      <w:pPr>
        <w:pStyle w:val="Heading2"/>
        <w:jc w:val="both"/>
        <w:rPr/>
      </w:pPr>
      <w:bookmarkStart w:colFirst="0" w:colLast="0" w:name="_pecwgtlygxtr" w:id="6"/>
      <w:bookmarkEnd w:id="6"/>
      <w:r w:rsidDel="00000000" w:rsidR="00000000" w:rsidRPr="00000000">
        <w:rPr>
          <w:rtl w:val="0"/>
        </w:rPr>
        <w:t xml:space="preserve">1.1 Relevance</w:t>
      </w:r>
    </w:p>
    <w:p w:rsidR="00000000" w:rsidDel="00000000" w:rsidP="00000000" w:rsidRDefault="00000000" w:rsidRPr="00000000" w14:paraId="0000002F">
      <w:pPr>
        <w:jc w:val="both"/>
        <w:rPr/>
      </w:pPr>
      <w:r w:rsidDel="00000000" w:rsidR="00000000" w:rsidRPr="00000000">
        <w:rPr>
          <w:rtl w:val="0"/>
        </w:rPr>
        <w:t xml:space="preserve">Centrioles are among the most important organelles in a cell, playing a critical role in maintaining cellular polarity and regulating cell signaling. Their structural and functional significance has been acknowledged for several decades. However, recent in-depth studies reveal that centrioles are also crucial for processes such as cellular differentiation and the progression of cell lineages toward the Hayflick limit. Dysfunction in centriole activity can lead to a wide range of diseases, including cancer, and accelerate tissue aging.</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Centrioles play an indispensable role in cellular differentiation. Embryos unable to sustain centriole replication arrest at very early developmental stages (Stevens, 2007). These organelles are also essential for the formation of cilia, which serve as sensors for external signals, including molecules regulating cellular polarity and differentiation. Consequently, any structural alterations in centrioles can impair the cell's ability to perceive external signals, thereby disrupting normal differentiation processes.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Cilia, organized by centrioles, are vital for cellular signaling. One of their primary functions is the regulation of specific molecules that influence cell differentiation and tissue development (Schatten et al., 2011). For example, cilia are integral to the regulation of signaling pathways such as Wnt and Hedgehog, which are crucial for cellular differentiation in various tissues. This finding is supported by numerous studies, including research by (Pedersen et al., 2012) and others, which emphasize the connection between centriole function and cellular differentiation processes.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Centrioles are also critically involved in the phenomenon of replicative cellular aging. During this aging process, the oldest centrioles (which, according to the second law of thermodynamics, are more defective (Hayflick, 2021)) selectively accumulate, impairing their function in mitosis and other cellular activities. When old centrioles/centrosomes can no longer effectively participate in cell division, this results in cellular dysfunction, reduced proliferative capacity, and accelerated tissue aging (Schatten, H., &amp; Sun, Q. Y., 2009). Modern research suggests that organismal aging is associated with the selective accumulation of defective centrioles and the asymmetric segregation of chromosomes in stem cells, which may diminish their ability to differentiate and repair damaged tissues (Charville, G. W., &amp; Rando, T. A., 2011).</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Replicative cellular aging is known to involve the inheritance of new centrioles during asymmetric divisions, while the replicative age is maintained through the inheritance of old centrioles (Reina, J., &amp; Gonzalez, C., 2014). Old centrioles may cause disorganization of the mitotic spindle and other issues in the cell cycle. This is supported by studies showing that reduced regeneration rates are linked to a decline in stem cell division rates, which, in turn, result from the accumulation of old (and more defective) centrioles. This disrupts normal cell division and accelerates the organism's aging process (Lavasani et al., 2012). Such centriole defects can significantly impact normal cellular function, as demonstrated in studies examining the consequences of centriole dysfunction in stem cells (Wu et al., 2020).</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Stem cells possess the unique ability to divide asymmetrically, producing one daughter cell that undergoes differentiation and another that replenishes the stem cell pool. This makes them key subjects for research on tissue regeneration and aging. However, the efficiency of stem cells also depends on the condition of their centrioles. Dysfunction in centrioles can compromise the capacity of stem cells for proper differentiation and regeneration. This finding is supported by studies (Cheng et al., 2008) highlighting the importance of maintaining normal centriole function for stem cell activity.</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Despite the presence of centrioles at the poles of the mitotic spindle, centrioles are not always essential for mitosis, even in species that typically contain them (Debec et al., 2010). Progression through the cell cycle and cytokinesis can become defective in the absence of centrioles (Mikule et al., 2007), although this may result from indirect effects. For example, G1 arrest in mammalian cells following centriole removal is caused by increased sensitivity to stress rather than an absolute requirement for centrioles during cell cycle progression (Uetake et al., 2007).</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While centrioles are not essential for spindle assembly, they are more critical for spindle positioning. When centrioles are experimentally removed, spindles drift within the cell (Hinchcliffe et al., 2001). In vertebrates, centriole positioning appears to respond to planar cell polarity signals (Montcouquiol, M. &amp; Kelley, M. W., 2003), consistent with the localization of certain planar cell polarity proteins to centrioles (Park et al., 2006). Proper spindle positioning by centrioles is believed to be necessary for normal tissue development, as spindle orientation defects caused by mutations in centriole-associated genes can lead to nephronophthisis, a kidney cystic disease associated with abnormally wide ducts (Simons, M., &amp; Walz, G., 2006).</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An intriguing possibility is that the centriole positioning pathway might be specific to the mother centriole, the oldest centriole in the G1 centrosome and the only fully mature centriole (i.e., capable of acting as a basal body) in a typical vertebrate cell. This is suggested by the analysis of dividing stem cells in the male germline of Drosophila, where the mitotic spindle is always oriented so that the old centriole is anchored to the side of the cell adjacent to the stem cell niche (Yamashita et al., 2007). A similar shift in the mother centriole's position is observed in radial glial progenitor cells in mice (Wang et al., 2009). Notably, depletion of ninein, a protein required for the stable anchoring of microtubules at mother centrioles, disrupts this asymmetry in mother centriole segregation, ultimately leading to premature depletion of the stem cell pool (Mogensen et al., 2000). In Chlamydomonas mutants with disrupted connections between mother and daughter centrioles, the mother centrioles move to the correct position, while the daughter centrioles do not, suggesting that the mother centriole uniquely responds to positioning cues (Feldman et al., 2007).</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One of the key aspects that draws the attention of scientists is the selective inheritance of old centrioles in stem cells during asymmetric divisions. This results in the decline of cell division quality and reduced capacity of stem cells to sustain normal tissue regeneration. Such disruptions may be associated with chronic inflammation and reduced stem cell activity, leading to age-related diseases and a decline in overall organismal health. The phenomenon of new centriole inheritance by the daughter cell destined for differentiation and progression toward the Hayflick limit remains unexplained.</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Investigating the molecular mechanisms through which centrioles regulate cell differentiation and replicative aging is pivotal for understanding the aging process and developing novel therapeutic strategies. Dysfunction in centrioles can lead to various diseases, including cancer, and accelerate organismal aging. For instance, centriole defects are associated with tumor development due to their impact on the cell cycle, potentially causing uncontrolled cell division (Qi, F., &amp; Zhou, J., 2021).</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Moreover, centrioles can serve as therapeutic targets for treating diseases associated with their dysfunction. In cases of cancer or other diseases involving defective centrioles, drugs could be developed to restore their function, thereby slowing disease progression and promoting normal cell division. It is likely that in treating the primary disease—aging—centrioles will also become a central therapeutic target.</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Centrioles/centrosomes play a crucial role in cellular differentiation and organismal aging, particularly in the functioning of stem cells. Their activity profoundly influences tissue regeneration and the maintenance of cellular homeostasis. Dysfunction in centrioles can lead to various diseases, including cancer, and accelerate the aging process. Therefore, further research into the role of centrioles in these processes could lead to new therapeutic strategies for treating age-related diseases, cancer, tissue and organ regeneration, and organismal rejuvenation.</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2"/>
        <w:jc w:val="both"/>
        <w:rPr/>
      </w:pPr>
      <w:bookmarkStart w:colFirst="0" w:colLast="0" w:name="_c7tj01il2j1f" w:id="7"/>
      <w:bookmarkEnd w:id="7"/>
      <w:r w:rsidDel="00000000" w:rsidR="00000000" w:rsidRPr="00000000">
        <w:rPr>
          <w:rtl w:val="0"/>
        </w:rPr>
        <w:t xml:space="preserve">1.2 Role of Centrioles in Cellular Biology</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Typically, centrioles exist in pairs: one centriole, which is older, is referred to as the "mother" centriole, while the other, which is newer, is called the "daughter" centriole. These centrioles are oriented orthogonally to one another, meaning they are positioned at a 90-degree angle, enabling their efficient participation in the process of mitosis. The mother centriole plays a pivotal role in organizing the mitotic spindle and forming basal bodies (Debec et al., 2010), whereas the daughter centriole is involved in cell division as well as in the organization of cilia and flagella (Breslow et al., 2019), which are crucial for cellular signaling and polarity.</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Centrioles perform an indispensable function in organizing the mitotic spindle, a structure responsible for the even distribution of chromosomes between daughter cells. During cell division, centrioles replicate, and one centriole from each pair migrates to the opposite pole of the cell. This movement facilitates the formation of the mitotic spindle, which guides chromosomes during cell division. Disruptions in centriole function can result in abnormal chromosome segregation, a condition often associated with cancer and other pathological conditions (Piemonte et al., 2021).</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Centrioles are also vital for maintaining cellular polarity, which is particularly significant for cells requiring strict orientation within tissues, such as epithelial cells. For instance, centrioles are involved in the formation of basal bodies, which, in turn, are structural components of cilia and flagella. These cilia are responsible for detecting external signals and maintaining cellular polarity. Defects in these processes can lead to disorganized cellular architecture and the development of various diseases, such as cystic fibrosis and other ciliopathies (e.g., primary ciliary dyskinesia syndrome) (Ware et al., 2011).</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Centrioles influence the process of cellular differentiation by contributing to the organization of cellular structures necessary for proper differentiation. For example, during stem cell differentiation, centrioles play a critical role in establishing cell polarity and facilitating interactions with neighboring cells. Additionally, centrioles impact signaling pathways, such as Wnt and Hedgehog, which regulate differentiation processes and tissue development. This highlights the importance of normal centriole function for maintaining healthy tissues and supporting proper cellular differentiation.</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One of the most intriguing and relevant topics in current research is the role of centrioles in limiting differentiation potential and contributing to organismal aging. It is known that there is selective accumulation of mother (older) centrioles in stem cells, which progressively disrupts their ability to divide normally and reduces the rate of division (Yang et al., 2018). This, in turn, slows down cellular replication and impairs the regenerative capacities of tissues.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Cancer is one of the most evident examples of diseases associated with impaired centriole function. Under normal circumstances, centrioles ensure proper cell division. However, defects in centrioles or the accumulation of old centrioles can lead to issues with chromosome segregation, contributing to tumorigenesis. Recent studies have demonstrated that centriole defects are one of the causes of chromosomal instability, which can result in the uncontrolled cell proliferation characteristic of tumors (Marteil et al., 2018).</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Furthermore, altered centriole function may affect cell migration, an essential factor in tumor metastasis. Some studies indicate that defective centrioles can promote tumor cell migration and metastasis formation (Weier et al., 2022), making centrioles important targets for the development of new cancer treatments.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Centrioles play a fundamental role in cellular biology, performing critical functions in cell division, maintaining cellular polarity, facilitating cellular differentiation, and influencing aging processes. Disruptions in centriole function can lead to various diseases, including cancer, and accelerate organismal aging. Understanding the molecular mechanisms through which centrioles regulate these processes will open new avenues for developing therapeutic strategies aimed at treating age-related diseases, cancer, and other disorders associated with impaired cellular homeostasis.</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2"/>
        <w:jc w:val="both"/>
        <w:rPr/>
      </w:pPr>
      <w:bookmarkStart w:colFirst="0" w:colLast="0" w:name="_hzh87hrpcb0a" w:id="8"/>
      <w:bookmarkEnd w:id="8"/>
      <w:r w:rsidDel="00000000" w:rsidR="00000000" w:rsidRPr="00000000">
        <w:rPr>
          <w:rtl w:val="0"/>
        </w:rPr>
        <w:t xml:space="preserve">1.3 Replicative Hayflick Limit</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In the mid-20th century, Leonard Hayflick discovered a phenomenon that revolutionized our understanding of cellular biology: normal human cells in culture have a limited capacity for division (Hayflick, L., &amp; Moorhead, P. S., 1961). This groundbreaking observation provided crucial insights into the processes of aging. At the time, only a small number of researchers around the world ventured into the field of biogerontology, which was considered obscure and lacked prestige in the scientific community. The discipline, rooted in ancient tales such as the mystical practices of Aietes and Medea, was viewed with skepticism and often dismissed as unscientific.</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The prevailing dogma in cell culture studies of that era held that all cells were inherently capable of infinite division. When cells ceased to proliferate, it was presumed to result from insufficient knowledge about optimal cultivation conditions. Therefore, Hayflick’s observations initially did not attract much attention. His work with human embryonic fibroblast cell cultures revealed a pattern: the cells flourished robustly for months before they inevitably stopped dividing and perished. This cessation of proliferation was commonly attributed to unknown limitations in culture techniques or nutrient formulations.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Ever since Ross Harrison developed techniques for cell culture in the early 20th century (Harrison, R. G., 1907), every normal cell culture, with one notable exception, ultimately succumbed to death. This was accepted as a technical inevitability. However, in 1943, Wilton Earle successfully isolated the first immortalized cell line, known as L-cells, from mouse fibroblasts (Earle, 1943). This significant achievement marked a turning point in cellular research and set the stage for Hayflick’s later discoveries.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In 1949, a group of researchers, including Enders, Weller, and Robbins, achieved a milestone in cell culture by demonstrating that the poliovirus could replicate in non-neuronal human embryonic cells (Enders et al., 1949). The cells they used were fibroblasts derived from the foreskin of a newborn, believed to be normal at the time. These experiments further popularized the cultivation of human cells, making it accessible and widely adopted.</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Hayflick’s keen observations revealed that human fibroblast cultures, initiated at different times, exhibited a remarkable consistency: they stopped dividing after approximately 50 population doublings, regardless of the cultivation conditions. He classified the stages of cell culture into three phases. Phase I represented the primary culture when cells were freshly isolated. Phase II encompassed a period of vigorous growth lasting several months. Phase III marked a decline in cell division, culminating in the cessation of proliferation and cell death.</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Motivated by these findings, Hayflick embarked on a series of experiments in collaboration with cytogeneticist Paul Moorhead. Their objective was to determine whether the observed limit on cell division was an artifact of culture conditions or a fundamental biological phenomenon. They conducted a pivotal experiment by mixing equal numbers of male cells (bearing XY chromosomes) at their 40th division with female cells (bearing XX chromosomes) at their 20th division. The mixed culture was monitored for 20 additional population doublings. Astonishingly, only the younger female cells persisted, while the older male cells ceased to divide. Control experiments confirmed this outcome: younger cells consistently outcompeted older ones, disproving hypotheses that culture conditions, toxins, or nutrient deficiencies were responsible.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This series of experiments provided a groundbreaking insight: older cells lose their proliferative capacity earlier than younger cells, even under identical conditions. It became evident that the cessation of division was not due to external factors but was instead an intrinsic property of normal cells. To further substantiate their findings, Hayflick and Moorhead sent samples of cell cultures to other leading experts in the field of cell culture, individuals who had initially expressed skepticism about their results. These samples, provided at early stages of division, came with instructions to monitor them for six months—the period during which Hayflick and Moorhead predicted that the cultures would stop dividing. As anticipated, every recipient reported that the cultures ceased proliferation, further validating the original observations.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In another crucial experiment, human cells were transplanted into the cheek pouch of hamsters, a site that is immunologically privileged and does not provoke an immune response. Unlike abnormal, immortalized cell lines such as L-cells or HeLa cells, which proliferated unchecked in this environment, normal human cells failed to grow. This result highlighted the profound differences between normal, replication-limited cells and immortalized, abnormal cells commonly associated with cancer.</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Additionally, Hayflick and Moorhead tested normal human cells by inoculating them into terminally ill cancer patients. In these experiments, normal cells were transplanted into one arm of the patient, while immortal HeLa cells served as a control and were transplanted into the other arm. As expected, the HeLa cells proliferated and formed a nodule, while the normal human cells showed no evidence of growth. These findings, coupled with cytogenetic analyses, solidified the distinction between normal replicative mortality and the unchecked replication characteristic of cancer cells.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One of the most profound conclusions from Hayflick and Moorhead's work was the identification of two distinct classes of cells: replicatively mortal and replicatively immortal. Furthermore, they posited that these classes have corresponding counterparts in vivo, with replicative immortality often associated with cancer. Their work laid the foundation for subsequent research into the mechanisms that govern cellular aging and immortalization, two phenomena that are deeply intertwined with the broader processes of aging and oncogenesis (Hayflick, 1965).</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The discovery of the replicative limit introduced the concept of a hypothetical intracellular mechanism, later termed the "replicometer," which acts as a biological counter, limiting the number of population doublings. This concept was supported by observations in cryopreservation experiments. Human diploid cells frozen at different population doubling levels—from one to fifty—retained a "memory" of their replication history. Upon thawing, these cells resumed proliferation but ceased dividing once they reached the cumulative limit of 50 population doublings. This remarkable consistency strongly suggested the existence of an intrinsic "biological clock" governing cellular lifespan.</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Hayflick’s unpublished observations further reinforced the robustness of this mechanism. For instance, the WI-38 cell strain, developed by Hayflick in 1962, demonstrated its capacity to retain division memory after decades of cryopreservation. Even after 36 years of storage, WI-38 cells preserved their replication history without any loss, representing the longest known preservation of viable human cells in frozen conditions.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Alternative explanations for the cessation of cellular division were proposed but ultimately rejected. One hypothesis suggested that normal cells might deplete an essential molecule in culture that is only available in vivo. However, calculations demonstrated that such a molecule would have to be replenished rapidly, as cells continued dividing for up to 50 doublings. A depletion model akin to a car running out of fuel was deemed implausible.</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This left one viable explanation: the limit on cellular division must be due to intrinsic molecular processes. For decades, the dominant view had been that cells in culture were immortal and that aging resulted from extracellular factors such as radiation, environmental stress, or changes in the extracellular matrix. Hayflick and Moorhead’s findings challenged this paradigm, proving that normal human cells were inherently limited in their replication potential. This revelation suggested that cellular aging, or "Phase III," could represent a manifestation of organismal aging at the cellular level.</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Further experiments supported the link between cellular aging and the replicative limit. For example, it was observed that fibroblast cultures derived from older donors underwent fewer divisions compared to those derived from embryonic tissues. This correlation reinforced the hypothesis that the phenomenon of "Phase III" is intrinsically tied to aging processes.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The field of cellular immortality was not without its controversies. Early in the 20th century, Alexis Carrel, a Nobel Prize-winning surgeon, claimed that fibroblasts derived from chicken heart tissue could divide indefinitely in culture. Carrel’s findings suggested that isolated cells were inherently immortal, implying that aging was not a result of intracellular processes. His experiments, however, were later called into question. It was revealed that his cultures were maintained using daily additions of embryonic chicken tissue extract, inadvertently introducing fresh cells into the culture. Despite repeated attempts, no other researcher was able to replicate Carrel’s results, leading to the conclusion that his findings were invalid.</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revelations stemming from Hayflick and Moorhead's work on cellular aging spurred further investigations into the mechanisms underpinning replicative mortality and immortality, which were increasingly recognized as fundamental to understanding both aging and cancer. The critical importance of identifying the hypothetical replicometer proposed by Hayflick and Moorhead could not be overstated. The replicometer, they hypothesized, was a molecular mechanism that tracked the number of cellular divisions, dictating the replicative lifespan of normal cells.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At the same time, advancements in chromosomal biology offered tantalizing clues about the nature of this replicometer. Decades earlier, scientists such as Hermann Muller (Muller, 1962) and Barbara McClintock (McClintock, 1941) had described specialized structures at the ends of chromosomes, now known as telomeres. These regions were thought to prevent chromosomes from fusing end-to-end and to assist in their attachment to the nuclear envelope during cellular processes. However, the precise role of telomeres in regulating cell division remained unclear.</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In the early 1970s, research revealed a critical problem in DNA replication: the so-called "end-replication problem." DNA polymerase, the enzyme responsible for copying genetic material, was unable to fully replicate the ends of linear DNA strands (Watson, 1972). This limitation meant that with each replication cycle, a small portion of DNA at the chromosome ends remained unreplicated, leading to progressive shortening of the telomeres.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Around the same time, Alexey Olovnikov independently hypothesized that this progressive shortening of telomeres might explain why normal cells have a limited capacity to divide (Olovnikov, 1996). As he traveled on the Moscow metro, Olovnikov imagined DNA polymerase as a train on a track, representing the DNA strand. The enzyme, like a locomotive, could not replicate the segment of DNA beneath it at the track's starting point. Olovnikov proposed that telomeres function as a buffer zone of repetitive, non-coding sequences, which are gradually shortened with each replication cycle. Once the telomeres reach a critically short length, the cell can no longer divide, triggering senescence.</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This groundbreaking idea was supported by later discoveries. In 1978, Elizabeth Blackburn and Joseph Gall, working with the ciliated protozoan Tetrahymena, identified that telomeres consisted of simple, repetitive sequences of six nucleotide pairs (TTGGGG) (Blackburn &amp; Gall, 1978). In humans and other vertebrates, this sequence was later found to be TTAGGG, repeated thousands of times to form the telomeric regions of chromosomes. Notably, this sequence was highly conserved across species, underscoring its evolutionary importance (Henderson, 1995).</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Further research revealed that telomere shortening occurred not only in cultured cells but also in vivo. Studies demonstrated that telomere length progressively decreased with age in various human cell types, including skin epidermal cells (Lindsey et al., 1991), peripheral blood leukocytes, and epithelial cells of the colon (Allsopp et al., 1992). These findings provided the first tangible evidence for the existence of a replicometer and its potential role in aging.</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Allsopp et al. conducted a seminal study analyzing fibroblast cultures from 31 human donors ranging in age from a few months to 93 years. They found a striking correlation between the initial length of telomeres and the replicative capacity of the cells. Fibroblasts with shorter telomeres underwent fewer divisions compared to those with longer telomeres. The researchers concluded that telomere length serves as a biomarker of replicative aging in human somatic cells, lending support to the hypothesis that telomere shortening is causally linked to the aging process. Furthermore, fibroblasts derived from donors with Hutchinson-Gilford progeria syndrome—a condition characterized by accelerated aging—were found to have abnormally short telomeres and reduced replicative potential in vitro.</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Interestingly, sperm cells, which play a critical role in reproduction, were found to maintain telomere length regardless of donor age. This observation hinted at the existence of a molecular mechanism capable of preserving telomere length in specific cell types.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The discovery of telomere shortening as a key driver of replicative aging was soon followed by the identification of telomerase, an enzyme capable of counteracting this process. In studies of Tetrahymena, Blackburn and Carol Greider identified telomerase as a ribonucleoprotein enzyme that synthesizes telomeric repeats de novo, effectively extending the length of telomeres (Greider &amp; Blackburn, 1985). Telomerase contains two critical components: a reverse transcriptase enzyme and an RNA template used to synthesize the repetitive sequences (Shippen-Lentz &amp; Blackburn, 1990).</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Subsequent research revealed that telomerase activity was absent in most normal human somatic cells, which explained why telomeres shorten over successive divisions. However, telomerase was found to be active in certain cell types, such as germ cells, stem cells, and cancer cells. This discovery established a direct link between telomerase activity and the phenomenon of replicative immortality. Indeed, telomerase was detected in approximately 90% of all human cancers studied, highlighting its critical role in tumorigenesis (Hastie et al., 1990; de Lange et al., 1990).</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In a groundbreaking experiment, researchers demonstrated that introducing the catalytic subunit of human telomerase into normal human cells could extend their replicative lifespan without inducing malignant transformation (Bodnar et al., 1998). This finding provided definitive evidence that telomere shortening is a primary mechanism limiting cellular replication and that telomerase plays a pivotal role in bypassing this limitation.</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These findings established telomerase as a key player in the regulation of cellular aging and opened new avenues for therapeutic interventions. The introduction of telomerase into normal cells not only extended their replicative lifespan but also provided critical insights into the mechanisms underlying aging and immortality at the cellular level. This discovery marked a turning point in our understanding of cellular biology, as it highlighted the central role of telomere dynamics in determining the lifespan and fate of cells.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While telomerase activity is typically absent in most normal somatic cells, its expression was found in several types of cells with high regenerative potential. These included fetal tissues, stem cells in the bone marrow, testicular tissues, peripheral blood lymphocytes, skin epidermal cells, and intestinal crypt cells. In these populations, telomerase plays a critical role in maintaining telomere length, allowing for continuous proliferation to support tissue regeneration and renewal. Importantly, however, the levels of telomerase activity observed in these normal cells were significantly lower than those found in cancer cells, suggesting a tightly regulated mechanism to prevent uncontrolled growth.</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One of the most compelling experiments demonstrated that normal human cell lines could be rendered replicatively immortal by introducing vectors containing genes encoding the catalytic subunit of human telomerase (Bodnar et al., 1998). Remarkably, these cells retained their normal properties despite gaining the ability to divide indefinitely, providing direct evidence that telomere shortening is the primary mechanism limiting the replicative lifespan of normal cells. These experiments also suggested that cellular aging, driven by the replicative limit, may not directly underpin the aging of entire organisms.</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Leonard Hayflick himself proposed an alternative hypothesis regarding the role of telomeres in aging. According to his theory, grounded in the second law of thermodynamics, the shortening of telomeres in replication-limited cells may represent a molecular equivalent of a pre-set lifespan for an organism, which differs from aging and is defined as follows: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In nature, very few wild animals experience aging, as they often succumb to predation, disease, accidents, or environmental extremes before reaching an advanced age. As a result, natural selection could not favor a genetic program designed specifically for aging. Instead, natural selection prioritizes traits that maximize reproductive success and survival during the early stages of life. These traits include enhanced survival skills and sufficient physiological reserves to overcome external challenges. Once reproductive success is achieved, natural selection exerts less influence, as the survival of the species no longer depends on prolonged individual longevity.</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According to Hayflick’s view, the level of physiological reserve remaining after reproductive maturity determines the lifespan of an organism. This reserve develops as a byproduct of selection processes favoring early life traits. However, as organisms age, the rate of damage accumulation surpasses the body’s repair capacity, leading to an increase in molecular disorder. This disorder manifests as the physiological decline associated with aging, ultimately increasing vulnerability to disease, predation, or environmental stress (Hayflick, 1994).</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Hayflick argued that the accumulation of molecular disorder, and the processes that sustain it, lead to a gradual loss of cellular function. Consequently, the number of population doublings a normal cell can undergo—determined by telomere length—may represent the maximum potential lifespan of a culture. The molecular disruptions that signal the approach of replicative senescence and reduced telomere length are age-related changes that, when occurring in vivo, increase susceptibility to disease and pathology, leading to death before reaching the theoretical maximum lifespan.</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Despite Hayflick’s skepticism regarding the existence of a specific aging program, he acknowledged that the phenomenon of aging at the cellular level could have implications for understanding organismal aging. Over years of discussions, Hayflick came to consider that molecular entropy might accumulate selectively in the oldest centrioles of stem cells during asymmetric division. This selective accumulation, he believed, could represent a novel perspective on the aging process. However, Hayflick never fully embraced this hypothesis before his passing, leaving it as an unresolved question in the field.</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The link between telomeres and the replicative lifespan of cells has been extensively studied and remains a cornerstone of modern cellular biology. Observations that telomere shortening correlates with cellular aging have driven efforts to manipulate telomere dynamics for therapeutic purposes. For example, it is now known that the critical shortening of telomeres triggers a series of cellular responses that signal the cessation of division. This mechanism protects against genomic instability but simultaneously limits the regenerative capacity of tissues.</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Further studies have revealed a critical distinction between two cell types: those destined to perish due to telomere shortening and those that evade this fate. Cells involved in tissue regeneration, such as stem cells, and reproductive cells, such as spermatozoa and zygotes, exhibit mechanisms that preserve telomere length, allowing them to bypass replicative senescence.</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In their seminal studies with Tetrahymena, Greider and Blackburn provided direct evidence of the critical role telomerase plays in maintaining telomeres. This enzyme acts by synthesizing telomeric repeats at the chromosome ends, effectively counteracting telomere shortening (Greider &amp; Blackburn, 1985). The discovery that telomerase is a ribonucleoprotein complex containing reverse transcriptase and an RNA template revolutionized our understanding of how cellular immortality is achieved (Shippen-Lentz &amp; Blackburn, 1990).</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Additionally, studies have shown that cancer cells often exploit this mechanism to achieve uncontrolled proliferation. Telomerase activity has been detected in approximately 90% of human tumors, highlighting its central role in enabling cancer cells to evade the normal replicative limits imposed by telomeres (Hastie et al., 1990; de Lange et al., 1990).</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The connection between telomere biology and cancer has profound implications for understanding tumorigenesis and developing potential therapies. While normal somatic cells experience telomere shortening and eventual replicative senescence, cancer cells evade this limit by reactivating telomerase. This discovery has catalyzed the exploration of telomerase inhibitors as therapeutic agents in oncology, aiming to suppress the proliferative capacity of malignant cells.</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Importantly, the role of telomerase extends beyond its function in cancer cells. Telomerase activity has also been observed in certain normal cell types, particularly those with high turnover or critical regenerative roles. Examples include fetal tissues, stem cells, and cells within continuously renewing systems such as the skin and intestinal epithelium. However, the activity of telomerase in these normal cells is tightly regulated to prevent uncontrolled proliferation. The relatively low levels of telomerase activity in these cells, compared to cancer cells, underscore its essential role in maintaining homeostasis without predisposing to malignancy.</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One of the pivotal advancements in telomere research was the demonstration that telomerase can be experimentally manipulated to extend the lifespan of normal cells. In a landmark study, researchers transfected normal human cells with vectors encoding the catalytic subunit of human telomerase, successfully immortalizing the cells without inducing malignant transformation (Bodnar et al., 1998). This experiment provided compelling evidence that telomere shortening is the primary determinant of the replicative lifespan in normal cells. Moreover, it underscored the potential for therapeutic interventions targeting telomerase to counteract cellular aging and enhance regenerative capacity.</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However, the implications of telomerase manipulation in the context of organismal aging remain a subject of ongoing debate. While extending the replicative lifespan of cells may hold promise for regenerative medicine, the relationship between cellular aging and organismal aging is complex and multifaceted. Hayflick himself argued that telomere shortening, while crucial for understanding cellular aging, does not fully explain the aging of whole organisms. Instead, he proposed that molecular entropy—manifested as an accumulation of damage and loss of repair efficiency—plays a central role in determining lifespan.</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Hayflick’s hypothesis aligns with observations that physiological reserves decline with age, leading to increased vulnerability to environmental stressors and disease. According to this view, aging is not governed by a specific genetic program but is instead a consequence of the gradual loss of functional integrity at the molecular and cellular levels. The shortening of telomeres in replication-limited cells may act as a molecular clock, signaling the finite capacity of cells to divide, but the broader process of aging involves a complex interplay of genetic, epigenetic, and environmental factors.</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Despite these complexities, the discovery of telomeres and telomerase has had profound implications for biogerontology and cancer research. Telomeres serve as critical regulators of cellular lifespan, providing a buffer that protects genomic integrity during replication. The shortening of telomeres with each division acts as a built-in mechanism to prevent uncontrolled proliferation, but it also limits the regenerative capacity of tissues.</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In cancer cells, the reactivation of telomerase enables the circumvention of this replicative barrier, facilitating unchecked growth and immortality. This dual role of telomeres and telomerase—as guardians of genomic stability and enablers of cellular immortality—highlights their importance in both aging and disease.</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The discovery of telomerase as a key regulator of telomere dynamics has also opened new avenues for therapeutic innovation. In cancer treatment, the inhibition of telomerase activity represents a promising strategy to target the immortality of malignant cells. Conversely, the activation of telomerase in normal cells could enhance regenerative potential, offering hope for interventions to counteract age-related tissue decline.</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However, the manipulation of telomerase activity comes with significant challenges and risks. Prolonged activation of telomerase in normal cells could increase the risk of oncogenesis, while its inhibition in cancer cells must be carefully balanced to avoid detrimental effects on normal regenerative processes. These complexities underscore the need for precise and targeted approaches to harness the therapeutic potential of telomerase.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In addition to telomere dynamics, recent research has explored other mechanisms that contribute to cellular aging and replicative limits. For example, the accumulation of DNA damage, oxidative stress, and epigenetic alterations are all thought to play roles in the aging process. These factors interact with telomere shortening to influence cellular function and lifespan.</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The interplay between telomeres, telomerase, and other molecular mechanisms of aging highlights the intricate nature of the aging process. While the replicative limit represents a fundamental feature of cellular biology, the broader phenomenon of aging involves a network of interconnected pathways that regulate cellular homeostasis and organismal health.</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Hayflick’s contributions to the understanding of cellular aging continue to inspire research into the molecular mechanisms that govern lifespan. His insights into the replicative limit and the role of telomeres have shaped the field of biogerontology, providing a foundation for exploring new strategies to extend healthy lifespan and combat age-related diseases.</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pStyle w:val="Heading2"/>
        <w:jc w:val="both"/>
        <w:rPr/>
      </w:pPr>
      <w:bookmarkStart w:colFirst="0" w:colLast="0" w:name="_xa5r557nx8i9" w:id="9"/>
      <w:bookmarkEnd w:id="9"/>
      <w:r w:rsidDel="00000000" w:rsidR="00000000" w:rsidRPr="00000000">
        <w:rPr>
          <w:rtl w:val="0"/>
        </w:rPr>
        <w:t xml:space="preserve">1.4 Methodology</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Drosophila melanogaster is utilized as an exceptionally powerful and versatile model organism for investigating tissue allotransplantation. This is largely attributable to its remarkably short life cycle, high degree of genetic manipulability, and the significant homology observed in many of its key signaling pathways when compared to those in mammals. The protocol described herein outlines the procedure for performing tissue transplants between adult individuals of differing ages and sexes. The procedure involves several critical steps: beginning with the meticulous dissection of the donor’s midgut tissue, followed by the precise microinjection of the dissected tissue into the recipient organism, and subsequently tracking the engraftment and integration of these transplanted tissues by exploiting the differences in the sex chromosomes between the donor and the recipient. The principal outcomes of this protocol reveal that the host organisms exhibit a high rate of short-term survival (exceeding 80%), and that the transplanted tissues undergo encapsulation by hemocytes. Moreover, there is a pronounced sexual dimorphism observed in the outcome of the transplantations: female hosts tend to mount a significantly stronger immune response through the activation of the Toll pathway, which in turn results in a more frequent rejection of the transplant, whereas male hosts display a higher level of tolerance towards foreign tissues. Additionally, it is noted that age-related changes in both the donor and the recipient have a significant impact on the overall success of the procedure. Older individuals often demonstrate a reduced regenerative capacity of their tissues, a phenomenon that is linked to the downregulation of crucial signaling pathways such as Hippo/DPP and an accumulation of oxidative stress. This methodology also permits the modeling of intestinal stem cell regeneration. Despite certain technical limitations – such as the very small size of the tissues involved and the lack of an adaptive immune system – the protocol affords researchers unique opportunities to analyze innate immune mechanisms, aging processes, and intercellular interactions. The data generated underscore the potential of Drosophila as an invaluable preclinical model, combining low costs, ethical acceptability, and the high standardization of experimental conditions. Ultimately, this work opens promising avenues for the study of evolutionarily conserved processes underlying both tissue regeneration and immune response within the context of allotransplantation.</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pStyle w:val="Heading3"/>
        <w:jc w:val="both"/>
        <w:rPr/>
      </w:pPr>
      <w:bookmarkStart w:colFirst="0" w:colLast="0" w:name="_gj1w9qe03nh5" w:id="10"/>
      <w:bookmarkEnd w:id="10"/>
      <w:r w:rsidDel="00000000" w:rsidR="00000000" w:rsidRPr="00000000">
        <w:rPr>
          <w:rtl w:val="0"/>
        </w:rPr>
        <w:t xml:space="preserve">1.4.1 Introduction</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pStyle w:val="Heading4"/>
        <w:jc w:val="both"/>
        <w:rPr/>
      </w:pPr>
      <w:bookmarkStart w:colFirst="0" w:colLast="0" w:name="_ns8trokigtde" w:id="11"/>
      <w:bookmarkEnd w:id="11"/>
      <w:r w:rsidDel="00000000" w:rsidR="00000000" w:rsidRPr="00000000">
        <w:rPr>
          <w:rtl w:val="0"/>
        </w:rPr>
        <w:t xml:space="preserve">1.4.1.1 Drosophila as a Model</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Animal models, including invertebrates such as the fruit fly Drosophila melanogaster, play a pivotal role in enhancing our understanding of fundamental biological processes that are intricately linked to human development and disease, including the multifaceted phenomenon of aging. The experimental advantages of using Drosophila are manifold and include an exceptionally high degree of genomic homology with humans, the availability of thousands of genetically modified strains, and the existence of well-established methods that facilitate the execution of complex experiments. In addition, the relatively low cost of maintenance, the rapid generation time, and the high fecundity of these flies collectively render Drosophila an ideal genetically tractable organism for conducting genome-level functional studies with a speed and level of detail that is often unattainable in vertebrate models (Pandey &amp; Nichols, 2011).</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rFonts w:ascii="Calibri" w:cs="Calibri" w:eastAsia="Calibri" w:hAnsi="Calibri"/>
        </w:rPr>
      </w:pPr>
      <w:r w:rsidDel="00000000" w:rsidR="00000000" w:rsidRPr="00000000">
        <w:rPr>
          <w:rFonts w:ascii="Calibri" w:cs="Calibri" w:eastAsia="Calibri" w:hAnsi="Calibri"/>
          <w:rtl w:val="0"/>
        </w:rPr>
        <w:t xml:space="preserve">For over a century, </w:t>
      </w:r>
      <w:r w:rsidDel="00000000" w:rsidR="00000000" w:rsidRPr="00000000">
        <w:rPr>
          <w:rFonts w:ascii="Calibri" w:cs="Calibri" w:eastAsia="Calibri" w:hAnsi="Calibri"/>
          <w:i w:val="1"/>
          <w:iCs w:val="1"/>
          <w:rtl w:val="0"/>
        </w:rPr>
        <w:t xml:space="preserve">Drosophila melanogaster</w:t>
      </w:r>
      <w:r w:rsidDel="00000000" w:rsidR="00000000" w:rsidRPr="00000000">
        <w:rPr>
          <w:rFonts w:ascii="Calibri" w:cs="Calibri" w:eastAsia="Calibri" w:hAnsi="Calibri"/>
          <w:rtl w:val="0"/>
        </w:rPr>
        <w:t xml:space="preserve"> has been utilized as a model organism in aging research. One of the earliest recorded quantitative studies involving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under laboratory conditions was published by Roscoe Hyde in 1913, in which he accurately observed and described how hybrid vigor could account for the apparent increase in lifespan when two inbred strains were crossed (Hyde, 1913). A more systematic approach to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research, which laid the foundation for many methodologies still in use today, was initiated in 1921 by Raymond Pearl and Sylvia Parker. In their seminal study (Pearl, R., &amp; Parker, S. L., 1921), they reported the catastrophic failure of an air conditioning system that resulted in the death of their colony of mice intended for aging research. After consulting with Professor Morgan and Dr. Loeb, they opted to use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as a model for investigating lifespan. Over the following 14 years, Pearl and his collaborators published a series of 13 studies detailing fundamental dietary requirements for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as well as the effects of repeated anesthesia (with ether), inbreeding depression, adult population density, and temperature fluctuations at different life stages on adult lifespan.  </w:t>
      </w:r>
    </w:p>
    <w:p w:rsidR="00000000" w:rsidDel="00000000" w:rsidP="00000000" w:rsidRDefault="00000000" w:rsidRPr="00000000" w14:paraId="000000C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jc w:val="both"/>
        <w:rPr>
          <w:rFonts w:ascii="Calibri" w:cs="Calibri" w:eastAsia="Calibri" w:hAnsi="Calibri"/>
        </w:rPr>
      </w:pPr>
      <w:r w:rsidDel="00000000" w:rsidR="00000000" w:rsidRPr="00000000">
        <w:rPr>
          <w:rFonts w:ascii="Calibri" w:cs="Calibri" w:eastAsia="Calibri" w:hAnsi="Calibri"/>
          <w:rtl w:val="0"/>
        </w:rPr>
        <w:t xml:space="preserve">Simultaneously, research on the impact of temperature on lifespan was also emerging (Loeb, J., &amp; Northrop, J. H., 1916), establishing that a 10°C reduction in temperature approximately doubled the flies' lifespan. These findings contributed to the concept that longevity might be determined by the organism's metabolic rate (Pearl, 1928). The rate of life hypothesis suggests that lifespan is dictated by the accumulation of harmful byproducts of aerobic metabolism, as well as mechanical damage that eventually becomes irreparable (Harman, 1956). Biological organisms counteract such damage through enzymatic repair systems, small molecule scavengers that remove or mend chemical injuries, and the replacement of damaged cells with new ones derived from stem cells. Whether aging is primarily driven by the accumulation of damage or by improper and uncontrolled cell proliferation remains debated (Blagosklonny, 2006), but the imperative to sustain biological systems in working condition—and thereby ensure longevity—is closely tied to the necessity of reproduction.  </w:t>
      </w:r>
    </w:p>
    <w:p w:rsidR="00000000" w:rsidDel="00000000" w:rsidP="00000000" w:rsidRDefault="00000000" w:rsidRPr="00000000" w14:paraId="000000D0">
      <w:pPr>
        <w:pStyle w:val="Heading5"/>
        <w:jc w:val="both"/>
        <w:rPr>
          <w:rFonts w:ascii="Calibri" w:cs="Calibri" w:eastAsia="Calibri" w:hAnsi="Calibri"/>
        </w:rPr>
      </w:pPr>
      <w:bookmarkStart w:colFirst="0" w:colLast="0" w:name="_jv0al0tjfzx9" w:id="12"/>
      <w:bookmarkEnd w:id="12"/>
      <w:r w:rsidDel="00000000" w:rsidR="00000000" w:rsidRPr="00000000">
        <w:rPr>
          <w:color w:val="666666"/>
          <w:sz w:val="24"/>
          <w:szCs w:val="24"/>
          <w:rtl w:val="0"/>
        </w:rPr>
        <w:t xml:space="preserve">1.4.1.1.1 </w:t>
      </w:r>
      <w:r w:rsidDel="00000000" w:rsidR="00000000" w:rsidRPr="00000000">
        <w:rPr>
          <w:rFonts w:ascii="Calibri" w:cs="Calibri" w:eastAsia="Calibri" w:hAnsi="Calibri"/>
          <w:rtl w:val="0"/>
        </w:rPr>
        <w:t xml:space="preserve">Physiological Indicators of Aging in Flies  </w:t>
      </w:r>
    </w:p>
    <w:p w:rsidR="00000000" w:rsidDel="00000000" w:rsidP="00000000" w:rsidRDefault="00000000" w:rsidRPr="00000000" w14:paraId="000000D1">
      <w:pPr>
        <w:jc w:val="both"/>
        <w:rPr>
          <w:rFonts w:ascii="Calibri" w:cs="Calibri" w:eastAsia="Calibri" w:hAnsi="Calibri"/>
        </w:rPr>
      </w:pPr>
      <w:r w:rsidDel="00000000" w:rsidR="00000000" w:rsidRPr="00000000">
        <w:rPr>
          <w:rFonts w:ascii="Calibri" w:cs="Calibri" w:eastAsia="Calibri" w:hAnsi="Calibri"/>
          <w:rtl w:val="0"/>
        </w:rPr>
        <w:t xml:space="preserve">Aging can be broadly characterized as a progressive functional decline over time that leads to decreased fertility and eventual mortality. Survival curves of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populations provide critical insights into aging progression, as well as the potential impact of non-aging-related mortality factors such as poor genetic backgrounds or environmental conditions (Piper, M. D., &amp; Partridge, L., 2016). A typically healthy, well-maintained, outbred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population exhibits a median lifespan of approximately 70 days and a maximum lifespan of roughly 90 days at 25°C (Ziehm, M., &amp; Thornton, J. M., 2013).  </w:t>
      </w:r>
    </w:p>
    <w:p w:rsidR="00000000" w:rsidDel="00000000" w:rsidP="00000000" w:rsidRDefault="00000000" w:rsidRPr="00000000" w14:paraId="000000D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On a finer physiological scale, numerous markers of functional decline associated with aging can be observed. These include metabolic alterations (decreased basal metabolic rate, reduced protein and lipid synthesis), behavioral changes (diminished feeding, courtship, and increased sleep), reduced stress resistance, impaired reproductive capacity (decreased egg-laying success, sperm production, and competitive sperm success), altered neuronal function (learning and memory deficits), changes in locomotor activity (diminished negative geotaxis, impaired voluntary flight and walking), declining immune function, progressive intestinal dysplasia and barrier dysfunction, as well as compromised cardiac function (Iliadi et al., 2012). Studying these features is crucial for two reasons: first, to understand how longevity-altering interventions affect these health markers over time, and second, to determine whether any of these changes causally contribute to demographic aging in flies, which could help identify targets for interventions aimed at slowing aging.  </w:t>
      </w:r>
    </w:p>
    <w:p w:rsidR="00000000" w:rsidDel="00000000" w:rsidP="00000000" w:rsidRDefault="00000000" w:rsidRPr="00000000" w14:paraId="000000D4">
      <w:pPr>
        <w:pStyle w:val="Heading5"/>
        <w:jc w:val="both"/>
        <w:rPr>
          <w:rFonts w:ascii="Calibri" w:cs="Calibri" w:eastAsia="Calibri" w:hAnsi="Calibri"/>
        </w:rPr>
      </w:pPr>
      <w:bookmarkStart w:colFirst="0" w:colLast="0" w:name="_cyuoqynfdy8h" w:id="13"/>
      <w:bookmarkEnd w:id="13"/>
      <w:r w:rsidDel="00000000" w:rsidR="00000000" w:rsidRPr="00000000">
        <w:rPr>
          <w:color w:val="666666"/>
          <w:sz w:val="24"/>
          <w:szCs w:val="24"/>
          <w:rtl w:val="0"/>
        </w:rPr>
        <w:t xml:space="preserve">1.4.1.1.2 </w:t>
      </w:r>
      <w:r w:rsidDel="00000000" w:rsidR="00000000" w:rsidRPr="00000000">
        <w:rPr>
          <w:rFonts w:ascii="Calibri" w:cs="Calibri" w:eastAsia="Calibri" w:hAnsi="Calibri"/>
          <w:rtl w:val="0"/>
        </w:rPr>
        <w:t xml:space="preserve">Why Use Flies in Aging Research?  </w:t>
      </w:r>
    </w:p>
    <w:p w:rsidR="00000000" w:rsidDel="00000000" w:rsidP="00000000" w:rsidRDefault="00000000" w:rsidRPr="00000000" w14:paraId="000000D5">
      <w:pPr>
        <w:jc w:val="both"/>
        <w:rPr>
          <w:rFonts w:ascii="Calibri" w:cs="Calibri" w:eastAsia="Calibri" w:hAnsi="Calibri"/>
        </w:rPr>
      </w:pP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offers numerous advantages as a model organism for aging research. When combined with other short-lived invertebrates such as the nematode </w:t>
      </w:r>
      <w:r w:rsidDel="00000000" w:rsidR="00000000" w:rsidRPr="00000000">
        <w:rPr>
          <w:rFonts w:ascii="Calibri" w:cs="Calibri" w:eastAsia="Calibri" w:hAnsi="Calibri"/>
          <w:i w:val="1"/>
          <w:iCs w:val="1"/>
          <w:rtl w:val="0"/>
        </w:rPr>
        <w:t xml:space="preserve">Caenorhabditis elegans</w:t>
      </w:r>
      <w:r w:rsidDel="00000000" w:rsidR="00000000" w:rsidRPr="00000000">
        <w:rPr>
          <w:rFonts w:ascii="Calibri" w:cs="Calibri" w:eastAsia="Calibri" w:hAnsi="Calibri"/>
          <w:rtl w:val="0"/>
        </w:rPr>
        <w:t xml:space="preserve"> and the baker's yeast </w:t>
      </w:r>
      <w:r w:rsidDel="00000000" w:rsidR="00000000" w:rsidRPr="00000000">
        <w:rPr>
          <w:rFonts w:ascii="Calibri" w:cs="Calibri" w:eastAsia="Calibri" w:hAnsi="Calibri"/>
          <w:i w:val="1"/>
          <w:iCs w:val="1"/>
          <w:rtl w:val="0"/>
        </w:rPr>
        <w:t xml:space="preserve">Saccharomyces cerevisiae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becomes an exceptionally powerful tool for investigating various aspects of aging (Kennedy et al., 2017). While yeast provides rapid insights into cellular aging, the complex interactions occurring within and between tissues in multicellular, differentiated organisms—such as those involved in insulin/IGF-1 signaling (IIS)—can be effectively modeled in worms and flies. Typically, nematodes live for about three weeks, whereas fruit flies have an approximate lifespan of three months. By leveraging the unique experimental strengths of these organisms in tandem, researchers can efficiently translate longevity-promoting discoveries to longer-lived vertebrates, such as killifish (lifespan ~6–8 months), mice (~3 years), and rats (~3 years).  </w:t>
      </w:r>
    </w:p>
    <w:p w:rsidR="00000000" w:rsidDel="00000000" w:rsidP="00000000" w:rsidRDefault="00000000" w:rsidRPr="00000000" w14:paraId="000000D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rPr>
      </w:pPr>
      <w:r w:rsidDel="00000000" w:rsidR="00000000" w:rsidRPr="00000000">
        <w:rPr>
          <w:rFonts w:ascii="Calibri" w:cs="Calibri" w:eastAsia="Calibri" w:hAnsi="Calibri"/>
          <w:rtl w:val="0"/>
        </w:rPr>
        <w:t xml:space="preserve">Several distinctive characteristics make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an ideal model for aging studies: low maintenance costs, absence of regulatory restrictions for experimental use, ease of generating large populations, well-defined dietary requirements, readily quantifiable reproductive output, dissectible and genetically modifiable tissues, and a vast array of available genetic tools, including CRISPR reagents for genome editing, as well as constructs for tissue- and time-specific gene overexpression or knockout. Many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 tissues have functional equivalents in mammals, including the heart and kidneys (which are absent in </w:t>
      </w:r>
      <w:r w:rsidDel="00000000" w:rsidR="00000000" w:rsidRPr="00000000">
        <w:rPr>
          <w:rFonts w:ascii="Calibri" w:cs="Calibri" w:eastAsia="Calibri" w:hAnsi="Calibri"/>
          <w:i w:val="1"/>
          <w:iCs w:val="1"/>
          <w:rtl w:val="0"/>
        </w:rPr>
        <w:t xml:space="preserve">C. elegans</w:t>
      </w:r>
      <w:r w:rsidDel="00000000" w:rsidR="00000000" w:rsidRPr="00000000">
        <w:rPr>
          <w:rFonts w:ascii="Calibri" w:cs="Calibri" w:eastAsia="Calibri" w:hAnsi="Calibri"/>
          <w:rtl w:val="0"/>
        </w:rPr>
        <w:t xml:space="preserve">), and a significant proportion (77%) of genes associated with age-related diseases in humans are expressed in equivalent fly tissues. Most importantly, their relatively short lifespan allows for repeated rounds of experimentation to refine conditions that maximize longevity.  </w:t>
      </w:r>
    </w:p>
    <w:p w:rsidR="00000000" w:rsidDel="00000000" w:rsidP="00000000" w:rsidRDefault="00000000" w:rsidRPr="00000000" w14:paraId="000000D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rPr>
      </w:pPr>
      <w:r w:rsidDel="00000000" w:rsidR="00000000" w:rsidRPr="00000000">
        <w:rPr>
          <w:rFonts w:ascii="Calibri" w:cs="Calibri" w:eastAsia="Calibri" w:hAnsi="Calibri"/>
          <w:rtl w:val="0"/>
        </w:rPr>
        <w:t xml:space="preserve">However, some of these advantages also present limitations. Specifically, the small size of </w:t>
      </w:r>
      <w:r w:rsidDel="00000000" w:rsidR="00000000" w:rsidRPr="00000000">
        <w:rPr>
          <w:rFonts w:ascii="Calibri" w:cs="Calibri" w:eastAsia="Calibri" w:hAnsi="Calibri"/>
          <w:i w:val="1"/>
          <w:iCs w:val="1"/>
          <w:rtl w:val="0"/>
        </w:rPr>
        <w:t xml:space="preserve">Drosophila melanogaster</w:t>
      </w:r>
      <w:r w:rsidDel="00000000" w:rsidR="00000000" w:rsidRPr="00000000">
        <w:rPr>
          <w:rFonts w:ascii="Calibri" w:cs="Calibri" w:eastAsia="Calibri" w:hAnsi="Calibri"/>
          <w:rtl w:val="0"/>
        </w:rPr>
        <w:t xml:space="preserve"> makes assessing age-related health parameters more challenging. Moreover, the exact cause of death in flies remains uncertain, though recent studies investigating age-related increases in intestinal dysplasia and permeability in females may offer insights (Rera et al., 2013). Perhaps the simplest and most widely used non-invasive assay for aging-related health assessments is the measurement of climbing ability (negative geotaxis), which provides a combined assessment of neuronal and muscular function. Notably, long-lived IIS mutants also retain better health for extended periods according to this metric. </w:t>
      </w:r>
    </w:p>
    <w:p w:rsidR="00000000" w:rsidDel="00000000" w:rsidP="00000000" w:rsidRDefault="00000000" w:rsidRPr="00000000" w14:paraId="000000DA">
      <w:pPr>
        <w:pStyle w:val="Heading5"/>
        <w:jc w:val="both"/>
        <w:rPr>
          <w:rFonts w:ascii="Calibri" w:cs="Calibri" w:eastAsia="Calibri" w:hAnsi="Calibri"/>
        </w:rPr>
      </w:pPr>
      <w:bookmarkStart w:colFirst="0" w:colLast="0" w:name="_pdz5bd68y08o" w:id="14"/>
      <w:bookmarkEnd w:id="14"/>
      <w:r w:rsidDel="00000000" w:rsidR="00000000" w:rsidRPr="00000000">
        <w:rPr>
          <w:color w:val="666666"/>
          <w:sz w:val="24"/>
          <w:szCs w:val="24"/>
          <w:rtl w:val="0"/>
        </w:rPr>
        <w:t xml:space="preserve">1.4.1.1.3 </w:t>
      </w:r>
      <w:r w:rsidDel="00000000" w:rsidR="00000000" w:rsidRPr="00000000">
        <w:rPr>
          <w:rFonts w:ascii="Calibri" w:cs="Calibri" w:eastAsia="Calibri" w:hAnsi="Calibri"/>
          <w:rtl w:val="0"/>
        </w:rPr>
        <w:t xml:space="preserve">Ensuring Healthy Aging Without Side Effects  </w:t>
      </w:r>
    </w:p>
    <w:p w:rsidR="00000000" w:rsidDel="00000000" w:rsidP="00000000" w:rsidRDefault="00000000" w:rsidRPr="00000000" w14:paraId="000000DB">
      <w:pPr>
        <w:jc w:val="both"/>
        <w:rPr>
          <w:rFonts w:ascii="Calibri" w:cs="Calibri" w:eastAsia="Calibri" w:hAnsi="Calibri"/>
        </w:rPr>
      </w:pPr>
      <w:r w:rsidDel="00000000" w:rsidR="00000000" w:rsidRPr="00000000">
        <w:rPr>
          <w:rFonts w:ascii="Calibri" w:cs="Calibri" w:eastAsia="Calibri" w:hAnsi="Calibri"/>
          <w:rtl w:val="0"/>
        </w:rPr>
        <w:t xml:space="preserve">A primary goal of biogerontology is to shift the focus from understanding and treating aging-related symptoms to elucidating the underlying molecular mechanisms, with the ultimate aim of using this knowledge to develop therapeutic interventions that prevent or delay the onset of multiple aging-related conditions, thereby reducing morbidity. A key aspect of this work is understanding the trade-offs associated with anti-aging interventions to maximize health improvements while minimizing adverse effects. As experimental conditions—such as dietary composition—are refined with increasing precision, and as interventions targeting specific tissues and cell types at defined life stages become more sophisticated, accumulating evidence suggests that a broad spectrum of aging-related improvements is achievable (Grandison et al., 2009). In this endeavor, model organisms, including Drosophila, play a central role, as iterative rounds of experimentation under slightly modified conditions have led to crucial discoveries in the field of aging research.</w:t>
      </w:r>
    </w:p>
    <w:p w:rsidR="00000000" w:rsidDel="00000000" w:rsidP="00000000" w:rsidRDefault="00000000" w:rsidRPr="00000000" w14:paraId="000000D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rPr>
      </w:pPr>
      <w:r w:rsidDel="00000000" w:rsidR="00000000" w:rsidRPr="00000000">
        <w:rPr>
          <w:rFonts w:ascii="Calibri" w:cs="Calibri" w:eastAsia="Calibri" w:hAnsi="Calibri"/>
          <w:rtl w:val="0"/>
        </w:rPr>
        <w:t xml:space="preserve">Recently, it has been recognized that the nine hallmarks of aging are widely prevalent across biological systems. Experimental evidence has been accumulating, demonstrating that the emergence of these hallmarks plays a crucial role in driving the progressive functional decline that accompanies aging. These hallmarks encompass genomic instability, telomere attrition, epigenetic alterations, loss of proteostasis, dysregulated nutrient sensing, mitochondrial dysfunction, cellular senescence, stem cell exhaustion, and altered intercellular communication. A central assumption in the field of biogerontology is that aging results from the intricate interplay of these mechanisms and that various hallmarks are interconnected, with different forms of functional deterioration interacting to propel the aging process. The centriole-based theory of organismal aging emphasizes the accumulation of old centrioles, which has the potential to induce these and other hallmarks of aging.</w:t>
      </w:r>
    </w:p>
    <w:p w:rsidR="00000000" w:rsidDel="00000000" w:rsidP="00000000" w:rsidRDefault="00000000" w:rsidRPr="00000000" w14:paraId="000000D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rPr>
      </w:pPr>
      <w:r w:rsidDel="00000000" w:rsidR="00000000" w:rsidRPr="00000000">
        <w:rPr>
          <w:rFonts w:ascii="Calibri" w:cs="Calibri" w:eastAsia="Calibri" w:hAnsi="Calibri"/>
          <w:rtl w:val="0"/>
        </w:rPr>
        <w:t xml:space="preserve">Studies utilizing Drosophila have significantly contributed to the current understanding of the molecular mechanisms underlying aging, as well as to interventions that may mitigate its effects (Kapahi et al., 2017).</w:t>
      </w:r>
    </w:p>
    <w:p w:rsidR="00000000" w:rsidDel="00000000" w:rsidP="00000000" w:rsidRDefault="00000000" w:rsidRPr="00000000" w14:paraId="000000E0">
      <w:pPr>
        <w:pStyle w:val="Heading5"/>
        <w:jc w:val="both"/>
        <w:rPr>
          <w:rFonts w:ascii="Calibri" w:cs="Calibri" w:eastAsia="Calibri" w:hAnsi="Calibri"/>
        </w:rPr>
      </w:pPr>
      <w:bookmarkStart w:colFirst="0" w:colLast="0" w:name="_rpireamguqgh" w:id="15"/>
      <w:bookmarkEnd w:id="15"/>
      <w:r w:rsidDel="00000000" w:rsidR="00000000" w:rsidRPr="00000000">
        <w:rPr>
          <w:color w:val="666666"/>
          <w:sz w:val="24"/>
          <w:szCs w:val="24"/>
          <w:rtl w:val="0"/>
        </w:rPr>
        <w:t xml:space="preserve">1.4.1.1.4 </w:t>
      </w:r>
      <w:r w:rsidDel="00000000" w:rsidR="00000000" w:rsidRPr="00000000">
        <w:rPr>
          <w:rFonts w:ascii="Calibri" w:cs="Calibri" w:eastAsia="Calibri" w:hAnsi="Calibri"/>
          <w:rtl w:val="0"/>
        </w:rPr>
        <w:t xml:space="preserve">Dietary Interventions and Lifespan Modulation</w:t>
      </w:r>
    </w:p>
    <w:p w:rsidR="00000000" w:rsidDel="00000000" w:rsidP="00000000" w:rsidRDefault="00000000" w:rsidRPr="00000000" w14:paraId="000000E1">
      <w:pPr>
        <w:jc w:val="both"/>
        <w:rPr>
          <w:rFonts w:ascii="Calibri" w:cs="Calibri" w:eastAsia="Calibri" w:hAnsi="Calibri"/>
        </w:rPr>
      </w:pPr>
      <w:r w:rsidDel="00000000" w:rsidR="00000000" w:rsidRPr="00000000">
        <w:rPr>
          <w:rFonts w:ascii="Calibri" w:cs="Calibri" w:eastAsia="Calibri" w:hAnsi="Calibri"/>
          <w:rtl w:val="0"/>
        </w:rPr>
        <w:t xml:space="preserve">One of the most pivotal discoveries in aging research is the finding that moderate dietary restriction (DR), commonly referred to as calorie restriction (CR) when not leading to malnutrition, can extend lifespan. The earliest documented case of this phenomenon is often attributed to Clive McCay’s work on white rats (McCay et al., 1935). Since then, DR has been successfully employed to prolong lifespan in various model organisms, including yeast (Jiang et al., 2000), nematodes (Klass et al., 1977), fruit flies (Chapman et al., 1996), and primates (Mattison et al., 2012). However, in primates, the benefits of DR appear to be somewhat mitigated by an increase in age-related frailty (Hultström, 2015). Irrespective of its longevity effects, DR in monkeys is believed to extend healthspan—the period of life spent in good health (Mattison et al., 2017). Interestingly, studies in fruit flies indicate that DR rapidly reduces age-specific mortality and seemingly reverses the effects of prior dietary excess—a discovery that suggests DR may confer benefits at any stage of life. As a consequence of these findings, and due to the accessibility of dietary manipulations, DR in various forms has gained popularity among health-conscious individuals who harbor long-term aspirations of achieving additional years of healthy life (Rizza et al., 2014).</w:t>
      </w:r>
    </w:p>
    <w:p w:rsidR="00000000" w:rsidDel="00000000" w:rsidP="00000000" w:rsidRDefault="00000000" w:rsidRPr="00000000" w14:paraId="000000E2">
      <w:pPr>
        <w:pStyle w:val="Heading5"/>
        <w:jc w:val="both"/>
        <w:rPr>
          <w:rFonts w:ascii="Calibri" w:cs="Calibri" w:eastAsia="Calibri" w:hAnsi="Calibri"/>
        </w:rPr>
      </w:pPr>
      <w:bookmarkStart w:colFirst="0" w:colLast="0" w:name="_spfy0rdqu9xw" w:id="16"/>
      <w:bookmarkEnd w:id="16"/>
      <w:r w:rsidDel="00000000" w:rsidR="00000000" w:rsidRPr="00000000">
        <w:rPr>
          <w:color w:val="666666"/>
          <w:sz w:val="24"/>
          <w:szCs w:val="24"/>
          <w:rtl w:val="0"/>
        </w:rPr>
        <w:t xml:space="preserve">1.4.1.1.5 </w:t>
      </w:r>
      <w:r w:rsidDel="00000000" w:rsidR="00000000" w:rsidRPr="00000000">
        <w:rPr>
          <w:rFonts w:ascii="Calibri" w:cs="Calibri" w:eastAsia="Calibri" w:hAnsi="Calibri"/>
          <w:rtl w:val="0"/>
        </w:rPr>
        <w:t xml:space="preserve">Nutritional Balance and Longevity</w:t>
      </w:r>
    </w:p>
    <w:p w:rsidR="00000000" w:rsidDel="00000000" w:rsidP="00000000" w:rsidRDefault="00000000" w:rsidRPr="00000000" w14:paraId="000000E3">
      <w:pPr>
        <w:jc w:val="both"/>
        <w:rPr>
          <w:rFonts w:ascii="Calibri" w:cs="Calibri" w:eastAsia="Calibri" w:hAnsi="Calibri"/>
        </w:rPr>
      </w:pPr>
      <w:r w:rsidDel="00000000" w:rsidR="00000000" w:rsidRPr="00000000">
        <w:rPr>
          <w:rFonts w:ascii="Calibri" w:cs="Calibri" w:eastAsia="Calibri" w:hAnsi="Calibri"/>
          <w:rtl w:val="0"/>
        </w:rPr>
        <w:t xml:space="preserve">Recent studies employing model organisms, particularly Drosophila and mice, have begun to elucidate that reductions in specific nutrient intake—rather than a blanket reduction in caloric consumption—mediate the health benefits associated with DR, with dietary protein playing a key role (Miller et al., 2005). Furthermore, adjusting the relative proportions of macronutrients (proteins, lipids, and carbohydrates) in an ad libitum diet has been shown to yield lifespan extension comparable to that observed with broad dietary restriction (Solon-Biet et al., 2014). It remains uncertain whether lifespan extension resulting from altered dietary balance operates through mechanisms similar to or distinct from those of conventional DR/CR, as the precise molecular and physiological pathways underlying these effects have yet to be fully delineated. An additional complexity arises from the fact that, in mice at least, DR typically entails a feeding-fasting cycle, since the animals consume their restricted food allowance immediately upon provision and subsequently fast for the remainder of the 24-hour period (Speakman et al., 2016). Regardless of the mechanisms involved, from a human perspective—where strict adherence to DR is often perceived as impractical—modifying dietary balance appears to be a more feasible approach. Consequently, substantial research efforts have been directed toward the development of diets that alter nutrient composition to mimic fasting-induced benefits and enhance long-term health outcomes (Cheng et al., 2017).</w:t>
      </w:r>
    </w:p>
    <w:p w:rsidR="00000000" w:rsidDel="00000000" w:rsidP="00000000" w:rsidRDefault="00000000" w:rsidRPr="00000000" w14:paraId="000000E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rPr>
      </w:pPr>
      <w:r w:rsidDel="00000000" w:rsidR="00000000" w:rsidRPr="00000000">
        <w:rPr>
          <w:rFonts w:ascii="Calibri" w:cs="Calibri" w:eastAsia="Calibri" w:hAnsi="Calibri"/>
          <w:rtl w:val="0"/>
        </w:rPr>
        <w:t xml:space="preserve">In experiments where the macronutrient balance in the diets of flies and mice was manipulated, the optimal lifespan extension was observed when dietary protein content, as a proportion of total caloric intake, fell below the level required for optimal reproduction (Solon-Biet et al., 2015). This pattern of dietary response has also been documented in ants (Dussutour, A., &amp; Simpson, S. J., 2012), crickets (Harrison et al., 2014), and Queensland fruit flies (Fanson et al., 2009). Given the consistency of this trend, it is of considerable interest to investigate the mechanistic basis by which protein exerts such a profound influence on longevity determination.</w:t>
      </w:r>
    </w:p>
    <w:p w:rsidR="00000000" w:rsidDel="00000000" w:rsidP="00000000" w:rsidRDefault="00000000" w:rsidRPr="00000000" w14:paraId="000000E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7">
      <w:pPr>
        <w:jc w:val="both"/>
        <w:rPr>
          <w:rFonts w:ascii="Calibri" w:cs="Calibri" w:eastAsia="Calibri" w:hAnsi="Calibri"/>
        </w:rPr>
      </w:pPr>
      <w:r w:rsidDel="00000000" w:rsidR="00000000" w:rsidRPr="00000000">
        <w:rPr>
          <w:rFonts w:ascii="Calibri" w:cs="Calibri" w:eastAsia="Calibri" w:hAnsi="Calibri"/>
          <w:rtl w:val="0"/>
        </w:rPr>
        <w:t xml:space="preserve">Several studies have manipulated individual amino acids in the diets of flies and mice, revealing that selective dilution of essential amino acids can extend lifespan. The most consistent finding pertains to the reduction of methionine, an essential amino acid, which has been shown to prolong lifespan in both flies and mice. However, this effect is accompanied by trade-offs such as reduced egg-laying in flies, decreased growth rate, and increased early mortality in mice. The precise mechanisms underlying these effects remain unclear, but significant attention has been given to methionine’s critical roles in translation initiation, its degradation to cysteine via the transsulfuration pathway, and the subsequent roles of its catabolites in protein methylation and cellular detoxification. Each of these functions may act by modulating a key hallmark of aging.</w:t>
      </w:r>
    </w:p>
    <w:p w:rsidR="00000000" w:rsidDel="00000000" w:rsidP="00000000" w:rsidRDefault="00000000" w:rsidRPr="00000000" w14:paraId="000000E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rPr>
      </w:pPr>
      <w:r w:rsidDel="00000000" w:rsidR="00000000" w:rsidRPr="00000000">
        <w:rPr>
          <w:rFonts w:ascii="Calibri" w:cs="Calibri" w:eastAsia="Calibri" w:hAnsi="Calibri"/>
          <w:rtl w:val="0"/>
        </w:rPr>
        <w:t xml:space="preserve">Given the multitude of nutrients involved and their intricate physiological interactions, it is almost certain that additional subtle dietary factors influence lifespan. While this presents exciting opportunities for further research, it also highlights a major challenge in Drosophila studies: the existence of numerous “standard” Drosophila diets (Piper, M. D., &amp; Partridge, L., 2007), which vary across different laboratories. If even minor variations in nutrient composition—such as the dilution of a single amino acid—can alter lifespan, then it is likely that each study employing a distinct diet composed of natural ingredients will exhibit some degree of lifespan variation. One potential solution to this issue involves the use of holidic diets, which provide chemically defined compositions (Piper et al., 2014).</w:t>
      </w:r>
    </w:p>
    <w:p w:rsidR="00000000" w:rsidDel="00000000" w:rsidP="00000000" w:rsidRDefault="00000000" w:rsidRPr="00000000" w14:paraId="000000EA">
      <w:pPr>
        <w:pStyle w:val="Heading4"/>
        <w:rPr/>
      </w:pPr>
      <w:bookmarkStart w:colFirst="0" w:colLast="0" w:name="_a3eu0j3nxt3e" w:id="17"/>
      <w:bookmarkEnd w:id="17"/>
      <w:r w:rsidDel="00000000" w:rsidR="00000000" w:rsidRPr="00000000">
        <w:rPr>
          <w:rtl w:val="0"/>
        </w:rPr>
        <w:t xml:space="preserve">1.4.1.2 Nutrient-Sensing Pathways and Lifespan Regulation</w:t>
      </w:r>
    </w:p>
    <w:p w:rsidR="00000000" w:rsidDel="00000000" w:rsidP="00000000" w:rsidRDefault="00000000" w:rsidRPr="00000000" w14:paraId="000000EB">
      <w:pPr>
        <w:jc w:val="both"/>
        <w:rPr>
          <w:rFonts w:ascii="Calibri" w:cs="Calibri" w:eastAsia="Calibri" w:hAnsi="Calibri"/>
        </w:rPr>
      </w:pPr>
      <w:r w:rsidDel="00000000" w:rsidR="00000000" w:rsidRPr="00000000">
        <w:rPr>
          <w:rFonts w:ascii="Calibri" w:cs="Calibri" w:eastAsia="Calibri" w:hAnsi="Calibri"/>
          <w:rtl w:val="0"/>
        </w:rPr>
        <w:t xml:space="preserve">The extensive body of research demonstrating that diet influences lifespan inevitably leads to the conclusion that nutrient-sensing pathways and their downstream signaling cascades mediate these effects. Below is an overview of the major nutrient signaling pathways that have been shown to regulate lifespan in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w:t>
      </w:r>
    </w:p>
    <w:p w:rsidR="00000000" w:rsidDel="00000000" w:rsidP="00000000" w:rsidRDefault="00000000" w:rsidRPr="00000000" w14:paraId="000000EC">
      <w:pPr>
        <w:pStyle w:val="Heading5"/>
        <w:jc w:val="both"/>
        <w:rPr>
          <w:rFonts w:ascii="Calibri" w:cs="Calibri" w:eastAsia="Calibri" w:hAnsi="Calibri"/>
        </w:rPr>
      </w:pPr>
      <w:bookmarkStart w:colFirst="0" w:colLast="0" w:name="_w7krg67ydyjz" w:id="18"/>
      <w:bookmarkEnd w:id="18"/>
      <w:r w:rsidDel="00000000" w:rsidR="00000000" w:rsidRPr="00000000">
        <w:rPr>
          <w:color w:val="666666"/>
          <w:sz w:val="24"/>
          <w:szCs w:val="24"/>
          <w:rtl w:val="0"/>
        </w:rPr>
        <w:t xml:space="preserve">1.4.1.2.1 </w:t>
      </w:r>
      <w:r w:rsidDel="00000000" w:rsidR="00000000" w:rsidRPr="00000000">
        <w:rPr>
          <w:rFonts w:ascii="Calibri" w:cs="Calibri" w:eastAsia="Calibri" w:hAnsi="Calibri"/>
          <w:rtl w:val="0"/>
        </w:rPr>
        <w:t xml:space="preserve">Insulin/IGF-1-Like Signaling (IIS) Pathway</w:t>
      </w:r>
    </w:p>
    <w:p w:rsidR="00000000" w:rsidDel="00000000" w:rsidP="00000000" w:rsidRDefault="00000000" w:rsidRPr="00000000" w14:paraId="000000ED">
      <w:pPr>
        <w:jc w:val="both"/>
        <w:rPr>
          <w:rFonts w:ascii="Calibri" w:cs="Calibri" w:eastAsia="Calibri" w:hAnsi="Calibri"/>
        </w:rPr>
      </w:pPr>
      <w:r w:rsidDel="00000000" w:rsidR="00000000" w:rsidRPr="00000000">
        <w:rPr>
          <w:rFonts w:ascii="Calibri" w:cs="Calibri" w:eastAsia="Calibri" w:hAnsi="Calibri"/>
          <w:rtl w:val="0"/>
        </w:rPr>
        <w:t xml:space="preserve">Insulin is typically associated with glucose homeostasis, a function that is at least partially conserved in Drosophila (Graham, P., &amp; Pick, L., 2017). Additionally, it plays a crucial role in growth, reproduction, adult health, and aging (Nässel, D. R., &amp; Broeck, J. V., 2016). The Drosophila genome encodes eight insulin-like peptides (ILPs 1–8), a single insulin receptor, and intracellular components of the canonical PI3K signaling cascade (Puig et al., 2003). Upon activation, this pathway transmits signals leading to the phosphorylation and inactivation of the FOXO transcription factor via nuclear exclusion. Collectively, this system is believed to integrate functions analogous to those of mammalian insulin, IGF-1, and relaxins. Since the initial discovery that IIS mutations extend lifespan in flies, numerous other components of this pathway have been reported to modulate longevity (Proshkina et al., 2015) in a manner that requires FOXO activity (Slack et al., 2011).</w:t>
      </w:r>
    </w:p>
    <w:p w:rsidR="00000000" w:rsidDel="00000000" w:rsidP="00000000" w:rsidRDefault="00000000" w:rsidRPr="00000000" w14:paraId="000000E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F">
      <w:pPr>
        <w:jc w:val="both"/>
        <w:rPr>
          <w:rFonts w:ascii="Calibri" w:cs="Calibri" w:eastAsia="Calibri" w:hAnsi="Calibri"/>
        </w:rPr>
      </w:pPr>
      <w:r w:rsidDel="00000000" w:rsidR="00000000" w:rsidRPr="00000000">
        <w:rPr>
          <w:rFonts w:ascii="Calibri" w:cs="Calibri" w:eastAsia="Calibri" w:hAnsi="Calibri"/>
          <w:rtl w:val="0"/>
        </w:rPr>
        <w:t xml:space="preserve">As the overarching goal of biogerontology is to identify interventions that promote healthy aging without excessive costs, the extensive family of Drosophila ILP genes presents an attractive target for intervention. While some ILPs exhibit functional redundancy (Grönke et al., 2010), evidence suggests that each peptide elicits distinct physiological effects in response to specific environmental conditions, with unique expression patterns that vary across developmental stages (Brogiolo et al., 2001), tissues (Chintapalli et al., 2007), and nutritional stimuli (Post, S., &amp; Tatar, M., 2016).</w:t>
      </w:r>
    </w:p>
    <w:p w:rsidR="00000000" w:rsidDel="00000000" w:rsidP="00000000" w:rsidRDefault="00000000" w:rsidRPr="00000000" w14:paraId="000000F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1">
      <w:pPr>
        <w:jc w:val="both"/>
        <w:rPr>
          <w:rFonts w:ascii="Calibri" w:cs="Calibri" w:eastAsia="Calibri" w:hAnsi="Calibri"/>
        </w:rPr>
      </w:pPr>
      <w:r w:rsidDel="00000000" w:rsidR="00000000" w:rsidRPr="00000000">
        <w:rPr>
          <w:rFonts w:ascii="Calibri" w:cs="Calibri" w:eastAsia="Calibri" w:hAnsi="Calibri"/>
          <w:rtl w:val="0"/>
        </w:rPr>
        <w:t xml:space="preserve">The specific overexpression of FOXO within the intestinal and adipose tissues has been demonstrated to be sufficient for extending the lifespan of flies (Hwangbo et al., 2004). Through an analysis of the direct transcriptional outputs of activated FOXO in these tissues, researchers identified five transcription factors that may mediate the resultant lifespan extension (Alic et al., 2014). Among them, the transcriptional repressor belonging to the ETS family, known as AOP, shares a comparable set of transcriptional targets with FOXO. Activation of AOP in the intestine and adipose tissues, whether directly via overexpression or indirectly through inhibition of RAS/ERK signaling (Slack et al., 2015), has revealed that AOP can also contribute to lifespan extension. Given its pivotal role in cancer biology, RAS/ERK signaling has been a primary target for drug development. One FDA-approved drug designed to attenuate its activity, trametinib, has been shown to extend the lifespan of flies when administered through dietary intake. This discovery is particularly significant, as its mechanism of action could hold relevance for mitigating aging-related decline in higher organisms. It also places trametinib among a select group of FDA-approved pharmaceutical agents that have exhibited demonstrable anti-aging properties (Roth, G. S., &amp; Ingram, D. K., 2016).</w:t>
      </w:r>
    </w:p>
    <w:p w:rsidR="00000000" w:rsidDel="00000000" w:rsidP="00000000" w:rsidRDefault="00000000" w:rsidRPr="00000000" w14:paraId="000000F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3">
      <w:pPr>
        <w:jc w:val="both"/>
        <w:rPr>
          <w:rFonts w:ascii="Calibri" w:cs="Calibri" w:eastAsia="Calibri" w:hAnsi="Calibri"/>
        </w:rPr>
      </w:pPr>
      <w:r w:rsidDel="00000000" w:rsidR="00000000" w:rsidRPr="00000000">
        <w:rPr>
          <w:rFonts w:ascii="Calibri" w:cs="Calibri" w:eastAsia="Calibri" w:hAnsi="Calibri"/>
          <w:rtl w:val="0"/>
        </w:rPr>
        <w:t xml:space="preserve">Considering that AOP and FOXO function synergistically to extend lifespan when overexpressed in the intestine and adipose tissues, Alic et al. characterized the overlap in their transcriptional outputs to identify alterations that might coordinate their roles in promoting longevity. One such gene, Obp99b, has been identified as a potential humoral factor crucial for inter-tissue signaling. Notably, this gene was found to be strongly upregulated in a model of delayed aging in Drosophila induced by reproductive diapause (Kučerová et al., 2016).</w:t>
      </w:r>
    </w:p>
    <w:p w:rsidR="00000000" w:rsidDel="00000000" w:rsidP="00000000" w:rsidRDefault="00000000" w:rsidRPr="00000000" w14:paraId="000000F4">
      <w:pPr>
        <w:pStyle w:val="Heading5"/>
        <w:jc w:val="both"/>
        <w:rPr>
          <w:rFonts w:ascii="Calibri" w:cs="Calibri" w:eastAsia="Calibri" w:hAnsi="Calibri"/>
        </w:rPr>
      </w:pPr>
      <w:bookmarkStart w:colFirst="0" w:colLast="0" w:name="_5yozdccplb26" w:id="19"/>
      <w:bookmarkEnd w:id="19"/>
      <w:r w:rsidDel="00000000" w:rsidR="00000000" w:rsidRPr="00000000">
        <w:rPr>
          <w:color w:val="666666"/>
          <w:sz w:val="24"/>
          <w:szCs w:val="24"/>
          <w:rtl w:val="0"/>
        </w:rPr>
        <w:t xml:space="preserve">1.4.1.2.2 </w:t>
      </w:r>
      <w:r w:rsidDel="00000000" w:rsidR="00000000" w:rsidRPr="00000000">
        <w:rPr>
          <w:rFonts w:ascii="Calibri" w:cs="Calibri" w:eastAsia="Calibri" w:hAnsi="Calibri"/>
          <w:rtl w:val="0"/>
        </w:rPr>
        <w:t xml:space="preserve">mTOR Signaling</w:t>
      </w:r>
    </w:p>
    <w:p w:rsidR="00000000" w:rsidDel="00000000" w:rsidP="00000000" w:rsidRDefault="00000000" w:rsidRPr="00000000" w14:paraId="000000F5">
      <w:pPr>
        <w:jc w:val="both"/>
        <w:rPr>
          <w:rFonts w:ascii="Calibri" w:cs="Calibri" w:eastAsia="Calibri" w:hAnsi="Calibri"/>
        </w:rPr>
      </w:pPr>
      <w:r w:rsidDel="00000000" w:rsidR="00000000" w:rsidRPr="00000000">
        <w:rPr>
          <w:rFonts w:ascii="Calibri" w:cs="Calibri" w:eastAsia="Calibri" w:hAnsi="Calibri"/>
          <w:rtl w:val="0"/>
        </w:rPr>
        <w:t xml:space="preserve">The mechanistic target of rapamycin (mTOR) is an amino acid-sensitive signaling kinase that plays a central role in growth regulation (Saxton, R. A., &amp; Sabatini, D. M., 2017). The genetic suppression of mTOR function was first shown to extend lifespan in nematodes (Vellai et al., 2003), an effect that has been evolutionarily conserved in yeast (Kaeberlein et al., 2005), flies (Kapahi et al., 2004), and mice (Lamming et al., 2012).</w:t>
      </w:r>
    </w:p>
    <w:p w:rsidR="00000000" w:rsidDel="00000000" w:rsidP="00000000" w:rsidRDefault="00000000" w:rsidRPr="00000000" w14:paraId="000000F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7">
      <w:pPr>
        <w:jc w:val="both"/>
        <w:rPr>
          <w:rFonts w:ascii="Calibri" w:cs="Calibri" w:eastAsia="Calibri" w:hAnsi="Calibri"/>
        </w:rPr>
      </w:pPr>
      <w:r w:rsidDel="00000000" w:rsidR="00000000" w:rsidRPr="00000000">
        <w:rPr>
          <w:rFonts w:ascii="Calibri" w:cs="Calibri" w:eastAsia="Calibri" w:hAnsi="Calibri"/>
          <w:rtl w:val="0"/>
        </w:rPr>
        <w:t xml:space="preserve">mTOR is typically regarded as a principal molecule responsible for sensing amino acids and transmitting growth signals within cells. Therefore, it is not surprising that its activity is intricately linked to longevity in response to dietary macronutrient composition. In flies, both activation of the mTOR suppressor TSC2 and dietary administration of the mTOR inhibitor rapamycin have been observed to counteract the lifespan-shortening effects induced by a protein-rich diet composed primarily of yeast (the sole protein source for flies) or an increased amino acid content in food (Emran et al., 2014). Similar relationships between dietary protein intake, mTOR activity, and lifespan have also been documented in mice.</w:t>
      </w:r>
    </w:p>
    <w:p w:rsidR="00000000" w:rsidDel="00000000" w:rsidP="00000000" w:rsidRDefault="00000000" w:rsidRPr="00000000" w14:paraId="000000F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9">
      <w:pPr>
        <w:jc w:val="both"/>
        <w:rPr>
          <w:rFonts w:ascii="Calibri" w:cs="Calibri" w:eastAsia="Calibri" w:hAnsi="Calibri"/>
        </w:rPr>
      </w:pPr>
      <w:r w:rsidDel="00000000" w:rsidR="00000000" w:rsidRPr="00000000">
        <w:rPr>
          <w:rFonts w:ascii="Calibri" w:cs="Calibri" w:eastAsia="Calibri" w:hAnsi="Calibri"/>
          <w:rtl w:val="0"/>
        </w:rPr>
        <w:t xml:space="preserve">Rapamycin, a well-known mTOR inhibitor, has been extensively studied for its ability to extend lifespan in yeast (Medvedik et al., 2007), nematodes (Robida-Stubbs et al., 2012), flies, and mice (Miller et al., 2014). A meta-analysis of 29 independent lifespan extension experiments in mice using rapamycin confirmed its robust longevity-promoting effects, though the magnitude of its impact varied depending on sex (with a stronger effect in females than in males) and genetic background (Swindell, 2016).</w:t>
      </w:r>
    </w:p>
    <w:p w:rsidR="00000000" w:rsidDel="00000000" w:rsidP="00000000" w:rsidRDefault="00000000" w:rsidRPr="00000000" w14:paraId="000000F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B">
      <w:pPr>
        <w:jc w:val="both"/>
        <w:rPr>
          <w:rFonts w:ascii="Calibri" w:cs="Calibri" w:eastAsia="Calibri" w:hAnsi="Calibri"/>
        </w:rPr>
      </w:pPr>
      <w:r w:rsidDel="00000000" w:rsidR="00000000" w:rsidRPr="00000000">
        <w:rPr>
          <w:rFonts w:ascii="Calibri" w:cs="Calibri" w:eastAsia="Calibri" w:hAnsi="Calibri"/>
          <w:rtl w:val="0"/>
        </w:rPr>
        <w:t xml:space="preserve">mTOR inhibition results in a general reduction in protein translation and an upregulation of autophagy, two extensively studied phenomena believed to contribute to lifespan extension by enhancing proteostasis (Taylor, R. C., &amp; Dillin, A., 2011). This increasingly recognized concept encapsulates the beneficial effects of various longevity interventions across multiple model organisms and has been classified as one of the nine hallmarks of aging. The most frequently examined molecular targets of mTOR phosphorylation are the translational activator kinase S6 and the translational repressor 4EBP. Suppression of S6K has been reported to be sufficient for lifespan extension in both flies and mice (Selman et al., 2009), and its inhibition is required for rapamycin to exert its lifespan-extending effects in flies. 4EBP has also been implicated in the longevity response to rapamycin and dietary restriction (Zid, 2009), though its role appears to be context-dependent (Partridge et al., 2011). Functional autophagy is essential for rapamycin-mediated lifespan extension, and overexpression of autophagy components such as ATG1 (Ulgherait et al., 2014) or ATG8a (Simonsen et al., 2008) has been shown to be sufficient for lifespan extension in flies. Consequently, dietary and pharmacological interventions aimed at enhancing autophagy have emerged as promising strategies for promoting healthy aging.</w:t>
      </w:r>
    </w:p>
    <w:p w:rsidR="00000000" w:rsidDel="00000000" w:rsidP="00000000" w:rsidRDefault="00000000" w:rsidRPr="00000000" w14:paraId="000000F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D">
      <w:pPr>
        <w:jc w:val="both"/>
        <w:rPr>
          <w:rFonts w:ascii="Calibri" w:cs="Calibri" w:eastAsia="Calibri" w:hAnsi="Calibri"/>
        </w:rPr>
      </w:pPr>
      <w:r w:rsidDel="00000000" w:rsidR="00000000" w:rsidRPr="00000000">
        <w:rPr>
          <w:rFonts w:ascii="Calibri" w:cs="Calibri" w:eastAsia="Calibri" w:hAnsi="Calibri"/>
          <w:rtl w:val="0"/>
        </w:rPr>
        <w:t xml:space="preserve">The polyamine spermidine has been found to increase lifespan in yeast, nematodes, and flies in an autophagy-dependent manner (Eisenberg et al., 2009). Additionally, two compounds, AUTEN-67 and AUTEN-99, identified through small-molecule screening for autophagy enhancers, have also been shown to extend lifespan in flies (Kovács et al., 2017). However, the control flies in these studies exhibited extremely short lifespans and signs of age-independent mortality, indicating the need for further validation. In the case of spermidine, evidence supporting its anti-aging effects has been strengthened by findings demonstrating its evolutionarily conserved benefits, which now include improved healthspan and increased lifespan in mice (Eisenberg et al., 2016). In humans, high spermidine intake has been associated with a reduced risk of cardiovascular diseases. Collectively, these findings reinforce the conclusion that reduced mTOR activity extends lifespan by enhancing proteostasis, particularly through the upregulation of autophagy.</w:t>
      </w:r>
    </w:p>
    <w:p w:rsidR="00000000" w:rsidDel="00000000" w:rsidP="00000000" w:rsidRDefault="00000000" w:rsidRPr="00000000" w14:paraId="000000FE">
      <w:pPr>
        <w:pStyle w:val="Heading5"/>
        <w:jc w:val="both"/>
        <w:rPr>
          <w:rFonts w:ascii="Calibri" w:cs="Calibri" w:eastAsia="Calibri" w:hAnsi="Calibri"/>
        </w:rPr>
      </w:pPr>
      <w:bookmarkStart w:colFirst="0" w:colLast="0" w:name="_697qqr93j1q9" w:id="20"/>
      <w:bookmarkEnd w:id="20"/>
      <w:r w:rsidDel="00000000" w:rsidR="00000000" w:rsidRPr="00000000">
        <w:rPr>
          <w:color w:val="666666"/>
          <w:sz w:val="24"/>
          <w:szCs w:val="24"/>
          <w:rtl w:val="0"/>
        </w:rPr>
        <w:t xml:space="preserve">1.4.1.2.3 </w:t>
      </w:r>
      <w:r w:rsidDel="00000000" w:rsidR="00000000" w:rsidRPr="00000000">
        <w:rPr>
          <w:rFonts w:ascii="Calibri" w:cs="Calibri" w:eastAsia="Calibri" w:hAnsi="Calibri"/>
          <w:rtl w:val="0"/>
        </w:rPr>
        <w:t xml:space="preserve">GCN2/ATF4 Pathway</w:t>
      </w:r>
    </w:p>
    <w:p w:rsidR="00000000" w:rsidDel="00000000" w:rsidP="00000000" w:rsidRDefault="00000000" w:rsidRPr="00000000" w14:paraId="000000FF">
      <w:pPr>
        <w:jc w:val="both"/>
        <w:rPr>
          <w:rFonts w:ascii="Calibri" w:cs="Calibri" w:eastAsia="Calibri" w:hAnsi="Calibri"/>
        </w:rPr>
      </w:pPr>
      <w:r w:rsidDel="00000000" w:rsidR="00000000" w:rsidRPr="00000000">
        <w:rPr>
          <w:rFonts w:ascii="Calibri" w:cs="Calibri" w:eastAsia="Calibri" w:hAnsi="Calibri"/>
          <w:rtl w:val="0"/>
        </w:rPr>
        <w:t xml:space="preserve">Another critical amino acid sensor involved in adaptation to nutritionally imbalanced diets is the evolutionarily conserved protein kinase GCN2. Its function was first characterized in yeast, where it was shown to be activated by uncharged tRNAs and to phosphorylate and inactivate the translation initiation factor eIF2 (Dever et al., 1992), thereby reducing overall translation. Concurrently, the presence of small upstream open reading frames (uORFs) in the 5' UTRs of certain genes facilitates their selective upregulation (Abastado et al., 1991). The transcription factor GCN4 is the product of one such regulated gene and functions to control the expression of numerous genes involved in amino acid and purine biosynthesis (Hinnebusch, 1988). ATF4 is the ortholog of GCN4 in flies and mammals, and its expression is similarly enhanced through translational control following eIF2alpha phosphorylation by stress-sensitive kinases, including GCN2 (Vattem, K., &amp; Wek, R., 2004).</w:t>
      </w:r>
    </w:p>
    <w:p w:rsidR="00000000" w:rsidDel="00000000" w:rsidP="00000000" w:rsidRDefault="00000000" w:rsidRPr="00000000" w14:paraId="0000010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1">
      <w:pPr>
        <w:jc w:val="both"/>
        <w:rPr>
          <w:rFonts w:ascii="Calibri" w:cs="Calibri" w:eastAsia="Calibri" w:hAnsi="Calibri"/>
        </w:rPr>
      </w:pPr>
      <w:r w:rsidDel="00000000" w:rsidR="00000000" w:rsidRPr="00000000">
        <w:rPr>
          <w:rFonts w:ascii="Calibri" w:cs="Calibri" w:eastAsia="Calibri" w:hAnsi="Calibri"/>
          <w:rtl w:val="0"/>
        </w:rPr>
        <w:t xml:space="preserve">Recent findings have demonstrated that in flies, GCN2 is necessary for lifespan extension in response to yeast restriction, where it phosphorylates eIF2alpha and leads to upregulation of 4EBP (Kang et al., 2017). These conditions are associated with global translational suppression, except for a subset of proteins that are selectively upregulated. Future investigations should explore how these upregulated proteins contribute to lifespan extension. A compelling candidate is Sestrin2, which is induced by ATF4 in mammals in response to amino acid stress and acts by suppressing mTOR function (Ye et al., 2015). In flies, Sestrin2 has been implicated in age-associated physiological decline through its role in mTOR feedback inhibition (Lee et al., 2010).</w:t>
      </w:r>
    </w:p>
    <w:p w:rsidR="00000000" w:rsidDel="00000000" w:rsidP="00000000" w:rsidRDefault="00000000" w:rsidRPr="00000000" w14:paraId="00000102">
      <w:pPr>
        <w:pStyle w:val="Heading5"/>
        <w:jc w:val="both"/>
        <w:rPr>
          <w:rFonts w:ascii="Calibri" w:cs="Calibri" w:eastAsia="Calibri" w:hAnsi="Calibri"/>
        </w:rPr>
      </w:pPr>
      <w:bookmarkStart w:colFirst="0" w:colLast="0" w:name="_mo3ogi2ik1k1" w:id="21"/>
      <w:bookmarkEnd w:id="21"/>
      <w:r w:rsidDel="00000000" w:rsidR="00000000" w:rsidRPr="00000000">
        <w:rPr>
          <w:color w:val="666666"/>
          <w:sz w:val="24"/>
          <w:szCs w:val="24"/>
          <w:rtl w:val="0"/>
        </w:rPr>
        <w:t xml:space="preserve">1.4.1.2.3 </w:t>
      </w:r>
      <w:r w:rsidDel="00000000" w:rsidR="00000000" w:rsidRPr="00000000">
        <w:rPr>
          <w:rFonts w:ascii="Calibri" w:cs="Calibri" w:eastAsia="Calibri" w:hAnsi="Calibri"/>
          <w:rtl w:val="0"/>
        </w:rPr>
        <w:t xml:space="preserve">AMPK</w:t>
      </w:r>
    </w:p>
    <w:p w:rsidR="00000000" w:rsidDel="00000000" w:rsidP="00000000" w:rsidRDefault="00000000" w:rsidRPr="00000000" w14:paraId="00000103">
      <w:pPr>
        <w:jc w:val="both"/>
        <w:rPr>
          <w:rFonts w:ascii="Calibri" w:cs="Calibri" w:eastAsia="Calibri" w:hAnsi="Calibri"/>
        </w:rPr>
      </w:pPr>
      <w:r w:rsidDel="00000000" w:rsidR="00000000" w:rsidRPr="00000000">
        <w:rPr>
          <w:rFonts w:ascii="Calibri" w:cs="Calibri" w:eastAsia="Calibri" w:hAnsi="Calibri"/>
          <w:rtl w:val="0"/>
        </w:rPr>
        <w:t xml:space="preserve">AMP-activated protein kinase (AMPK) serves as a fundamental cellular energy sensor, continuously monitoring the intracellular ratio of AMP + ADP to ATP. This kinase plays a pivotal role in orchestrating the balance between energy-consuming and energy-producing processes to maintain cellular homeostasis. In Drosophila, loss-of-function mutations in AMPK lead to a pronounced metabolic imbalance, manifesting as heightened sensitivity to starvation, hyperactivity, excessive food intake (hyperphagia), and abnormal lipid accumulation. These phenotypes collectively suggest that the flies experience a state of mild starvation, likely due to inefficient mobilization and utilization of stored energy reserves (Johnson et al., 2010).</w:t>
      </w:r>
    </w:p>
    <w:p w:rsidR="00000000" w:rsidDel="00000000" w:rsidP="00000000" w:rsidRDefault="00000000" w:rsidRPr="00000000" w14:paraId="00000104">
      <w:pPr>
        <w:jc w:val="both"/>
        <w:rPr>
          <w:rFonts w:ascii="Calibri" w:cs="Calibri" w:eastAsia="Calibri" w:hAnsi="Calibri"/>
        </w:rPr>
      </w:pPr>
      <w:r w:rsidDel="00000000" w:rsidR="00000000" w:rsidRPr="00000000">
        <w:rPr>
          <w:rFonts w:ascii="Calibri" w:cs="Calibri" w:eastAsia="Calibri" w:hAnsi="Calibri"/>
          <w:rtl w:val="0"/>
        </w:rPr>
        <w:t xml:space="preserve">Elevated AMPK expression has been demonstrated to be sufficient for lifespan extension in both nematodes and flies. In Drosophila, targeted upregulation of the AMPK alpha subunit within various tissues—including adipose tissue, muscles, neurons, and the gut—results in a significant increase in longevity. Particularly intriguing is the observation that neuron-specific overexpression of AMPK enhances neuronal autophagy, a process essential for lifespan extension, while concurrently promoting autophagic activity and mitigating age-related barrier dysfunction in the intestinal epithelium. This effect appears to be mediated by a reduction in ilp2 expression, implicating systemic insulin downregulation as a key orchestrator of intertissue autophagic activation. In Caenorhabditis elegans, neuronal AMPK similarly functions as a central regulator of systemic longevity signaling, facilitating longevity-promoting effects in peripheral tissues via AMPK activation (Burkewitz et al., 2015). If autophagy activation serves as the primary mechanism through which AMPK extends lifespan, this may occur via its inhibitory effects on mTOR signaling (Howell et al., 2017) or through its direct phosphorylation and activation of autophagy-related proteins (ATG), as demonstrated in mammalian systems (Kim et al., 2011). Notably, recent findings in nematodes suggest that both AMPK and dietary restriction (DR) play essential roles in preventing age-related declines in RNA splicing fidelity, an effect that has been directly linked to increased lifespan (Heintz et al., 2016).</w:t>
      </w:r>
    </w:p>
    <w:p w:rsidR="00000000" w:rsidDel="00000000" w:rsidP="00000000" w:rsidRDefault="00000000" w:rsidRPr="00000000" w14:paraId="00000105">
      <w:pPr>
        <w:jc w:val="both"/>
        <w:rPr>
          <w:rFonts w:ascii="Calibri" w:cs="Calibri" w:eastAsia="Calibri" w:hAnsi="Calibri"/>
        </w:rPr>
      </w:pPr>
      <w:r w:rsidDel="00000000" w:rsidR="00000000" w:rsidRPr="00000000">
        <w:rPr>
          <w:rFonts w:ascii="Calibri" w:cs="Calibri" w:eastAsia="Calibri" w:hAnsi="Calibri"/>
          <w:rtl w:val="0"/>
        </w:rPr>
        <w:t xml:space="preserve">Metformin, a widely prescribed anti-diabetic drug, exhibits a broad spectrum of molecular effects, including attenuation of insulin/IGF-1/mTOR/AMPK signaling, inhibition of the mitochondrial electron transport chain (ETC), and reduction of reactive oxygen species (ROS) production and associated DNA damage (Barzilai et al., 2016). Given its extensive array of longevity-associated mechanisms, it is unsurprising that metformin administration has been repeatedly reported to extend healthspan and delay multiple aging-related decline markers in both nematodes (Haes et al., 2014) and rodents (Anisimov et al., 2011). Indeed, there is growing enthusiasm for advancing metformin as a potential anti-aging therapeutic in humans, with large-scale clinical trials currently being planned and funded to assess its effects on cardiovascular disease, cancer, dementia, and overall mortality in a cohort of 3,000 individuals aged 65–79 years (Martin-Montalvo et al., 2013).</w:t>
      </w:r>
    </w:p>
    <w:p w:rsidR="00000000" w:rsidDel="00000000" w:rsidP="00000000" w:rsidRDefault="00000000" w:rsidRPr="00000000" w14:paraId="00000106">
      <w:pPr>
        <w:jc w:val="both"/>
        <w:rPr>
          <w:rFonts w:ascii="Calibri" w:cs="Calibri" w:eastAsia="Calibri" w:hAnsi="Calibri"/>
        </w:rPr>
      </w:pPr>
      <w:r w:rsidDel="00000000" w:rsidR="00000000" w:rsidRPr="00000000">
        <w:rPr>
          <w:rFonts w:ascii="Calibri" w:cs="Calibri" w:eastAsia="Calibri" w:hAnsi="Calibri"/>
          <w:rtl w:val="0"/>
        </w:rPr>
        <w:t xml:space="preserve">Surprisingly, a single report on metformin treatment in Drosophila has failed to demonstrate any lifespan benefits across a range of doses, despite evidence that the drug is effectively absorbed and activates AMPK signaling in these flies (Slack et al., 2012). Potential explanations for this discrepancy include the absence of a metformin-sensitive microbiota in Drosophila—an essential factor for metformin-induced lifespan extension in nematodes—or the possibility that the experimental conditions involved a genetically heterogeneous fly population maintained on an already lifespan-optimized diet, leaving little room for additional longevity benefits conferred by the drug.</w:t>
      </w:r>
    </w:p>
    <w:p w:rsidR="00000000" w:rsidDel="00000000" w:rsidP="00000000" w:rsidRDefault="00000000" w:rsidRPr="00000000" w14:paraId="00000107">
      <w:pPr>
        <w:pStyle w:val="Heading4"/>
        <w:jc w:val="both"/>
        <w:rPr>
          <w:rFonts w:ascii="Calibri" w:cs="Calibri" w:eastAsia="Calibri" w:hAnsi="Calibri"/>
        </w:rPr>
      </w:pPr>
      <w:bookmarkStart w:colFirst="0" w:colLast="0" w:name="_d0h1l3uvhl1n" w:id="22"/>
      <w:bookmarkEnd w:id="22"/>
      <w:r w:rsidDel="00000000" w:rsidR="00000000" w:rsidRPr="00000000">
        <w:rPr>
          <w:color w:val="666666"/>
          <w:sz w:val="24"/>
          <w:szCs w:val="24"/>
          <w:rtl w:val="0"/>
        </w:rPr>
        <w:t xml:space="preserve">1.4.1.3 </w:t>
      </w:r>
      <w:r w:rsidDel="00000000" w:rsidR="00000000" w:rsidRPr="00000000">
        <w:rPr>
          <w:rFonts w:ascii="Calibri" w:cs="Calibri" w:eastAsia="Calibri" w:hAnsi="Calibri"/>
          <w:rtl w:val="0"/>
        </w:rPr>
        <w:t xml:space="preserve">Lifespan-Limiting Tissues</w:t>
      </w:r>
    </w:p>
    <w:p w:rsidR="00000000" w:rsidDel="00000000" w:rsidP="00000000" w:rsidRDefault="00000000" w:rsidRPr="00000000" w14:paraId="00000108">
      <w:pPr>
        <w:jc w:val="both"/>
        <w:rPr>
          <w:rFonts w:ascii="Calibri" w:cs="Calibri" w:eastAsia="Calibri" w:hAnsi="Calibri"/>
        </w:rPr>
      </w:pPr>
      <w:r w:rsidDel="00000000" w:rsidR="00000000" w:rsidRPr="00000000">
        <w:rPr>
          <w:rFonts w:ascii="Calibri" w:cs="Calibri" w:eastAsia="Calibri" w:hAnsi="Calibri"/>
          <w:rtl w:val="0"/>
        </w:rPr>
        <w:t xml:space="preserve">Aging is characterized by differential rates of functional decline across various tissues. In invertebrate model organisms, targeting specific organs with protective genetic modifications may extend lifespan via one of two primary mechanisms. First, lifespan extension may occur if the intervention solely improves the function of a specific organ that otherwise represents a primary constraint on longevity; in this scenario, lifespan is extended only until another vital organ becomes the limiting factor. Alternatively, lifespan may be prolonged if the targeted organ exerts a systemic regulatory influence on overall physiological homeostasis, thereby optimizing the function of multiple organ systems. While these two frameworks provide useful conceptual models, the reality is likely far more complex, involving intricate intertissue interactions that dynamically influence the aging process. From a translational perspective, whole-organism functional preservation is more desirable than tissue-specific interventions, as the former is expected to mitigate the intrinsic heterogeneity that characterizes aging across individuals.</w:t>
      </w:r>
    </w:p>
    <w:p w:rsidR="00000000" w:rsidDel="00000000" w:rsidP="00000000" w:rsidRDefault="00000000" w:rsidRPr="00000000" w14:paraId="00000109">
      <w:pPr>
        <w:pStyle w:val="Heading5"/>
        <w:jc w:val="both"/>
        <w:rPr>
          <w:rFonts w:ascii="Calibri" w:cs="Calibri" w:eastAsia="Calibri" w:hAnsi="Calibri"/>
        </w:rPr>
      </w:pPr>
      <w:bookmarkStart w:colFirst="0" w:colLast="0" w:name="_7dv0nx43zwkt" w:id="23"/>
      <w:bookmarkEnd w:id="23"/>
      <w:r w:rsidDel="00000000" w:rsidR="00000000" w:rsidRPr="00000000">
        <w:rPr>
          <w:color w:val="666666"/>
          <w:sz w:val="24"/>
          <w:szCs w:val="24"/>
          <w:rtl w:val="0"/>
        </w:rPr>
        <w:t xml:space="preserve">1.4.1.3.1 </w:t>
      </w:r>
      <w:r w:rsidDel="00000000" w:rsidR="00000000" w:rsidRPr="00000000">
        <w:rPr>
          <w:rFonts w:ascii="Calibri" w:cs="Calibri" w:eastAsia="Calibri" w:hAnsi="Calibri"/>
          <w:rtl w:val="0"/>
        </w:rPr>
        <w:t xml:space="preserve">The Gut</w:t>
      </w:r>
    </w:p>
    <w:p w:rsidR="00000000" w:rsidDel="00000000" w:rsidP="00000000" w:rsidRDefault="00000000" w:rsidRPr="00000000" w14:paraId="0000010A">
      <w:pPr>
        <w:jc w:val="both"/>
        <w:rPr>
          <w:rFonts w:ascii="Calibri" w:cs="Calibri" w:eastAsia="Calibri" w:hAnsi="Calibri"/>
        </w:rPr>
      </w:pPr>
      <w:r w:rsidDel="00000000" w:rsidR="00000000" w:rsidRPr="00000000">
        <w:rPr>
          <w:rFonts w:ascii="Calibri" w:cs="Calibri" w:eastAsia="Calibri" w:hAnsi="Calibri"/>
          <w:rtl w:val="0"/>
        </w:rPr>
        <w:t xml:space="preserve">The repeated observation that genetic modifications targeting the gut can modulate lifespan has propelled this organ into the spotlight as a key focus for aging research. Specifically, suppression of insulin/IGF-1 signaling (IIS) in intestinal and adipose tissues, inhibition of RAS/ERK signaling in the gut and fat body, suppression of mTOR signaling in muscle, gut, and neurons, or activation of AMPK—all of which enhance autophagic activity—have been shown to be sufficient for lifespan extension in </w:t>
      </w:r>
      <w:r w:rsidDel="00000000" w:rsidR="00000000" w:rsidRPr="00000000">
        <w:rPr>
          <w:rFonts w:ascii="Calibri" w:cs="Calibri" w:eastAsia="Calibri" w:hAnsi="Calibri"/>
          <w:i w:val="1"/>
          <w:iCs w:val="1"/>
          <w:rtl w:val="0"/>
        </w:rPr>
        <w:t xml:space="preserve">Drosophila</w:t>
      </w:r>
      <w:r w:rsidDel="00000000" w:rsidR="00000000" w:rsidRPr="00000000">
        <w:rPr>
          <w:rFonts w:ascii="Calibri" w:cs="Calibri" w:eastAsia="Calibri" w:hAnsi="Calibri"/>
          <w:rtl w:val="0"/>
        </w:rPr>
        <w:t xml:space="preserve">.</w:t>
      </w:r>
    </w:p>
    <w:p w:rsidR="00000000" w:rsidDel="00000000" w:rsidP="00000000" w:rsidRDefault="00000000" w:rsidRPr="00000000" w14:paraId="000001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jc w:val="both"/>
        <w:rPr>
          <w:rFonts w:ascii="Calibri" w:cs="Calibri" w:eastAsia="Calibri" w:hAnsi="Calibri"/>
        </w:rPr>
      </w:pPr>
      <w:r w:rsidDel="00000000" w:rsidR="00000000" w:rsidRPr="00000000">
        <w:rPr>
          <w:rFonts w:ascii="Calibri" w:cs="Calibri" w:eastAsia="Calibri" w:hAnsi="Calibri"/>
          <w:rtl w:val="0"/>
        </w:rPr>
        <w:t xml:space="preserve">The gut is a crucial homeostatic organ that must balance seemingly contradictory roles: facilitating digestion and nutrient absorption while simultaneously hosting a symbiotic microbiota that aids in these processes, all while functioning as a frontline barrier against ingested toxins and pathogens (Lemaitre &amp; Miguel-Aliaga, 2013). Additionally, the gut is unique among Drosophila tissues in that it harbors an active reservoir of stem cells, making it a central site for understanding the evolutionarily conserved role of stem cell proliferation in aging. Furthermore, the gut acts as a significant endocrine organ, producing various signaling peptides involved in metabolic regulation. Given these diverse roles, maintaining gut function is likely critical for preserving overall organismal health, while gut dysfunction can have cascading negative effects on systemic physiology. It is plausible that sustaining gut homeostasis over time can directly extend lifespan by enhancing digestive and barrier functions or indirectly by regulating systemic metabolic homeostasis.</w:t>
      </w:r>
    </w:p>
    <w:p w:rsidR="00000000" w:rsidDel="00000000" w:rsidP="00000000" w:rsidRDefault="00000000" w:rsidRPr="00000000" w14:paraId="000001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jc w:val="both"/>
        <w:rPr>
          <w:rFonts w:ascii="Calibri" w:cs="Calibri" w:eastAsia="Calibri" w:hAnsi="Calibri"/>
        </w:rPr>
      </w:pPr>
      <w:r w:rsidDel="00000000" w:rsidR="00000000" w:rsidRPr="00000000">
        <w:rPr>
          <w:rFonts w:ascii="Calibri" w:cs="Calibri" w:eastAsia="Calibri" w:hAnsi="Calibri"/>
          <w:rtl w:val="0"/>
        </w:rPr>
        <w:t xml:space="preserve">Shortly after intestinal stem cells (ISCs) were first identified in Drosophila (Micchelli &amp; Perrimon, 2005), it was discovered that their proliferation rates increase dramatically with age, leading to aberrant differentiation (Biteau, Hochmuth, &amp; Jasper, 2008). This phenomenon contributes to a progressive decline in intestinal barrier integrity (Rera, Clark, &amp; Walker, 2012), raising the possibility that gut dysfunction limits lifespan by increasing susceptibility to systemic infections. Indeed, strong correlations have been established between ISC proliferation rates and organismal lifespan (Biteau et al., 2010), as well as between the onset of intestinal microbial dysbiosis and lifespan (Clark et al., 2015). Interventions that mitigate age-related gut dysplasia or microbial imbalance—such as local modulation of inflammatory signaling (Li, Qi, &amp; Jasper, 2016) or maintenance of innate immune responses at youthful levels (Chen et al., 2014)—have been shown to promote intestinal microbial homeostasis and extend lifespan in flies.</w:t>
      </w:r>
    </w:p>
    <w:p w:rsidR="00000000" w:rsidDel="00000000" w:rsidP="00000000" w:rsidRDefault="00000000" w:rsidRPr="00000000" w14:paraId="000001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0">
      <w:pPr>
        <w:jc w:val="both"/>
        <w:rPr>
          <w:rFonts w:ascii="Calibri" w:cs="Calibri" w:eastAsia="Calibri" w:hAnsi="Calibri"/>
        </w:rPr>
      </w:pPr>
      <w:r w:rsidDel="00000000" w:rsidR="00000000" w:rsidRPr="00000000">
        <w:rPr>
          <w:rFonts w:ascii="Calibri" w:cs="Calibri" w:eastAsia="Calibri" w:hAnsi="Calibri"/>
          <w:rtl w:val="0"/>
        </w:rPr>
        <w:t xml:space="preserve">Given its fundamental physiological functions, it is unsurprising that the gut also plays a central role in mediating dietary effects on lifespan. Interestingly, the dynamic regulation of gut size differs between male and female flies, likely due to sex-specific reproductive nutrient demands. Unlike males, female flies exhibit plastic intestinal growth in response to dietary quality and mating status, allowing them to optimize nutrient absorption while managing the energetic costs of maintaining an enlarged gut. However, this plasticity comes at a cost, as females are more susceptible to excessive ISC proliferation at advanced ages (Hudry et al., 2016). Notably, males and females also exhibit differential responses to dietary restriction (DR), with female lifespan increasing more dramatically under DR conditions (Magwere et al., 2004). This may be attributed to stronger protective effects of nutrient limitation against excessive ISC proliferation in females. Supporting this notion, feminization of the male gut enhances their longevity response to DR.</w:t>
      </w:r>
    </w:p>
    <w:p w:rsidR="00000000" w:rsidDel="00000000" w:rsidP="00000000" w:rsidRDefault="00000000" w:rsidRPr="00000000" w14:paraId="000001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2">
      <w:pPr>
        <w:jc w:val="both"/>
        <w:rPr>
          <w:rFonts w:ascii="Calibri" w:cs="Calibri" w:eastAsia="Calibri" w:hAnsi="Calibri"/>
        </w:rPr>
      </w:pPr>
      <w:r w:rsidDel="00000000" w:rsidR="00000000" w:rsidRPr="00000000">
        <w:rPr>
          <w:rFonts w:ascii="Calibri" w:cs="Calibri" w:eastAsia="Calibri" w:hAnsi="Calibri"/>
          <w:rtl w:val="0"/>
        </w:rPr>
        <w:t xml:space="preserve">Although the extent to which gut dysfunction limits overall lifespan remains unclear, understanding the molecular signals emanating from the gut—such as Obp99b, which responds to altered FOXO/AOP function—will be essential for future investigations. Regardless, the gut remains a critical organ for elucidating stem cell aging mechanisms and the intricate interplay between microbiota, immunity, and organismal longevity.</w:t>
      </w:r>
    </w:p>
    <w:p w:rsidR="00000000" w:rsidDel="00000000" w:rsidP="00000000" w:rsidRDefault="00000000" w:rsidRPr="00000000" w14:paraId="00000113">
      <w:pPr>
        <w:pStyle w:val="Heading5"/>
        <w:jc w:val="both"/>
        <w:rPr>
          <w:rFonts w:ascii="Calibri" w:cs="Calibri" w:eastAsia="Calibri" w:hAnsi="Calibri"/>
        </w:rPr>
      </w:pPr>
      <w:bookmarkStart w:colFirst="0" w:colLast="0" w:name="_k0967nq0a2n0" w:id="24"/>
      <w:bookmarkEnd w:id="24"/>
      <w:r w:rsidDel="00000000" w:rsidR="00000000" w:rsidRPr="00000000">
        <w:rPr>
          <w:color w:val="666666"/>
          <w:sz w:val="24"/>
          <w:szCs w:val="24"/>
          <w:rtl w:val="0"/>
        </w:rPr>
        <w:t xml:space="preserve">1.4.1.3.2 </w:t>
      </w:r>
      <w:r w:rsidDel="00000000" w:rsidR="00000000" w:rsidRPr="00000000">
        <w:rPr>
          <w:rFonts w:ascii="Calibri" w:cs="Calibri" w:eastAsia="Calibri" w:hAnsi="Calibri"/>
          <w:rtl w:val="0"/>
        </w:rPr>
        <w:t xml:space="preserve">Muscles</w:t>
      </w:r>
    </w:p>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rtl w:val="0"/>
        </w:rPr>
        <w:t xml:space="preserve">The progressive decline in muscle mass and function represents a fundamental aspect of physical deterioration that accompanies aging in humans. In Drosophila, muscle tissue constitutes a substantial proportion of body mass and exhibits remarkable structural similarities to mammalian muscle. However, a key distinction lies in the absence of regenerative capacity due to the lack of resident stem cells, thereby rendering Drosophila muscle a model system that captures only certain facets of muscle aging. This unique attribute, however, provides an opportunity to explore how interventions aimed at mitigating age-associated dysfunction in non-replaceable muscle cells may facilitate systemic changes that promote healthy aging (Demontis et al., 2013).</w:t>
      </w:r>
    </w:p>
    <w:p w:rsidR="00000000" w:rsidDel="00000000" w:rsidP="00000000" w:rsidRDefault="00000000" w:rsidRPr="00000000" w14:paraId="0000011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6">
      <w:pPr>
        <w:jc w:val="both"/>
        <w:rPr>
          <w:rFonts w:ascii="Calibri" w:cs="Calibri" w:eastAsia="Calibri" w:hAnsi="Calibri"/>
        </w:rPr>
      </w:pPr>
      <w:r w:rsidDel="00000000" w:rsidR="00000000" w:rsidRPr="00000000">
        <w:rPr>
          <w:rFonts w:ascii="Calibri" w:cs="Calibri" w:eastAsia="Calibri" w:hAnsi="Calibri"/>
          <w:rtl w:val="0"/>
        </w:rPr>
        <w:t xml:space="preserve">One of the earliest indications that Drosophila muscle plays a crucial role in longevity regulation emerged with the discovery that elevated expression of dFOXO specifically in adult muscle could extend the lifespan of flies (Demontis, F., &amp; Perrimon, N., 2010). This effect was at least partially attributed to enhanced autophagy, which contributes to improved proteostasis during aging. Notably, this muscle-specific intervention exerted protective effects throughout the entire organism (e.g., heightened autophagy) via an unidentified signal, which indirectly reduced food intake and consequently mimicked the benefits associated with dietary restriction (DR). Additionally, another unknown muscle-derived signal has been implicated in lifespan extension in response to mild muscle-specific mitochondrial dysfunction (Owusu-Ansah et al., 2013). While the precise identity of these signals remains elusive, they are believed to exert their effects indirectly by attenuating systemic insulin signaling. Furthermore, muscle tissue is thought to play a pivotal role in coordinating organismal health through the secretion of the myokine myoglianin (Demontis et al., 2014). Experimental evidence indicates that muscle-specific overexpression of myoglianin, or its transcriptional regulator Mnt, correlates with reduced global rRNA levels, enhanced climbing ability with age, and prolonged lifespan. These findings highlight both autocrine and endocrine functions of muscle in preserving physiological function. Future research will be essential in elucidating the precise mechanisms by which these anti-aging signals exert their effects across the organism.</w:t>
      </w:r>
    </w:p>
    <w:p w:rsidR="00000000" w:rsidDel="00000000" w:rsidP="00000000" w:rsidRDefault="00000000" w:rsidRPr="00000000" w14:paraId="00000117">
      <w:pPr>
        <w:pStyle w:val="Heading4"/>
        <w:jc w:val="both"/>
        <w:rPr>
          <w:rFonts w:ascii="Calibri" w:cs="Calibri" w:eastAsia="Calibri" w:hAnsi="Calibri"/>
        </w:rPr>
      </w:pPr>
      <w:bookmarkStart w:colFirst="0" w:colLast="0" w:name="_k1hekwgyziko" w:id="25"/>
      <w:bookmarkEnd w:id="25"/>
      <w:r w:rsidDel="00000000" w:rsidR="00000000" w:rsidRPr="00000000">
        <w:rPr>
          <w:sz w:val="24"/>
          <w:szCs w:val="24"/>
          <w:rtl w:val="0"/>
        </w:rPr>
        <w:t xml:space="preserve">1.4.1.4 </w:t>
      </w:r>
      <w:r w:rsidDel="00000000" w:rsidR="00000000" w:rsidRPr="00000000">
        <w:rPr>
          <w:rFonts w:ascii="Calibri" w:cs="Calibri" w:eastAsia="Calibri" w:hAnsi="Calibri"/>
          <w:rtl w:val="0"/>
        </w:rPr>
        <w:t xml:space="preserve">Metabolic Constraints</w:t>
      </w:r>
    </w:p>
    <w:p w:rsidR="00000000" w:rsidDel="00000000" w:rsidP="00000000" w:rsidRDefault="00000000" w:rsidRPr="00000000" w14:paraId="00000118">
      <w:pPr>
        <w:jc w:val="both"/>
        <w:rPr>
          <w:rFonts w:ascii="Calibri" w:cs="Calibri" w:eastAsia="Calibri" w:hAnsi="Calibri"/>
        </w:rPr>
      </w:pPr>
      <w:r w:rsidDel="00000000" w:rsidR="00000000" w:rsidRPr="00000000">
        <w:rPr>
          <w:rFonts w:ascii="Calibri" w:cs="Calibri" w:eastAsia="Calibri" w:hAnsi="Calibri"/>
          <w:rtl w:val="0"/>
        </w:rPr>
        <w:t xml:space="preserve">The aforementioned findings underscore the hierarchical organization of lifespan-regulating mechanisms, wherein environmental factors and nutrient perception operate at a higher level, influencing an extensive network of metabolic and intertissue interactions at a lower level. Given the complexity of these processes, it is not surprising that the majority of discoveries have emerged from investigations at the higher tiers of this hierarchy. However, understanding how the intricate coordination of disparate physiological systems culminates in the emergence of a longevity-promoting phenotype remains a significant challenge.</w:t>
      </w:r>
    </w:p>
    <w:p w:rsidR="00000000" w:rsidDel="00000000" w:rsidP="00000000" w:rsidRDefault="00000000" w:rsidRPr="00000000" w14:paraId="0000011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A">
      <w:pPr>
        <w:jc w:val="both"/>
        <w:rPr>
          <w:rFonts w:ascii="Calibri" w:cs="Calibri" w:eastAsia="Calibri" w:hAnsi="Calibri"/>
        </w:rPr>
      </w:pPr>
      <w:r w:rsidDel="00000000" w:rsidR="00000000" w:rsidRPr="00000000">
        <w:rPr>
          <w:rFonts w:ascii="Calibri" w:cs="Calibri" w:eastAsia="Calibri" w:hAnsi="Calibri"/>
          <w:rtl w:val="0"/>
        </w:rPr>
        <w:t xml:space="preserve">Hallmarks of aging encompass a diverse array of alterations, ranging from genomic and epigenetic modifications to changes in cellular function and systemic homeostasis. The extent to which molecular events associated with each hallmark contribute to the overarching physiological decline that ultimately leads to mortality remains unclear, as does the manner in which one hallmark influences the manifestation of another. Nevertheless, unraveling these interconnections is crucial for the future development of therapeutic interventions that effectively decelerate aging while minimizing adverse effects.</w:t>
      </w:r>
    </w:p>
    <w:p w:rsidR="00000000" w:rsidDel="00000000" w:rsidP="00000000" w:rsidRDefault="00000000" w:rsidRPr="00000000" w14:paraId="0000011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C">
      <w:pPr>
        <w:jc w:val="both"/>
        <w:rPr>
          <w:rFonts w:ascii="Calibri" w:cs="Calibri" w:eastAsia="Calibri" w:hAnsi="Calibri"/>
        </w:rPr>
      </w:pPr>
      <w:r w:rsidDel="00000000" w:rsidR="00000000" w:rsidRPr="00000000">
        <w:rPr>
          <w:rFonts w:ascii="Calibri" w:cs="Calibri" w:eastAsia="Calibri" w:hAnsi="Calibri"/>
          <w:rtl w:val="0"/>
        </w:rPr>
        <w:t xml:space="preserve">To date, the most significant advancements in aging research have been driven by reductionist approaches. However, the interdependence of metabolic and signaling pathways necessitates a broader contextual framework for understanding how aging hallmarks are expressed. This concept is exemplified by multiple studies demonstrating that substrate availability serves as a key determinant in shaping epigenomic maintenance mechanisms that contribute to longevity (Brunet, A., &amp; Rando, T., 2017).</w:t>
      </w:r>
    </w:p>
    <w:p w:rsidR="00000000" w:rsidDel="00000000" w:rsidP="00000000" w:rsidRDefault="00000000" w:rsidRPr="00000000" w14:paraId="0000011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E">
      <w:pPr>
        <w:jc w:val="both"/>
        <w:rPr>
          <w:rFonts w:ascii="Calibri" w:cs="Calibri" w:eastAsia="Calibri" w:hAnsi="Calibri"/>
        </w:rPr>
      </w:pPr>
      <w:r w:rsidDel="00000000" w:rsidR="00000000" w:rsidRPr="00000000">
        <w:rPr>
          <w:rFonts w:ascii="Calibri" w:cs="Calibri" w:eastAsia="Calibri" w:hAnsi="Calibri"/>
          <w:rtl w:val="0"/>
        </w:rPr>
        <w:t xml:space="preserve">Studies in Drosophila have revealed that longevity is associated with reduced levels of free methionine (Laye et al., 2015) to the extent that it stoichiometrically limits translation and egg deposition (Piper et al., 2017). Concurrently, and potentially contributing to intracellular methionine restriction, methionine catabolism via transsulfuration and related pathways is upregulated, leading to an increased supply of substrates for methylation reactions (Parkhitko et al., 2016), as well as the production of glutathione and H2S (Hine et al., 2015), both of which exhibit protective effects against aging. Given that dietary methionine is likely to be present in limited quantities when flies consume natural food sources, it follows that the establishment of methyl-derived epigenetic marks is highly sensitive to fluctuations in nutritional and metabolic status.</w:t>
      </w:r>
    </w:p>
    <w:p w:rsidR="00000000" w:rsidDel="00000000" w:rsidP="00000000" w:rsidRDefault="00000000" w:rsidRPr="00000000" w14:paraId="0000011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0">
      <w:pPr>
        <w:jc w:val="both"/>
        <w:rPr>
          <w:rFonts w:ascii="Calibri" w:cs="Calibri" w:eastAsia="Calibri" w:hAnsi="Calibri"/>
        </w:rPr>
      </w:pPr>
      <w:r w:rsidDel="00000000" w:rsidR="00000000" w:rsidRPr="00000000">
        <w:rPr>
          <w:rFonts w:ascii="Calibri" w:cs="Calibri" w:eastAsia="Calibri" w:hAnsi="Calibri"/>
          <w:rtl w:val="0"/>
        </w:rPr>
        <w:t xml:space="preserve">Metabolic constraints imposed by central carbon metabolism, particularly in the form of cytosolic acetyl-CoA availability, have been shown to confer protection against age-associated increases in histone acetylation (Peleg et al., 2016). Acetyl-CoA cannot traverse the mitochondrial membrane directly and must instead be exported as part of the citrate shuttle, which also supplies the cytosol with reducing power in the form of NADPH. Restricting acetyl-CoA levels may exert additional effects on aging-associated pathways beyond epigenetic modifications, such as reducing inhibitory acetylation of the longevity-promoting transcription factor FOXO (Van der Horst, A., &amp; Burgering, B., 2007) and alleviating autophagy repression mediated by acetylation (Mariño et al., 2014). Indeed, a decrease in neuronal cytoplasmic acetyl-CoA in Drosophila has been linked to enhanced autophagy (Eisenberg et al., 2014) and is sufficient to extend lifespan.</w:t>
      </w:r>
    </w:p>
    <w:p w:rsidR="00000000" w:rsidDel="00000000" w:rsidP="00000000" w:rsidRDefault="00000000" w:rsidRPr="00000000" w14:paraId="0000012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2">
      <w:pPr>
        <w:jc w:val="both"/>
        <w:rPr>
          <w:rFonts w:ascii="Calibri" w:cs="Calibri" w:eastAsia="Calibri" w:hAnsi="Calibri"/>
        </w:rPr>
      </w:pPr>
      <w:r w:rsidDel="00000000" w:rsidR="00000000" w:rsidRPr="00000000">
        <w:rPr>
          <w:rFonts w:ascii="Calibri" w:cs="Calibri" w:eastAsia="Calibri" w:hAnsi="Calibri"/>
          <w:rtl w:val="0"/>
        </w:rPr>
        <w:t xml:space="preserve">Collectively, these findings illustrate how metabolic constraints, which are highly sensitive to the organism's nutritional status, dictate the availability of activated one-carbon and two-carbon units necessary for chromatin maintenance and genome stability, thereby exerting protective effects against aging.</w:t>
      </w:r>
    </w:p>
    <w:p w:rsidR="00000000" w:rsidDel="00000000" w:rsidP="00000000" w:rsidRDefault="00000000" w:rsidRPr="00000000" w14:paraId="0000012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4">
      <w:pPr>
        <w:jc w:val="both"/>
        <w:rPr>
          <w:rFonts w:ascii="Calibri" w:cs="Calibri" w:eastAsia="Calibri" w:hAnsi="Calibri"/>
        </w:rPr>
      </w:pPr>
      <w:r w:rsidDel="00000000" w:rsidR="00000000" w:rsidRPr="00000000">
        <w:rPr>
          <w:rFonts w:ascii="Calibri" w:cs="Calibri" w:eastAsia="Calibri" w:hAnsi="Calibri"/>
          <w:rtl w:val="0"/>
        </w:rPr>
        <w:t xml:space="preserve">Metabolic pathways are interconnected through the shared utilization of numerous components, with key regulatory control dictated primarily by the relative abundance of ATP/ADP, NAD+/NADH, and NADP+/NADPH pairs (Nielsen, J., 2017). Consequently, the proper maintenance of these cofactor pairs is essential for sustaining metabolic homeostasis and, by extension, plays a pivotal role in longevity regulation (Bonkowski, M. S., &amp; Sinclair, D. A., 2016). Understanding and manipulating key metabolic control points derived from genome-scale metabolic modeling could, therefore, constitute a crucial future direction for identifying aging interventions, analogous to their widespread adoption in the search for cancer therapeutic targets (Nielsen, J., 2016).</w:t>
      </w:r>
    </w:p>
    <w:p w:rsidR="00000000" w:rsidDel="00000000" w:rsidP="00000000" w:rsidRDefault="00000000" w:rsidRPr="00000000" w14:paraId="00000125">
      <w:pPr>
        <w:pStyle w:val="Heading4"/>
        <w:jc w:val="both"/>
        <w:rPr>
          <w:rFonts w:ascii="Calibri" w:cs="Calibri" w:eastAsia="Calibri" w:hAnsi="Calibri"/>
        </w:rPr>
      </w:pPr>
      <w:bookmarkStart w:colFirst="0" w:colLast="0" w:name="_k3hkotl4ugqc" w:id="26"/>
      <w:bookmarkEnd w:id="26"/>
      <w:r w:rsidDel="00000000" w:rsidR="00000000" w:rsidRPr="00000000">
        <w:rPr>
          <w:color w:val="666666"/>
          <w:sz w:val="24"/>
          <w:szCs w:val="24"/>
          <w:rtl w:val="0"/>
        </w:rPr>
        <w:t xml:space="preserve">1.4.1.5 </w:t>
      </w:r>
      <w:r w:rsidDel="00000000" w:rsidR="00000000" w:rsidRPr="00000000">
        <w:rPr>
          <w:rFonts w:ascii="Calibri" w:cs="Calibri" w:eastAsia="Calibri" w:hAnsi="Calibri"/>
          <w:rtl w:val="0"/>
        </w:rPr>
        <w:t xml:space="preserve">Discussion</w:t>
      </w:r>
    </w:p>
    <w:p w:rsidR="00000000" w:rsidDel="00000000" w:rsidP="00000000" w:rsidRDefault="00000000" w:rsidRPr="00000000" w14:paraId="00000126">
      <w:pPr>
        <w:jc w:val="both"/>
        <w:rPr>
          <w:rFonts w:ascii="Calibri" w:cs="Calibri" w:eastAsia="Calibri" w:hAnsi="Calibri"/>
        </w:rPr>
      </w:pPr>
      <w:r w:rsidDel="00000000" w:rsidR="00000000" w:rsidRPr="00000000">
        <w:rPr>
          <w:rFonts w:ascii="Calibri" w:cs="Calibri" w:eastAsia="Calibri" w:hAnsi="Calibri"/>
          <w:rtl w:val="0"/>
        </w:rPr>
        <w:t xml:space="preserve">The use of </w:t>
      </w:r>
      <w:r w:rsidDel="00000000" w:rsidR="00000000" w:rsidRPr="00000000">
        <w:rPr>
          <w:rFonts w:ascii="Calibri" w:cs="Calibri" w:eastAsia="Calibri" w:hAnsi="Calibri"/>
          <w:i w:val="1"/>
          <w:iCs w:val="1"/>
          <w:rtl w:val="0"/>
        </w:rPr>
        <w:t xml:space="preserve">Drosophila melanogaster</w:t>
      </w:r>
      <w:r w:rsidDel="00000000" w:rsidR="00000000" w:rsidRPr="00000000">
        <w:rPr>
          <w:rFonts w:ascii="Calibri" w:cs="Calibri" w:eastAsia="Calibri" w:hAnsi="Calibri"/>
          <w:rtl w:val="0"/>
        </w:rPr>
        <w:t xml:space="preserve"> as a model organism has provided unparalleled insights into the molecular and physiological mechanisms underlying aging. This study synthesizes decades of research to elucidate how dietary interventions, nutrient-sensing pathways, and tissue-specific dynamics collectively influence lifespan and healthspan in fruit flies. The findings underscore the fruit fly’s utility in aging research while highlighting critical gaps and opportunities for translational applications. Below, we contextualize these discoveries within the broader field of biogerontology, evaluate their implications, and propose future directions.</w:t>
      </w:r>
    </w:p>
    <w:p w:rsidR="00000000" w:rsidDel="00000000" w:rsidP="00000000" w:rsidRDefault="00000000" w:rsidRPr="00000000" w14:paraId="0000012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8">
      <w:pPr>
        <w:pStyle w:val="Heading4"/>
        <w:jc w:val="both"/>
        <w:rPr>
          <w:rFonts w:ascii="Calibri" w:cs="Calibri" w:eastAsia="Calibri" w:hAnsi="Calibri"/>
        </w:rPr>
      </w:pPr>
      <w:bookmarkStart w:colFirst="0" w:colLast="0" w:name="_n9awr7hsbtkp" w:id="27"/>
      <w:bookmarkEnd w:id="27"/>
      <w:r w:rsidDel="00000000" w:rsidR="00000000" w:rsidRPr="00000000">
        <w:rPr>
          <w:color w:val="666666"/>
          <w:sz w:val="24"/>
          <w:szCs w:val="24"/>
          <w:rtl w:val="0"/>
        </w:rPr>
        <w:t xml:space="preserve">1.4.1.6 </w:t>
      </w:r>
      <w:r w:rsidDel="00000000" w:rsidR="00000000" w:rsidRPr="00000000">
        <w:rPr>
          <w:rFonts w:ascii="Calibri" w:cs="Calibri" w:eastAsia="Calibri" w:hAnsi="Calibri"/>
          <w:rtl w:val="0"/>
        </w:rPr>
        <w:t xml:space="preserve">Key Mechanisms of Lifespan Extension</w:t>
      </w:r>
    </w:p>
    <w:p w:rsidR="00000000" w:rsidDel="00000000" w:rsidP="00000000" w:rsidRDefault="00000000" w:rsidRPr="00000000" w14:paraId="00000129">
      <w:pPr>
        <w:jc w:val="both"/>
        <w:rPr>
          <w:rFonts w:ascii="Calibri" w:cs="Calibri" w:eastAsia="Calibri" w:hAnsi="Calibri"/>
        </w:rPr>
      </w:pPr>
      <w:r w:rsidDel="00000000" w:rsidR="00000000" w:rsidRPr="00000000">
        <w:rPr>
          <w:rFonts w:ascii="Calibri" w:cs="Calibri" w:eastAsia="Calibri" w:hAnsi="Calibri"/>
          <w:rtl w:val="0"/>
        </w:rPr>
        <w:t xml:space="preserve">One of the most robust findings in aging research is the lifespan-extending effect of dietary restriction (DR), a phenomenon conserved across taxa, including yeast, nematodes, flies, and mammals (Piper &amp; Partridge, 2016; Mattison et al., 2012). In Drosophila, DR reduces age-specific mortality and reverses the detrimental effects of nutrient excess, suggesting its benefits are not merely preventative but potentially restorative (Chapman &amp; Partridge, 1996). However, recent studies challenge the notion that caloric restriction alone drives longevity, emphasizing instead the role of macronutrient balance. For instance, reducing dietary protein, particularly methionine, extends lifespan in flies and mice but at the cost of reproductive output (Miller et al., 2005; Solon-Biet et al., 2014). This trade-off underscores the evolutionary tension between survival and reproduction, a cornerstone of life-history theory.</w:t>
      </w:r>
    </w:p>
    <w:p w:rsidR="00000000" w:rsidDel="00000000" w:rsidP="00000000" w:rsidRDefault="00000000" w:rsidRPr="00000000" w14:paraId="0000012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B">
      <w:pPr>
        <w:jc w:val="both"/>
        <w:rPr>
          <w:rFonts w:ascii="Calibri" w:cs="Calibri" w:eastAsia="Calibri" w:hAnsi="Calibri"/>
        </w:rPr>
      </w:pPr>
      <w:r w:rsidDel="00000000" w:rsidR="00000000" w:rsidRPr="00000000">
        <w:rPr>
          <w:rFonts w:ascii="Calibri" w:cs="Calibri" w:eastAsia="Calibri" w:hAnsi="Calibri"/>
          <w:rtl w:val="0"/>
        </w:rPr>
        <w:t xml:space="preserve">The insulin/IGF-1 signaling (IIS) and mechanistic target of rapamycin (mTOR) pathways emerge as central regulators of these dietary effects. Inhibition of IIS, either through genetic mutations or tissue-specific FOXO activation, enhances stress resistance and longevity by promoting autophagy and metabolic homeostasis (Hwangbo et al., 2004; Alic et al., 2014). Similarly, mTOR suppression via rapamycin or genetic manipulation extends lifespan by reducing protein synthesis and enhancing proteostasis (Kapahi et al., 2004; Lamming et al., 2012). These findings align with the "hallmarks of aging" framework, which posits that aging arises from interconnected processes such as loss of proteostasis and dysregulated nutrient sensing (López-Otín et al., 2013). Notably, the interplay between IIS and mTOR pathways suggests a hierarchical regulatory network where dietary inputs modulate downstream effectors like 4EBP and Sestrin2 to fine-tune longevity (Kang et al., 2017; Lee et al., 2010).</w:t>
      </w:r>
    </w:p>
    <w:p w:rsidR="00000000" w:rsidDel="00000000" w:rsidP="00000000" w:rsidRDefault="00000000" w:rsidRPr="00000000" w14:paraId="0000012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D">
      <w:pPr>
        <w:pStyle w:val="Heading4"/>
        <w:jc w:val="both"/>
        <w:rPr>
          <w:rFonts w:ascii="Calibri" w:cs="Calibri" w:eastAsia="Calibri" w:hAnsi="Calibri"/>
        </w:rPr>
      </w:pPr>
      <w:bookmarkStart w:colFirst="0" w:colLast="0" w:name="_q809vagvhp" w:id="28"/>
      <w:bookmarkEnd w:id="28"/>
      <w:r w:rsidDel="00000000" w:rsidR="00000000" w:rsidRPr="00000000">
        <w:rPr>
          <w:color w:val="666666"/>
          <w:sz w:val="24"/>
          <w:szCs w:val="24"/>
          <w:rtl w:val="0"/>
        </w:rPr>
        <w:t xml:space="preserve">1.4.1.7 </w:t>
      </w:r>
      <w:r w:rsidDel="00000000" w:rsidR="00000000" w:rsidRPr="00000000">
        <w:rPr>
          <w:rFonts w:ascii="Calibri" w:cs="Calibri" w:eastAsia="Calibri" w:hAnsi="Calibri"/>
          <w:rtl w:val="0"/>
        </w:rPr>
        <w:t xml:space="preserve">Tissue-Specific Contributions to Aging</w:t>
      </w:r>
    </w:p>
    <w:p w:rsidR="00000000" w:rsidDel="00000000" w:rsidP="00000000" w:rsidRDefault="00000000" w:rsidRPr="00000000" w14:paraId="0000012E">
      <w:pPr>
        <w:jc w:val="both"/>
        <w:rPr>
          <w:rFonts w:ascii="Calibri" w:cs="Calibri" w:eastAsia="Calibri" w:hAnsi="Calibri"/>
        </w:rPr>
      </w:pPr>
      <w:r w:rsidDel="00000000" w:rsidR="00000000" w:rsidRPr="00000000">
        <w:rPr>
          <w:rFonts w:ascii="Calibri" w:cs="Calibri" w:eastAsia="Calibri" w:hAnsi="Calibri"/>
          <w:rtl w:val="0"/>
        </w:rPr>
        <w:t xml:space="preserve">Aging is not a uniform process but manifests through the decline of specific tissues, each contributing uniquely to organismal senescence. The gut, for instance, has emerged as a critical lifespan-limiting organ due to its roles in nutrient absorption, barrier integrity, and stem cell dynamics. Age-related intestinal dysplasia, driven by hyperproliferation of intestinal stem cells (ISCs), compromises barrier function and increases susceptibility to systemic inflammation (Biteau et al., 2008; Rera et al., 2012). Interventions that mitigate ISC overactivity, such as modulating inflammatory signaling or maintaining youthful immune responses, enhance gut homeostasis and extend lifespan (Li et al., 2016; Chen et al., 2014). These findings resonate with studies in mammals, where gut dysbiosis and leaky gut syndrome are linked to age-related pathologies (Clark et al., 2015).</w:t>
      </w:r>
    </w:p>
    <w:p w:rsidR="00000000" w:rsidDel="00000000" w:rsidP="00000000" w:rsidRDefault="00000000" w:rsidRPr="00000000" w14:paraId="0000012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0">
      <w:pPr>
        <w:jc w:val="both"/>
        <w:rPr>
          <w:rFonts w:ascii="Calibri" w:cs="Calibri" w:eastAsia="Calibri" w:hAnsi="Calibri"/>
        </w:rPr>
      </w:pPr>
      <w:r w:rsidDel="00000000" w:rsidR="00000000" w:rsidRPr="00000000">
        <w:rPr>
          <w:rFonts w:ascii="Calibri" w:cs="Calibri" w:eastAsia="Calibri" w:hAnsi="Calibri"/>
          <w:rtl w:val="0"/>
        </w:rPr>
        <w:t xml:space="preserve">Muscle tissue also plays a pivotal role in systemic aging. In Drosophila, muscle-specific overexpression of dFOXO improves proteostasis and indirectly reduces systemic insulin signaling, mimicking the benefits of DR (Demontis &amp; Perrimon, 2010). Furthermore, muscle-derived myokine signals, such as myoglianin, regulate global rRNA levels and locomotor function, highlighting the endocrine influence of muscle on organismal health (Demontis et al., 2014). These observations parallel findings in humans, where sarcopenia (age-related muscle loss) correlates with metabolic dysfunction and reduced longevity (Cruz-Jentoft et al., 2019). However, a key distinction lies in the regenerative capacity of mammalian muscle, which is absent in flies, suggesting that non-cell-autonomous signals may be critical for mitigating age-related decline across species.</w:t>
      </w:r>
    </w:p>
    <w:p w:rsidR="00000000" w:rsidDel="00000000" w:rsidP="00000000" w:rsidRDefault="00000000" w:rsidRPr="00000000" w14:paraId="00000131">
      <w:pPr>
        <w:pStyle w:val="Heading4"/>
        <w:jc w:val="both"/>
        <w:rPr>
          <w:rFonts w:ascii="Calibri" w:cs="Calibri" w:eastAsia="Calibri" w:hAnsi="Calibri"/>
        </w:rPr>
      </w:pPr>
      <w:bookmarkStart w:colFirst="0" w:colLast="0" w:name="_7ky5mgbi5y4b" w:id="29"/>
      <w:bookmarkEnd w:id="29"/>
      <w:r w:rsidDel="00000000" w:rsidR="00000000" w:rsidRPr="00000000">
        <w:rPr>
          <w:color w:val="666666"/>
          <w:sz w:val="24"/>
          <w:szCs w:val="24"/>
          <w:rtl w:val="0"/>
        </w:rPr>
        <w:t xml:space="preserve">1.4.1.8 </w:t>
      </w:r>
      <w:r w:rsidDel="00000000" w:rsidR="00000000" w:rsidRPr="00000000">
        <w:rPr>
          <w:rFonts w:ascii="Calibri" w:cs="Calibri" w:eastAsia="Calibri" w:hAnsi="Calibri"/>
          <w:rtl w:val="0"/>
        </w:rPr>
        <w:t xml:space="preserve">Sexual Dimorphism and Methodological Considerations</w:t>
      </w:r>
    </w:p>
    <w:p w:rsidR="00000000" w:rsidDel="00000000" w:rsidP="00000000" w:rsidRDefault="00000000" w:rsidRPr="00000000" w14:paraId="00000132">
      <w:pPr>
        <w:jc w:val="both"/>
        <w:rPr>
          <w:rFonts w:ascii="Calibri" w:cs="Calibri" w:eastAsia="Calibri" w:hAnsi="Calibri"/>
        </w:rPr>
      </w:pPr>
      <w:r w:rsidDel="00000000" w:rsidR="00000000" w:rsidRPr="00000000">
        <w:rPr>
          <w:rFonts w:ascii="Calibri" w:cs="Calibri" w:eastAsia="Calibri" w:hAnsi="Calibri"/>
          <w:rtl w:val="0"/>
        </w:rPr>
        <w:t xml:space="preserve">Sex differences in aging trajectories add another layer of complexity. Female Drosophila exhibit greater lifespan extension under DR than males, likely due to sex-specific nutrient demands and gut plasticity (Magwere et al., 2004; Hudry et al., 2016). Females dynamically adjust intestinal growth in response to mating and diet, but this adaptability predisposes them to age-related ISC dysfunction. Conversely, masculinizing the female gut attenuates DR benefits, implicating hormonal and genetic factors in lifespan regulation. These findings emphasize the need for sex-stratified analyses in aging research, as overlooking sexual dimorphism may obscure mechanistic insights or therapeutic targets.</w:t>
      </w:r>
    </w:p>
    <w:p w:rsidR="00000000" w:rsidDel="00000000" w:rsidP="00000000" w:rsidRDefault="00000000" w:rsidRPr="00000000" w14:paraId="0000013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jc w:val="both"/>
        <w:rPr>
          <w:rFonts w:ascii="Calibri" w:cs="Calibri" w:eastAsia="Calibri" w:hAnsi="Calibri"/>
        </w:rPr>
      </w:pPr>
      <w:r w:rsidDel="00000000" w:rsidR="00000000" w:rsidRPr="00000000">
        <w:rPr>
          <w:rFonts w:ascii="Calibri" w:cs="Calibri" w:eastAsia="Calibri" w:hAnsi="Calibri"/>
          <w:rtl w:val="0"/>
        </w:rPr>
        <w:t xml:space="preserve">Methodologically, the variability of "standard" fly diets across laboratories poses a significant challenge. Even minor differences in amino acid composition can confound lifespan outcomes, as demonstrated by the profound effects of methionine restriction (Piper et al., 2014). The adoption of holidic diets—chemically defined formulations—offers a solution by enabling precise control over nutrient intake (Piper et al., 2017). Such standardization is critical for reproducibility and for disentangling the effects of specific nutrients from caloric intake.</w:t>
      </w:r>
    </w:p>
    <w:p w:rsidR="00000000" w:rsidDel="00000000" w:rsidP="00000000" w:rsidRDefault="00000000" w:rsidRPr="00000000" w14:paraId="00000135">
      <w:pPr>
        <w:pStyle w:val="Heading4"/>
        <w:jc w:val="both"/>
        <w:rPr>
          <w:rFonts w:ascii="Calibri" w:cs="Calibri" w:eastAsia="Calibri" w:hAnsi="Calibri"/>
        </w:rPr>
      </w:pPr>
      <w:bookmarkStart w:colFirst="0" w:colLast="0" w:name="_vrt73qjvi68d" w:id="30"/>
      <w:bookmarkEnd w:id="30"/>
      <w:r w:rsidDel="00000000" w:rsidR="00000000" w:rsidRPr="00000000">
        <w:rPr>
          <w:color w:val="666666"/>
          <w:sz w:val="24"/>
          <w:szCs w:val="24"/>
          <w:rtl w:val="0"/>
        </w:rPr>
        <w:t xml:space="preserve">1.4.1.9 </w:t>
      </w:r>
      <w:r w:rsidDel="00000000" w:rsidR="00000000" w:rsidRPr="00000000">
        <w:rPr>
          <w:rFonts w:ascii="Calibri" w:cs="Calibri" w:eastAsia="Calibri" w:hAnsi="Calibri"/>
          <w:rtl w:val="0"/>
        </w:rPr>
        <w:t xml:space="preserve">Contradictions and Unresolved Questions</w:t>
      </w:r>
    </w:p>
    <w:p w:rsidR="00000000" w:rsidDel="00000000" w:rsidP="00000000" w:rsidRDefault="00000000" w:rsidRPr="00000000" w14:paraId="00000136">
      <w:pPr>
        <w:jc w:val="both"/>
        <w:rPr>
          <w:rFonts w:ascii="Calibri" w:cs="Calibri" w:eastAsia="Calibri" w:hAnsi="Calibri"/>
        </w:rPr>
      </w:pPr>
      <w:r w:rsidDel="00000000" w:rsidR="00000000" w:rsidRPr="00000000">
        <w:rPr>
          <w:rFonts w:ascii="Calibri" w:cs="Calibri" w:eastAsia="Calibri" w:hAnsi="Calibri"/>
          <w:rtl w:val="0"/>
        </w:rPr>
        <w:t xml:space="preserve">Despite progress, several paradoxes remain. For example, metformin extends lifespan in nematodes and mice but fails to do so in Drosophila (Slack et al., 2012; Martin-Montalvo et al., 2013). This discrepancy may stem from differences in microbiota, as metformin’s benefits in worms require bacterial interactions absent in axenic flies. Alternatively, the genetically heterogeneous or already optimized diets used in fly studies may leave little room for further improvement. These findings caution against overgeneralizing results across models and underscore the importance of context-dependent mechanisms.</w:t>
      </w:r>
    </w:p>
    <w:p w:rsidR="00000000" w:rsidDel="00000000" w:rsidP="00000000" w:rsidRDefault="00000000" w:rsidRPr="00000000" w14:paraId="0000013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8">
      <w:pPr>
        <w:jc w:val="both"/>
        <w:rPr>
          <w:rFonts w:ascii="Calibri" w:cs="Calibri" w:eastAsia="Calibri" w:hAnsi="Calibri"/>
        </w:rPr>
      </w:pPr>
      <w:r w:rsidDel="00000000" w:rsidR="00000000" w:rsidRPr="00000000">
        <w:rPr>
          <w:rFonts w:ascii="Calibri" w:cs="Calibri" w:eastAsia="Calibri" w:hAnsi="Calibri"/>
          <w:rtl w:val="0"/>
        </w:rPr>
        <w:t xml:space="preserve">Another unresolved question is the primacy of damage accumulation versus programmed aging. While the "rate of living" theory posits that metabolic byproducts drive aging (Harman, 1956), recent work implicates epigenetic and transcriptional drift as equally critical (Brunet &amp; Rando, 2017). In Drosophila, methionine restriction alters histone acetylation and methylation, linking metabolic inputs to chromatin states (Peleg et al., 2016; Parkhitko et al., 2016). Whether these epigenetic changes are causes or consequences of aging remains debated, necessitating longitudinal studies that track molecular and physiological trajectories in tandem.</w:t>
      </w:r>
    </w:p>
    <w:p w:rsidR="00000000" w:rsidDel="00000000" w:rsidP="00000000" w:rsidRDefault="00000000" w:rsidRPr="00000000" w14:paraId="00000139">
      <w:pPr>
        <w:pStyle w:val="Heading4"/>
        <w:jc w:val="both"/>
        <w:rPr>
          <w:rFonts w:ascii="Calibri" w:cs="Calibri" w:eastAsia="Calibri" w:hAnsi="Calibri"/>
        </w:rPr>
      </w:pPr>
      <w:bookmarkStart w:colFirst="0" w:colLast="0" w:name="_xsfl6dybmwhm" w:id="31"/>
      <w:bookmarkEnd w:id="31"/>
      <w:r w:rsidDel="00000000" w:rsidR="00000000" w:rsidRPr="00000000">
        <w:rPr>
          <w:color w:val="666666"/>
          <w:sz w:val="24"/>
          <w:szCs w:val="24"/>
          <w:rtl w:val="0"/>
        </w:rPr>
        <w:t xml:space="preserve">1.4.1.10 </w:t>
      </w:r>
      <w:r w:rsidDel="00000000" w:rsidR="00000000" w:rsidRPr="00000000">
        <w:rPr>
          <w:rFonts w:ascii="Calibri" w:cs="Calibri" w:eastAsia="Calibri" w:hAnsi="Calibri"/>
          <w:rtl w:val="0"/>
        </w:rPr>
        <w:t xml:space="preserve">Translational Implications and Future Directions</w:t>
      </w:r>
    </w:p>
    <w:p w:rsidR="00000000" w:rsidDel="00000000" w:rsidP="00000000" w:rsidRDefault="00000000" w:rsidRPr="00000000" w14:paraId="0000013A">
      <w:pPr>
        <w:jc w:val="both"/>
        <w:rPr>
          <w:rFonts w:ascii="Calibri" w:cs="Calibri" w:eastAsia="Calibri" w:hAnsi="Calibri"/>
        </w:rPr>
      </w:pPr>
      <w:r w:rsidDel="00000000" w:rsidR="00000000" w:rsidRPr="00000000">
        <w:rPr>
          <w:rFonts w:ascii="Calibri" w:cs="Calibri" w:eastAsia="Calibri" w:hAnsi="Calibri"/>
          <w:rtl w:val="0"/>
        </w:rPr>
        <w:t xml:space="preserve">The translational potential of Drosophila research is exemplified by drugs like rapamycin and trametinib, which extend lifespan in flies and mice by targeting conserved pathways (Swindell, 2016; Slack et al., 2015). However, translating these findings to humans requires addressing species-specific differences. For instance, while flies lack adaptive immunity, their innate immune responses share similarities with mammals, offering clues for combating age-related immunosenescence (Iliadi et al., 2012). Similarly, the gut’s role as a microbial interface in flies mirrors its function in humans, suggesting that probiotics or anti-inflammatory therapies could promote healthy aging across taxa (Rera et al., 2013).</w:t>
      </w:r>
    </w:p>
    <w:p w:rsidR="00000000" w:rsidDel="00000000" w:rsidP="00000000" w:rsidRDefault="00000000" w:rsidRPr="00000000" w14:paraId="0000013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C">
      <w:pPr>
        <w:jc w:val="both"/>
        <w:rPr>
          <w:rFonts w:ascii="Calibri" w:cs="Calibri" w:eastAsia="Calibri" w:hAnsi="Calibri"/>
        </w:rPr>
      </w:pPr>
      <w:r w:rsidDel="00000000" w:rsidR="00000000" w:rsidRPr="00000000">
        <w:rPr>
          <w:rFonts w:ascii="Calibri" w:cs="Calibri" w:eastAsia="Calibri" w:hAnsi="Calibri"/>
          <w:rtl w:val="0"/>
        </w:rPr>
        <w:t xml:space="preserve">Future research should prioritize three areas:</w:t>
      </w:r>
    </w:p>
    <w:p w:rsidR="00000000" w:rsidDel="00000000" w:rsidP="00000000" w:rsidRDefault="00000000" w:rsidRPr="00000000" w14:paraId="0000013D">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Intertissue Communication: Identifying the humoral factors (e.g., Obp99b) that mediate cross-talk between gut, muscle, and brain could unveil systemic regulators of aging (Kučerová et al., 2016).</w:t>
      </w:r>
    </w:p>
    <w:p w:rsidR="00000000" w:rsidDel="00000000" w:rsidP="00000000" w:rsidRDefault="00000000" w:rsidRPr="00000000" w14:paraId="0000013E">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Epigenetic- Metabolic Crosstalk: Investigating how nutrient availability shapes chromatin states—and vice versa—will clarify whether epigenetic interventions can decelerate aging (Peleg et al., 2016).</w:t>
      </w:r>
    </w:p>
    <w:p w:rsidR="00000000" w:rsidDel="00000000" w:rsidP="00000000" w:rsidRDefault="00000000" w:rsidRPr="00000000" w14:paraId="0000013F">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Personalized Interventions: Leveraging Drosophila’s genetic tractability to model human polymorphisms could enable tailored therapies based on genetic or metabolic profiles (Dobson et al., 2016).</w:t>
      </w:r>
    </w:p>
    <w:p w:rsidR="00000000" w:rsidDel="00000000" w:rsidP="00000000" w:rsidRDefault="00000000" w:rsidRPr="00000000" w14:paraId="0000014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41">
      <w:pPr>
        <w:jc w:val="both"/>
        <w:rPr>
          <w:rFonts w:ascii="Calibri" w:cs="Calibri" w:eastAsia="Calibri" w:hAnsi="Calibri"/>
        </w:rPr>
      </w:pPr>
      <w:r w:rsidDel="00000000" w:rsidR="00000000" w:rsidRPr="00000000">
        <w:rPr>
          <w:rFonts w:ascii="Calibri" w:cs="Calibri" w:eastAsia="Calibri" w:hAnsi="Calibri"/>
          <w:rtl w:val="0"/>
        </w:rPr>
        <w:t xml:space="preserve">In summary, Drosophila melanogaster remains an indispensable model for dissecting the complexities of aging. Its short lifespan, genetic malleability, and conservation of key pathways provide a unique platform for rapid discovery. While challenges such as dietary variability and species-specific limitations persist, the integration of systems biology and standardized methodologies promises to bridge the gap between model organisms and human applications. By unraveling the interplay between metabolism, epigenetics, and tissue-specific decline, this work paves the way for interventions that extend not just lifespan, but healthspan—a paramount goal in an aging global population.</w:t>
      </w:r>
    </w:p>
    <w:p w:rsidR="00000000" w:rsidDel="00000000" w:rsidP="00000000" w:rsidRDefault="00000000" w:rsidRPr="00000000" w14:paraId="0000014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Fonts w:ascii="Calibri" w:cs="Calibri" w:eastAsia="Calibri" w:hAnsi="Calibri"/>
          <w:rtl w:val="0"/>
        </w:rPr>
        <w:t xml:space="preserve">Research on the fruit fly Drosophila has played an indispensable role in advancing our current understanding of the molecular underpinnings of aging. In particular, the fly's well-defined dietary requirements, genetically tractable tissue systems, and short lifespan make it an ideal model for developing precise interventions aimed at promoting healthy longevity. While reductionist approaches have been remarkably successful in driving scientific progress thus far, efforts to construct a comprehensive network-based framework that integrates metabolism, signaling pathways, and intertissue communication in longevity regulation are only beginning. To fulfill its promise of delivering tangible benefits for human aging, biogerontology must decipher how diverse metabolic processes are orchestrated to optimize physiological health. This endeavor will benefit from the development of large-scale metabolic models capable of pinpointing key regulatory nodes for targeted interventions. Given its practicality and historical utility, Drosophila remains particularly well-suited for these investigations.</w:t>
      </w:r>
      <w:r w:rsidDel="00000000" w:rsidR="00000000" w:rsidRPr="00000000">
        <w:rPr>
          <w:rtl w:val="0"/>
        </w:rPr>
      </w:r>
    </w:p>
    <w:p w:rsidR="00000000" w:rsidDel="00000000" w:rsidP="00000000" w:rsidRDefault="00000000" w:rsidRPr="00000000" w14:paraId="00000144">
      <w:pPr>
        <w:pStyle w:val="Heading4"/>
        <w:jc w:val="both"/>
        <w:rPr/>
      </w:pPr>
      <w:bookmarkStart w:colFirst="0" w:colLast="0" w:name="_t37ucrpk8zg2" w:id="32"/>
      <w:bookmarkEnd w:id="32"/>
      <w:r w:rsidDel="00000000" w:rsidR="00000000" w:rsidRPr="00000000">
        <w:rPr>
          <w:rtl w:val="0"/>
        </w:rPr>
        <w:t xml:space="preserve">1.4.1.11 Genetic Tools for Allotransplantation</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Transgenic Drosophila lines, which make use of powerful systems such as UAS/GAL4 and CRISPR/Cas9, enable researchers to label donor tissues with fluorescent markers (for instance, GFP) so that the integration and fate of these tissues within the recipient organism can be meticulously tracked over time. For example, García-Alcover et al. (2014) developed an innovative system designed to study alternative splicing mechanisms in the context of myotonic dystrophy, and this system can be readily adapted for the analysis of transplanted tissues (García et al., 2014; ). Furthermore, the CRISPR/Cas9 system is employed not only for tissue labeling but also for the precise modification of genes involved in the immune response, thereby streamlining the process of modeling allotransplantation between individuals that are genetically distinct.</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pStyle w:val="Heading4"/>
        <w:jc w:val="both"/>
        <w:rPr/>
      </w:pPr>
      <w:bookmarkStart w:colFirst="0" w:colLast="0" w:name="_8370tm6i4cjy" w:id="33"/>
      <w:bookmarkEnd w:id="33"/>
      <w:r w:rsidDel="00000000" w:rsidR="00000000" w:rsidRPr="00000000">
        <w:rPr>
          <w:rtl w:val="0"/>
        </w:rPr>
        <w:t xml:space="preserve">1.4.1.12 Sex-Based Differences in Tissue Engraftment</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Sexual dimorphism in Drosophila exerts a significant influence on various cellular processes, including the proliferation of stem cells and the innate immune response. Notably, research conducted by Álvarez-Abril et al. (2023) has demonstrated that the sexual identity of intestinal cells critically determines their response to transplanted tissues. This is closely associated with the differential expression of genes such as LamCa and βTub97EF. In addition, studies have revealed that female flies tend to exhibit a more robust immune response when exposed to foreign tissues, a response that is mediated by the enhanced activation of the Toll pathway, whereas male flies generally show a greater tolerance towards allogeneic tissues.</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pStyle w:val="Heading4"/>
        <w:jc w:val="both"/>
        <w:rPr/>
      </w:pPr>
      <w:bookmarkStart w:colFirst="0" w:colLast="0" w:name="_tm0pvwz96ftt" w:id="34"/>
      <w:bookmarkEnd w:id="34"/>
      <w:r w:rsidDel="00000000" w:rsidR="00000000" w:rsidRPr="00000000">
        <w:rPr>
          <w:rtl w:val="0"/>
        </w:rPr>
        <w:t xml:space="preserve">1.4.1.13 Age-Related Effects on Donors and Recipients</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Age-associated changes, which include the accumulation of mutations in stem cells, lead to a noticeable decline in the efficacy of tissue allotransplantation. For instance, it has been observed that older male individuals exhibit a significant reduction in their tissue regenerative capabilities, a consequence of increased oxidative stress and the concomitant suppression of critical signaling pathways such as Hippo and DPP (Pandey &amp; Jafar-Nejad, 2022) in models of NGLY1 deficiency. Experiments involving the transplantation of imaginal discs between young and aged individuals have further highlighted that aged specimens display a diminished activation of these key signaling cascades.</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pStyle w:val="Heading4"/>
        <w:jc w:val="both"/>
        <w:rPr/>
      </w:pPr>
      <w:bookmarkStart w:colFirst="0" w:colLast="0" w:name="_s2vzoxq1hoxb" w:id="35"/>
      <w:bookmarkEnd w:id="35"/>
      <w:r w:rsidDel="00000000" w:rsidR="00000000" w:rsidRPr="00000000">
        <w:rPr>
          <w:rtl w:val="0"/>
        </w:rPr>
        <w:t xml:space="preserve">1.4.1.14 Immune Response and Tolerance</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While Drosophila lack an adaptive immune system, they possess highly sophisticated innate immune mechanisms that include signaling pathways such as JNK and Toll. These pathways are essential for the recognition and response to allogeneic transplants. Research by Pan et al. (2023) has demonstrated that suppression of the Toll pathway can lead to increased tolerance towards transplanted tissues. Moreover, the immune response in these flies is also modulated by tissue compatibility factors, which are analogous to the MHC genes found in mammals.</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pStyle w:val="Heading3"/>
        <w:jc w:val="both"/>
        <w:rPr/>
      </w:pPr>
      <w:bookmarkStart w:colFirst="0" w:colLast="0" w:name="_gwowxcr9xcpg" w:id="36"/>
      <w:bookmarkEnd w:id="36"/>
      <w:r w:rsidDel="00000000" w:rsidR="00000000" w:rsidRPr="00000000">
        <w:rPr>
          <w:rtl w:val="0"/>
        </w:rPr>
        <w:t xml:space="preserve">1.4.2 Practical Applications in Research</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In practical research settings, imaginal discs are used to study the integration of transplanted tissues owing to their inherent regenerative capabilities. For instance, Thorpe et al. (2024) modeled PIGA-CDG, effectively demonstrating that the transplanted tissues recapitulate patient phenotypes. Additionally, tissues such as wings and eyes are employed for the quantitative assessment of growth and regeneration. Detailed imaging methods, including scanning electron microscopy (SEM) and advanced light microscopy, have been described in the work of García-Alcover et al. (2014).</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pStyle w:val="Heading3"/>
        <w:jc w:val="both"/>
        <w:rPr/>
      </w:pPr>
      <w:bookmarkStart w:colFirst="0" w:colLast="0" w:name="_64qlzo61qgzq" w:id="37"/>
      <w:bookmarkEnd w:id="37"/>
      <w:r w:rsidDel="00000000" w:rsidR="00000000" w:rsidRPr="00000000">
        <w:rPr>
          <w:rtl w:val="0"/>
        </w:rPr>
        <w:t xml:space="preserve">1.4.3 Development and Review of the Allotransplantation Method</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Historically, the pioneering work on allotransplantation in Drosophila dates back to the 1920s, when Chambers (1921) first described a micromanipulator for injections. Later, Ephrussi and Beadle (1936) adapted this technology for the transplantation of organs between Drosophila larvae. Contemporary modifications of this method now enable the transplantation of tissues from either larvae or adult flies into adult hosts (Herranz et al., 2012). The allotransplantation procedure itself is relatively straightforward when all critical details are rigorously followed. The protocol comprises several essential steps: the preparation of an injection system, the precise labeling of both the implant and the host, the careful dissection of the donor tissue, the loading of the tissue into a fine needle, and finally, the injection into the host’s body cavity.</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pStyle w:val="Heading4"/>
        <w:jc w:val="both"/>
        <w:rPr/>
      </w:pPr>
      <w:bookmarkStart w:colFirst="0" w:colLast="0" w:name="_9l16hfppfmmg" w:id="38"/>
      <w:bookmarkEnd w:id="38"/>
      <w:r w:rsidDel="00000000" w:rsidR="00000000" w:rsidRPr="00000000">
        <w:rPr>
          <w:rtl w:val="0"/>
        </w:rPr>
        <w:t xml:space="preserve">1.4.3.1 Applications, Advantages, and Limitations</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pStyle w:val="Heading5"/>
        <w:jc w:val="both"/>
        <w:rPr/>
      </w:pPr>
      <w:bookmarkStart w:colFirst="0" w:colLast="0" w:name="_1pdqi4dyje9t" w:id="39"/>
      <w:bookmarkEnd w:id="39"/>
      <w:r w:rsidDel="00000000" w:rsidR="00000000" w:rsidRPr="00000000">
        <w:rPr>
          <w:rtl w:val="0"/>
        </w:rPr>
        <w:t xml:space="preserve">1.4.3.1.1 Studying Age-Related Changes:</w:t>
      </w:r>
    </w:p>
    <w:p w:rsidR="00000000" w:rsidDel="00000000" w:rsidP="00000000" w:rsidRDefault="00000000" w:rsidRPr="00000000" w14:paraId="0000015F">
      <w:pPr>
        <w:jc w:val="both"/>
        <w:rPr/>
      </w:pPr>
      <w:r w:rsidDel="00000000" w:rsidR="00000000" w:rsidRPr="00000000">
        <w:rPr>
          <w:rtl w:val="0"/>
        </w:rPr>
        <w:br w:type="textWrapping"/>
        <w:t xml:space="preserve">The transplantation of tissues between young and old individuals allows researchers to explore how aging influences tissue regeneration, the integration of transplanted grafts, and overall cellular functionality. For example, it has been noted that aged Drosophila exhibit a marked reduction in the activity of signaling pathways (such as Hippo and DPP), which adversely affects the successful engraftment of tissues (Pandey &amp; Jafar-Nejad, 2022). This method also enables the modeling of age-associated pathologies, including the accumulation of oxidative stress and mitochondrial dysfunction, through tissue grafting experiments (Thorpe et al., 2024).</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pStyle w:val="Heading5"/>
        <w:jc w:val="both"/>
        <w:rPr/>
      </w:pPr>
      <w:bookmarkStart w:colFirst="0" w:colLast="0" w:name="_loq3g2u504a2" w:id="40"/>
      <w:bookmarkEnd w:id="40"/>
      <w:r w:rsidDel="00000000" w:rsidR="00000000" w:rsidRPr="00000000">
        <w:rPr>
          <w:rtl w:val="0"/>
        </w:rPr>
        <w:t xml:space="preserve">1.4.3.1.2 Analysis of Sexual Dimorphism:</w:t>
      </w:r>
    </w:p>
    <w:p w:rsidR="00000000" w:rsidDel="00000000" w:rsidP="00000000" w:rsidRDefault="00000000" w:rsidRPr="00000000" w14:paraId="00000162">
      <w:pPr>
        <w:jc w:val="both"/>
        <w:rPr/>
      </w:pPr>
      <w:r w:rsidDel="00000000" w:rsidR="00000000" w:rsidRPr="00000000">
        <w:rPr>
          <w:rtl w:val="0"/>
        </w:rPr>
        <w:br w:type="textWrapping"/>
        <w:t xml:space="preserve">Transplanting tissues between male and female flies provides valuable insights into the sex-based differences that govern immune responses and regenerative processes. For instance, female Drosophila demonstrate a significantly higher activation of the Toll pathway, which leads to more pronounced rejection of transplants (Álvarez-Abril et al., 2023). Moreover, the investigation into the roles of sex-specific genes (such as LamCa and βTub97EF) in the integration and survival of donor tissues has further illuminated these differences (Mandik et al., 2022).</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pStyle w:val="Heading5"/>
        <w:jc w:val="both"/>
        <w:rPr/>
      </w:pPr>
      <w:bookmarkStart w:colFirst="0" w:colLast="0" w:name="_dz61logrc816" w:id="41"/>
      <w:bookmarkEnd w:id="41"/>
      <w:r w:rsidDel="00000000" w:rsidR="00000000" w:rsidRPr="00000000">
        <w:rPr>
          <w:rtl w:val="0"/>
        </w:rPr>
        <w:t xml:space="preserve">1.4.3.1.3 Immunological Studies:</w:t>
      </w:r>
    </w:p>
    <w:p w:rsidR="00000000" w:rsidDel="00000000" w:rsidP="00000000" w:rsidRDefault="00000000" w:rsidRPr="00000000" w14:paraId="00000165">
      <w:pPr>
        <w:jc w:val="both"/>
        <w:rPr/>
      </w:pPr>
      <w:r w:rsidDel="00000000" w:rsidR="00000000" w:rsidRPr="00000000">
        <w:rPr>
          <w:rtl w:val="0"/>
        </w:rPr>
        <w:br w:type="textWrapping"/>
        <w:t xml:space="preserve">Although Drosophila lack an adaptive immune system, their innate immune responses remain robust and can be effectively studied in the context of tissue transplantation. Key innate mechanisms, including the activation of hemocytes and the JNK/Toll signaling pathways, have been implicated in the rejection or acceptance of allografts (Pan et al., 2023).</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pStyle w:val="Heading5"/>
        <w:jc w:val="both"/>
        <w:rPr/>
      </w:pPr>
      <w:bookmarkStart w:colFirst="0" w:colLast="0" w:name="_vpvjwqerzgyv" w:id="42"/>
      <w:bookmarkEnd w:id="42"/>
      <w:r w:rsidDel="00000000" w:rsidR="00000000" w:rsidRPr="00000000">
        <w:rPr>
          <w:rtl w:val="0"/>
        </w:rPr>
        <w:t xml:space="preserve">1.4.3.1.4 Genetic Manipulations:</w:t>
      </w:r>
    </w:p>
    <w:p w:rsidR="00000000" w:rsidDel="00000000" w:rsidP="00000000" w:rsidRDefault="00000000" w:rsidRPr="00000000" w14:paraId="00000168">
      <w:pPr>
        <w:jc w:val="both"/>
        <w:rPr/>
      </w:pPr>
      <w:r w:rsidDel="00000000" w:rsidR="00000000" w:rsidRPr="00000000">
        <w:rPr>
          <w:rtl w:val="0"/>
        </w:rPr>
        <w:br w:type="textWrapping"/>
        <w:t xml:space="preserve">The use of transgenic lines that express fluorescent proteins (for example, GFP-tagged tissues) facilitates the precise tracking and monitoring of donor tissue engraftment within the recipient organism (García-Alcover et al., 2014).</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pStyle w:val="Heading3"/>
        <w:jc w:val="both"/>
        <w:rPr/>
      </w:pPr>
      <w:bookmarkStart w:colFirst="0" w:colLast="0" w:name="_a8dmn0to1kvl" w:id="43"/>
      <w:bookmarkEnd w:id="43"/>
      <w:r w:rsidDel="00000000" w:rsidR="00000000" w:rsidRPr="00000000">
        <w:rPr>
          <w:rtl w:val="0"/>
        </w:rPr>
        <w:t xml:space="preserve">1.4.4 Advantages</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pStyle w:val="Heading4"/>
        <w:jc w:val="both"/>
        <w:rPr/>
      </w:pPr>
      <w:bookmarkStart w:colFirst="0" w:colLast="0" w:name="_yykclpi8blmi" w:id="44"/>
      <w:bookmarkEnd w:id="44"/>
      <w:r w:rsidDel="00000000" w:rsidR="00000000" w:rsidRPr="00000000">
        <w:rPr>
          <w:rtl w:val="0"/>
        </w:rPr>
        <w:t xml:space="preserve">1.4.4.1 Genetic Controllability:</w:t>
      </w:r>
    </w:p>
    <w:p w:rsidR="00000000" w:rsidDel="00000000" w:rsidP="00000000" w:rsidRDefault="00000000" w:rsidRPr="00000000" w14:paraId="0000016D">
      <w:pPr>
        <w:jc w:val="both"/>
        <w:rPr/>
      </w:pPr>
      <w:r w:rsidDel="00000000" w:rsidR="00000000" w:rsidRPr="00000000">
        <w:rPr>
          <w:rtl w:val="0"/>
        </w:rPr>
        <w:br w:type="textWrapping"/>
        <w:t xml:space="preserve">The availability of advanced genetic modification techniques, such as CRISPR/Cas9, enables researchers to selectively alter gene expression and to study the roles of specific genes in tissue engraftment and regeneration (Thorpe et al., 2024). In addition, the extensive repertoire of transgenic markers (using systems like UAS/GAL4) allows for high-resolution visualization of transplanted tissues.</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pStyle w:val="Heading4"/>
        <w:jc w:val="both"/>
        <w:rPr/>
      </w:pPr>
      <w:bookmarkStart w:colFirst="0" w:colLast="0" w:name="_8m7db1e4of9k" w:id="45"/>
      <w:bookmarkEnd w:id="45"/>
      <w:r w:rsidDel="00000000" w:rsidR="00000000" w:rsidRPr="00000000">
        <w:rPr>
          <w:rtl w:val="0"/>
        </w:rPr>
        <w:t xml:space="preserve">1.4.4.2 Short Life Cycle:</w:t>
      </w:r>
    </w:p>
    <w:p w:rsidR="00000000" w:rsidDel="00000000" w:rsidP="00000000" w:rsidRDefault="00000000" w:rsidRPr="00000000" w14:paraId="00000170">
      <w:pPr>
        <w:jc w:val="both"/>
        <w:rPr/>
      </w:pPr>
      <w:r w:rsidDel="00000000" w:rsidR="00000000" w:rsidRPr="00000000">
        <w:rPr>
          <w:rtl w:val="0"/>
        </w:rPr>
        <w:br w:type="textWrapping"/>
        <w:t xml:space="preserve">Due to the rapid generation time of Drosophila, it is possible to quickly assess the long-term effects of tissue transplantation. Age-related changes can be monitored over a span of merely two to three weeks, which is far more rapid than in vertebrate systems.</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pStyle w:val="Heading4"/>
        <w:jc w:val="both"/>
        <w:rPr/>
      </w:pPr>
      <w:bookmarkStart w:colFirst="0" w:colLast="0" w:name="_m7ceuz9o7w68" w:id="46"/>
      <w:bookmarkEnd w:id="46"/>
      <w:r w:rsidDel="00000000" w:rsidR="00000000" w:rsidRPr="00000000">
        <w:rPr>
          <w:rtl w:val="0"/>
        </w:rPr>
        <w:t xml:space="preserve">1.4.4.3 Low Cost and Ethical Acceptability:</w:t>
      </w:r>
    </w:p>
    <w:p w:rsidR="00000000" w:rsidDel="00000000" w:rsidP="00000000" w:rsidRDefault="00000000" w:rsidRPr="00000000" w14:paraId="00000173">
      <w:pPr>
        <w:jc w:val="both"/>
        <w:rPr/>
      </w:pPr>
      <w:r w:rsidDel="00000000" w:rsidR="00000000" w:rsidRPr="00000000">
        <w:rPr>
          <w:rtl w:val="0"/>
        </w:rPr>
        <w:br w:type="textWrapping"/>
        <w:t xml:space="preserve">Experiments utilizing Drosophila are generally inexpensive to conduct and do not involve significant ethical complications. This makes them highly attractive for large-scale preclinical research.</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pStyle w:val="Heading4"/>
        <w:jc w:val="both"/>
        <w:rPr/>
      </w:pPr>
      <w:bookmarkStart w:colFirst="0" w:colLast="0" w:name="_n0d0hgr8xy40" w:id="47"/>
      <w:bookmarkEnd w:id="47"/>
      <w:r w:rsidDel="00000000" w:rsidR="00000000" w:rsidRPr="00000000">
        <w:rPr>
          <w:rtl w:val="0"/>
        </w:rPr>
        <w:t xml:space="preserve">1.4.4.4 Standardization of Conditions:</w:t>
      </w:r>
    </w:p>
    <w:p w:rsidR="00000000" w:rsidDel="00000000" w:rsidP="00000000" w:rsidRDefault="00000000" w:rsidRPr="00000000" w14:paraId="00000176">
      <w:pPr>
        <w:jc w:val="both"/>
        <w:rPr/>
      </w:pPr>
      <w:r w:rsidDel="00000000" w:rsidR="00000000" w:rsidRPr="00000000">
        <w:rPr>
          <w:rtl w:val="0"/>
        </w:rPr>
        <w:br w:type="textWrapping"/>
        <w:t xml:space="preserve">The ability to control variables such as age, sex, and genetic background of the individuals involved minimizes experimental variability and ensures that the results are highly reproducible and standardized.</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pStyle w:val="Heading3"/>
        <w:jc w:val="both"/>
        <w:rPr/>
      </w:pPr>
      <w:bookmarkStart w:colFirst="0" w:colLast="0" w:name="_31oa9z3ej0qn" w:id="48"/>
      <w:bookmarkEnd w:id="48"/>
      <w:r w:rsidDel="00000000" w:rsidR="00000000" w:rsidRPr="00000000">
        <w:rPr>
          <w:rtl w:val="0"/>
        </w:rPr>
        <w:t xml:space="preserve">1.4.5 Limitations</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pStyle w:val="Heading4"/>
        <w:jc w:val="both"/>
        <w:rPr/>
      </w:pPr>
      <w:bookmarkStart w:colFirst="0" w:colLast="0" w:name="_9yohf9uw71if" w:id="49"/>
      <w:bookmarkEnd w:id="49"/>
      <w:r w:rsidDel="00000000" w:rsidR="00000000" w:rsidRPr="00000000">
        <w:rPr>
          <w:rtl w:val="0"/>
        </w:rPr>
        <w:t xml:space="preserve">1.4.5.1 Simplified Immune System:</w:t>
      </w:r>
    </w:p>
    <w:p w:rsidR="00000000" w:rsidDel="00000000" w:rsidP="00000000" w:rsidRDefault="00000000" w:rsidRPr="00000000" w14:paraId="0000017B">
      <w:pPr>
        <w:jc w:val="both"/>
        <w:rPr/>
      </w:pPr>
      <w:r w:rsidDel="00000000" w:rsidR="00000000" w:rsidRPr="00000000">
        <w:rPr>
          <w:rtl w:val="0"/>
        </w:rPr>
        <w:br w:type="textWrapping"/>
        <w:t xml:space="preserve">One of the principal limitations of using Drosophila is the absence of an adaptive immune system (i.e., T- and B-cells). This restricts the study of immune mechanisms that are of critical importance in mammalian allotransplantation (Pan et al., 2023).</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pStyle w:val="Heading4"/>
        <w:jc w:val="both"/>
        <w:rPr/>
      </w:pPr>
      <w:bookmarkStart w:colFirst="0" w:colLast="0" w:name="_hy20zm9zy0p1" w:id="50"/>
      <w:bookmarkEnd w:id="50"/>
      <w:r w:rsidDel="00000000" w:rsidR="00000000" w:rsidRPr="00000000">
        <w:rPr>
          <w:rtl w:val="0"/>
        </w:rPr>
        <w:t xml:space="preserve">1.4.5.2 Physiological Differences with Vertebrates:</w:t>
      </w:r>
    </w:p>
    <w:p w:rsidR="00000000" w:rsidDel="00000000" w:rsidP="00000000" w:rsidRDefault="00000000" w:rsidRPr="00000000" w14:paraId="0000017E">
      <w:pPr>
        <w:jc w:val="both"/>
        <w:rPr/>
      </w:pPr>
      <w:r w:rsidDel="00000000" w:rsidR="00000000" w:rsidRPr="00000000">
        <w:rPr>
          <w:rtl w:val="0"/>
        </w:rPr>
        <w:br w:type="textWrapping"/>
        <w:t xml:space="preserve">The tissues of Drosophila, such as the imaginal discs, differ significantly in both structure and function from those of humans. Such differences may reduce the translational applicability of the findings to clinical settings.</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pStyle w:val="Heading4"/>
        <w:jc w:val="both"/>
        <w:rPr/>
      </w:pPr>
      <w:bookmarkStart w:colFirst="0" w:colLast="0" w:name="_rytqqb97i52w" w:id="51"/>
      <w:bookmarkEnd w:id="51"/>
      <w:r w:rsidDel="00000000" w:rsidR="00000000" w:rsidRPr="00000000">
        <w:rPr>
          <w:rtl w:val="0"/>
        </w:rPr>
        <w:t xml:space="preserve">1.4.5.3 Technical Complexity:</w:t>
      </w:r>
    </w:p>
    <w:p w:rsidR="00000000" w:rsidDel="00000000" w:rsidP="00000000" w:rsidRDefault="00000000" w:rsidRPr="00000000" w14:paraId="00000181">
      <w:pPr>
        <w:jc w:val="both"/>
        <w:rPr/>
      </w:pPr>
      <w:r w:rsidDel="00000000" w:rsidR="00000000" w:rsidRPr="00000000">
        <w:rPr>
          <w:rtl w:val="0"/>
        </w:rPr>
        <w:br w:type="textWrapping"/>
        <w:t xml:space="preserve">The extremely small size of Drosophila tissues poses significant technical challenges during microsurgical manipulations. This can complicate the transplantation procedures and affect the precision of the experiments (Gong et al., 2021).</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pStyle w:val="Heading4"/>
        <w:jc w:val="both"/>
        <w:rPr/>
      </w:pPr>
      <w:bookmarkStart w:colFirst="0" w:colLast="0" w:name="_w33oadb9ylfz" w:id="52"/>
      <w:bookmarkEnd w:id="52"/>
      <w:r w:rsidDel="00000000" w:rsidR="00000000" w:rsidRPr="00000000">
        <w:rPr>
          <w:rtl w:val="0"/>
        </w:rPr>
        <w:t xml:space="preserve">1.4.5.4 Limited Transferability of Results:</w:t>
      </w:r>
    </w:p>
    <w:p w:rsidR="00000000" w:rsidDel="00000000" w:rsidP="00000000" w:rsidRDefault="00000000" w:rsidRPr="00000000" w14:paraId="00000184">
      <w:pPr>
        <w:jc w:val="both"/>
        <w:rPr/>
      </w:pPr>
      <w:r w:rsidDel="00000000" w:rsidR="00000000" w:rsidRPr="00000000">
        <w:rPr>
          <w:rtl w:val="0"/>
        </w:rPr>
        <w:br w:type="textWrapping"/>
        <w:t xml:space="preserve">Sexual differences in Drosophila are regulated by mechanisms that are distinct from those in mammals (for example, the absence of a complex hormonal system akin to that of vertebrates). As a result, extrapolating these findings to human allotransplantation models can be problematic (Álvarez-Abril et al., 2023).</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pStyle w:val="Heading4"/>
        <w:jc w:val="both"/>
        <w:rPr/>
      </w:pPr>
      <w:bookmarkStart w:colFirst="0" w:colLast="0" w:name="_ak7s1eugygc2" w:id="53"/>
      <w:bookmarkEnd w:id="53"/>
      <w:r w:rsidDel="00000000" w:rsidR="00000000" w:rsidRPr="00000000">
        <w:rPr>
          <w:rtl w:val="0"/>
        </w:rPr>
        <w:t xml:space="preserve">1.4.5.5 Absence of Chronic Rejection Models:</w:t>
      </w:r>
    </w:p>
    <w:p w:rsidR="00000000" w:rsidDel="00000000" w:rsidP="00000000" w:rsidRDefault="00000000" w:rsidRPr="00000000" w14:paraId="00000187">
      <w:pPr>
        <w:jc w:val="both"/>
        <w:rPr/>
      </w:pPr>
      <w:r w:rsidDel="00000000" w:rsidR="00000000" w:rsidRPr="00000000">
        <w:rPr>
          <w:rtl w:val="0"/>
        </w:rPr>
        <w:br w:type="textWrapping"/>
        <w:t xml:space="preserve">Due to the relatively short lifespan of Drosophila, it is challenging to study the long-term effects and chronic rejection processes that occur in tissue transplantation, which are critical aspects when considering translational research to mammalian systems.</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pStyle w:val="Heading3"/>
        <w:jc w:val="both"/>
        <w:rPr/>
      </w:pPr>
      <w:bookmarkStart w:colFirst="0" w:colLast="0" w:name="_3j6j4vvtrp2h" w:id="54"/>
      <w:bookmarkEnd w:id="54"/>
      <w:r w:rsidDel="00000000" w:rsidR="00000000" w:rsidRPr="00000000">
        <w:rPr>
          <w:rtl w:val="0"/>
        </w:rPr>
        <w:t xml:space="preserve">1.4.6 Preparation and Equipment</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t xml:space="preserve">The process of dissection and monitoring necessitates the utilization of a standard microscope. Needles are meticulously prepared using a micropuller and microforge. To ensure sterility, ethanol treatment and medium filtration are rigorously implemented. Proper calibration of instruments and adherence to standardized procedures are critical to maintaining experimental accuracy and reproducibility.</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pStyle w:val="Heading4"/>
        <w:jc w:val="both"/>
        <w:rPr/>
      </w:pPr>
      <w:bookmarkStart w:colFirst="0" w:colLast="0" w:name="_dnb718ssufxz" w:id="55"/>
      <w:bookmarkEnd w:id="55"/>
      <w:r w:rsidDel="00000000" w:rsidR="00000000" w:rsidRPr="00000000">
        <w:rPr>
          <w:rtl w:val="0"/>
        </w:rPr>
        <w:t xml:space="preserve">1.4.6.1 Materials</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pStyle w:val="Heading5"/>
        <w:jc w:val="both"/>
        <w:rPr/>
      </w:pPr>
      <w:bookmarkStart w:colFirst="0" w:colLast="0" w:name="_7y6y1lr3cupi" w:id="56"/>
      <w:bookmarkEnd w:id="56"/>
      <w:r w:rsidDel="00000000" w:rsidR="00000000" w:rsidRPr="00000000">
        <w:rPr>
          <w:rtl w:val="0"/>
        </w:rPr>
        <w:t xml:space="preserve">1.4.6.1.1 Reagents:</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numPr>
          <w:ilvl w:val="0"/>
          <w:numId w:val="44"/>
        </w:numPr>
        <w:ind w:left="720" w:hanging="360"/>
        <w:jc w:val="both"/>
      </w:pPr>
      <w:r w:rsidDel="00000000" w:rsidR="00000000" w:rsidRPr="00000000">
        <w:rPr>
          <w:rtl w:val="0"/>
        </w:rPr>
        <w:t xml:space="preserve">Drosophila strains (wild-type strain and genetically modified lines, if applicable).</w:t>
      </w:r>
    </w:p>
    <w:p w:rsidR="00000000" w:rsidDel="00000000" w:rsidP="00000000" w:rsidRDefault="00000000" w:rsidRPr="00000000" w14:paraId="00000192">
      <w:pPr>
        <w:numPr>
          <w:ilvl w:val="0"/>
          <w:numId w:val="44"/>
        </w:numPr>
        <w:ind w:left="720" w:hanging="360"/>
        <w:jc w:val="both"/>
      </w:pPr>
      <w:r w:rsidDel="00000000" w:rsidR="00000000" w:rsidRPr="00000000">
        <w:rPr>
          <w:rtl w:val="0"/>
        </w:rPr>
        <w:t xml:space="preserve">Chemical reagents (NaCl, KCl, MgCl2, CaCl2, and appropriate buffer solutions).</w:t>
      </w:r>
    </w:p>
    <w:p w:rsidR="00000000" w:rsidDel="00000000" w:rsidP="00000000" w:rsidRDefault="00000000" w:rsidRPr="00000000" w14:paraId="00000193">
      <w:pPr>
        <w:numPr>
          <w:ilvl w:val="0"/>
          <w:numId w:val="44"/>
        </w:numPr>
        <w:ind w:left="720" w:hanging="360"/>
        <w:jc w:val="both"/>
      </w:pPr>
      <w:r w:rsidDel="00000000" w:rsidR="00000000" w:rsidRPr="00000000">
        <w:rPr>
          <w:rtl w:val="0"/>
        </w:rPr>
        <w:t xml:space="preserve">Nutrient medium for flies (standard cornmeal-agar medium or specialized formulations).</w:t>
      </w:r>
    </w:p>
    <w:p w:rsidR="00000000" w:rsidDel="00000000" w:rsidP="00000000" w:rsidRDefault="00000000" w:rsidRPr="00000000" w14:paraId="00000194">
      <w:pPr>
        <w:numPr>
          <w:ilvl w:val="0"/>
          <w:numId w:val="44"/>
        </w:numPr>
        <w:ind w:left="720" w:hanging="360"/>
        <w:jc w:val="both"/>
      </w:pPr>
      <w:r w:rsidDel="00000000" w:rsidR="00000000" w:rsidRPr="00000000">
        <w:rPr>
          <w:rtl w:val="0"/>
        </w:rPr>
        <w:t xml:space="preserve">Enzymatic solutions for tissue dissociation (e.g., collagenase, dispase, trypsin, or papain).</w:t>
      </w:r>
    </w:p>
    <w:p w:rsidR="00000000" w:rsidDel="00000000" w:rsidP="00000000" w:rsidRDefault="00000000" w:rsidRPr="00000000" w14:paraId="00000195">
      <w:pPr>
        <w:numPr>
          <w:ilvl w:val="0"/>
          <w:numId w:val="44"/>
        </w:numPr>
        <w:ind w:left="720" w:hanging="360"/>
        <w:jc w:val="both"/>
      </w:pPr>
      <w:r w:rsidDel="00000000" w:rsidR="00000000" w:rsidRPr="00000000">
        <w:rPr>
          <w:rtl w:val="0"/>
        </w:rPr>
        <w:t xml:space="preserve">Fluorescent dyes or antibodies for cell sorting (if applicable).</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pStyle w:val="Heading5"/>
        <w:jc w:val="both"/>
        <w:rPr/>
      </w:pPr>
      <w:bookmarkStart w:colFirst="0" w:colLast="0" w:name="_2gn0qzp85spd" w:id="57"/>
      <w:bookmarkEnd w:id="57"/>
      <w:r w:rsidDel="00000000" w:rsidR="00000000" w:rsidRPr="00000000">
        <w:rPr>
          <w:rtl w:val="0"/>
        </w:rPr>
        <w:t xml:space="preserve">1.4.6.1.2 Generation of Isogenic Drosophila Lines</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t xml:space="preserve">Isogenic lines of Drosophila represent genetically identical populations engineered for the specific purpose of investigating the effects of individual genes or chromosomes on phenotypic expression. The primary methodologies employed in their development encompass selection, backcrossing, and the utilization of genetic markers. The following section outlines a generalized protocol derived from various sources:</w:t>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pStyle w:val="Heading5"/>
        <w:jc w:val="both"/>
        <w:rPr/>
      </w:pPr>
      <w:bookmarkStart w:colFirst="0" w:colLast="0" w:name="_frxbcst7ojvr" w:id="58"/>
      <w:bookmarkEnd w:id="58"/>
      <w:r w:rsidDel="00000000" w:rsidR="00000000" w:rsidRPr="00000000">
        <w:rPr>
          <w:rtl w:val="0"/>
        </w:rPr>
        <w:t xml:space="preserve">1.4.6.1.3 Selection of Parental Lines and Genetic Markers</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numPr>
          <w:ilvl w:val="0"/>
          <w:numId w:val="11"/>
        </w:numPr>
        <w:ind w:left="720" w:hanging="360"/>
        <w:jc w:val="both"/>
      </w:pPr>
      <w:r w:rsidDel="00000000" w:rsidR="00000000" w:rsidRPr="00000000">
        <w:rPr>
          <w:rtl w:val="0"/>
        </w:rPr>
        <w:t xml:space="preserve">Donor and recipient: Two lines are carefully chosen—a donor line carrying the target trait (such as a mutation) and a recipient line serving as the genetic background for integration.</w:t>
      </w:r>
    </w:p>
    <w:p w:rsidR="00000000" w:rsidDel="00000000" w:rsidP="00000000" w:rsidRDefault="00000000" w:rsidRPr="00000000" w14:paraId="0000019E">
      <w:pPr>
        <w:numPr>
          <w:ilvl w:val="0"/>
          <w:numId w:val="11"/>
        </w:numPr>
        <w:ind w:left="720" w:hanging="360"/>
        <w:jc w:val="both"/>
      </w:pPr>
      <w:r w:rsidDel="00000000" w:rsidR="00000000" w:rsidRPr="00000000">
        <w:rPr>
          <w:rtl w:val="0"/>
        </w:rPr>
        <w:t xml:space="preserve">Genetic markers: Marker genes (e.g., white for white eyes or vestigial for underdeveloped wings) are employed to track chromosomal transmission.</w:t>
      </w:r>
    </w:p>
    <w:p w:rsidR="00000000" w:rsidDel="00000000" w:rsidP="00000000" w:rsidRDefault="00000000" w:rsidRPr="00000000" w14:paraId="0000019F">
      <w:pPr>
        <w:numPr>
          <w:ilvl w:val="0"/>
          <w:numId w:val="11"/>
        </w:numPr>
        <w:ind w:left="720" w:hanging="360"/>
        <w:jc w:val="both"/>
      </w:pPr>
      <w:r w:rsidDel="00000000" w:rsidR="00000000" w:rsidRPr="00000000">
        <w:rPr>
          <w:rtl w:val="0"/>
        </w:rPr>
        <w:t xml:space="preserve">Inversions: To mitigate crossover events in target chromosomes, inversion-bearing chromosomes (such as balancer chromosomes) are utilized.</w:t>
      </w:r>
    </w:p>
    <w:p w:rsidR="00000000" w:rsidDel="00000000" w:rsidP="00000000" w:rsidRDefault="00000000" w:rsidRPr="00000000" w14:paraId="000001A0">
      <w:pPr>
        <w:pStyle w:val="Heading5"/>
        <w:jc w:val="both"/>
        <w:rPr/>
      </w:pPr>
      <w:bookmarkStart w:colFirst="0" w:colLast="0" w:name="_2upk7w2tndib" w:id="59"/>
      <w:bookmarkEnd w:id="59"/>
      <w:r w:rsidDel="00000000" w:rsidR="00000000" w:rsidRPr="00000000">
        <w:rPr>
          <w:rtl w:val="0"/>
        </w:rPr>
        <w:t xml:space="preserve">1.4.6.1.4 Backcrossing Scheme</w:t>
      </w:r>
    </w:p>
    <w:p w:rsidR="00000000" w:rsidDel="00000000" w:rsidP="00000000" w:rsidRDefault="00000000" w:rsidRPr="00000000" w14:paraId="000001A1">
      <w:pPr>
        <w:jc w:val="both"/>
        <w:rPr/>
      </w:pPr>
      <w:r w:rsidDel="00000000" w:rsidR="00000000" w:rsidRPr="00000000">
        <w:rPr>
          <w:rtl w:val="0"/>
        </w:rPr>
        <w:t xml:space="preserve">Stages:</w:t>
      </w:r>
    </w:p>
    <w:p w:rsidR="00000000" w:rsidDel="00000000" w:rsidP="00000000" w:rsidRDefault="00000000" w:rsidRPr="00000000" w14:paraId="000001A2">
      <w:pPr>
        <w:numPr>
          <w:ilvl w:val="0"/>
          <w:numId w:val="41"/>
        </w:numPr>
        <w:ind w:left="720" w:hanging="360"/>
        <w:jc w:val="both"/>
      </w:pPr>
      <w:r w:rsidDel="00000000" w:rsidR="00000000" w:rsidRPr="00000000">
        <w:rPr>
          <w:rtl w:val="0"/>
        </w:rPr>
        <w:t xml:space="preserve">F1 Generation: Cross the donor with the recipient to generate first-generation hybrids.</w:t>
      </w:r>
    </w:p>
    <w:p w:rsidR="00000000" w:rsidDel="00000000" w:rsidP="00000000" w:rsidRDefault="00000000" w:rsidRPr="00000000" w14:paraId="000001A3">
      <w:pPr>
        <w:numPr>
          <w:ilvl w:val="0"/>
          <w:numId w:val="41"/>
        </w:numPr>
        <w:ind w:left="720" w:hanging="360"/>
        <w:jc w:val="both"/>
      </w:pPr>
      <w:r w:rsidDel="00000000" w:rsidR="00000000" w:rsidRPr="00000000">
        <w:rPr>
          <w:rtl w:val="0"/>
        </w:rPr>
        <w:t xml:space="preserve">Backcrossing: Hybrid F1 individuals are crossed back with the recipient strain.</w:t>
      </w:r>
    </w:p>
    <w:p w:rsidR="00000000" w:rsidDel="00000000" w:rsidP="00000000" w:rsidRDefault="00000000" w:rsidRPr="00000000" w14:paraId="000001A4">
      <w:pPr>
        <w:numPr>
          <w:ilvl w:val="0"/>
          <w:numId w:val="41"/>
        </w:numPr>
        <w:ind w:left="720" w:hanging="360"/>
        <w:jc w:val="both"/>
      </w:pPr>
      <w:r w:rsidDel="00000000" w:rsidR="00000000" w:rsidRPr="00000000">
        <w:rPr>
          <w:rtl w:val="0"/>
        </w:rPr>
        <w:t xml:space="preserve">Repetition: The process is reiterated over 5–7 generations to replace the recipient’s genetic background by 98–99%.</w:t>
      </w:r>
    </w:p>
    <w:p w:rsidR="00000000" w:rsidDel="00000000" w:rsidP="00000000" w:rsidRDefault="00000000" w:rsidRPr="00000000" w14:paraId="000001A5">
      <w:pPr>
        <w:numPr>
          <w:ilvl w:val="0"/>
          <w:numId w:val="41"/>
        </w:numPr>
        <w:ind w:left="720" w:hanging="360"/>
        <w:jc w:val="both"/>
      </w:pPr>
      <w:r w:rsidDel="00000000" w:rsidR="00000000" w:rsidRPr="00000000">
        <w:rPr>
          <w:rtl w:val="0"/>
        </w:rPr>
        <w:t xml:space="preserve">Selection of heterozygotes: At each stage, genetic analysis (such as phenotypic markers or biochemical assays) is conducted to isolate individuals harboring the target gene.</w:t>
      </w:r>
    </w:p>
    <w:p w:rsidR="00000000" w:rsidDel="00000000" w:rsidP="00000000" w:rsidRDefault="00000000" w:rsidRPr="00000000" w14:paraId="000001A6">
      <w:pPr>
        <w:pStyle w:val="Heading5"/>
        <w:jc w:val="both"/>
        <w:rPr/>
      </w:pPr>
      <w:bookmarkStart w:colFirst="0" w:colLast="0" w:name="_sz8rev6vlhwx" w:id="60"/>
      <w:bookmarkEnd w:id="60"/>
      <w:r w:rsidDel="00000000" w:rsidR="00000000" w:rsidRPr="00000000">
        <w:rPr>
          <w:rtl w:val="0"/>
        </w:rPr>
        <w:t xml:space="preserve">1.4.6.1.5 Utilization of Genetic Tools</w:t>
      </w:r>
    </w:p>
    <w:p w:rsidR="00000000" w:rsidDel="00000000" w:rsidP="00000000" w:rsidRDefault="00000000" w:rsidRPr="00000000" w14:paraId="000001A7">
      <w:pPr>
        <w:numPr>
          <w:ilvl w:val="0"/>
          <w:numId w:val="16"/>
        </w:numPr>
        <w:ind w:left="720" w:hanging="360"/>
        <w:jc w:val="both"/>
      </w:pPr>
      <w:r w:rsidDel="00000000" w:rsidR="00000000" w:rsidRPr="00000000">
        <w:rPr>
          <w:rtl w:val="0"/>
        </w:rPr>
        <w:t xml:space="preserve">Balancer chromosomes: Chromosomes containing inversions (e.g., Muller-5) are instrumental in preventing recombination, thereby preserving the integrity of the target gene.</w:t>
      </w:r>
    </w:p>
    <w:p w:rsidR="00000000" w:rsidDel="00000000" w:rsidP="00000000" w:rsidRDefault="00000000" w:rsidRPr="00000000" w14:paraId="000001A8">
      <w:pPr>
        <w:numPr>
          <w:ilvl w:val="0"/>
          <w:numId w:val="16"/>
        </w:numPr>
        <w:ind w:left="720" w:hanging="360"/>
        <w:jc w:val="both"/>
      </w:pPr>
      <w:r w:rsidDel="00000000" w:rsidR="00000000" w:rsidRPr="00000000">
        <w:rPr>
          <w:rtl w:val="0"/>
        </w:rPr>
        <w:t xml:space="preserve">Polytene chromosomes: Analysis of larval chromosomes allows for visual confirmation of the absence of crossover events.</w:t>
      </w:r>
    </w:p>
    <w:p w:rsidR="00000000" w:rsidDel="00000000" w:rsidP="00000000" w:rsidRDefault="00000000" w:rsidRPr="00000000" w14:paraId="000001A9">
      <w:pPr>
        <w:pStyle w:val="Heading5"/>
        <w:jc w:val="both"/>
        <w:rPr/>
      </w:pPr>
      <w:bookmarkStart w:colFirst="0" w:colLast="0" w:name="_jd93wk4zgzcw" w:id="61"/>
      <w:bookmarkEnd w:id="61"/>
      <w:r w:rsidDel="00000000" w:rsidR="00000000" w:rsidRPr="00000000">
        <w:rPr>
          <w:rtl w:val="0"/>
        </w:rPr>
        <w:t xml:space="preserve">1.4.6.1.6 Establishment of Homozygous Lines</w:t>
      </w:r>
    </w:p>
    <w:p w:rsidR="00000000" w:rsidDel="00000000" w:rsidP="00000000" w:rsidRDefault="00000000" w:rsidRPr="00000000" w14:paraId="000001AA">
      <w:pPr>
        <w:numPr>
          <w:ilvl w:val="0"/>
          <w:numId w:val="27"/>
        </w:numPr>
        <w:ind w:left="720" w:hanging="360"/>
        <w:jc w:val="both"/>
      </w:pPr>
      <w:r w:rsidDel="00000000" w:rsidR="00000000" w:rsidRPr="00000000">
        <w:rPr>
          <w:rtl w:val="0"/>
        </w:rPr>
        <w:t xml:space="preserve">Self-crossing: Upon completion of backcrossing, self-crossing is performed over 2–3 generations to establish homozygous individuals.</w:t>
      </w:r>
    </w:p>
    <w:p w:rsidR="00000000" w:rsidDel="00000000" w:rsidP="00000000" w:rsidRDefault="00000000" w:rsidRPr="00000000" w14:paraId="000001AB">
      <w:pPr>
        <w:numPr>
          <w:ilvl w:val="0"/>
          <w:numId w:val="27"/>
        </w:numPr>
        <w:ind w:left="720" w:hanging="360"/>
        <w:jc w:val="both"/>
      </w:pPr>
      <w:r w:rsidDel="00000000" w:rsidR="00000000" w:rsidRPr="00000000">
        <w:rPr>
          <w:rtl w:val="0"/>
        </w:rPr>
        <w:t xml:space="preserve">Homozygosity verification: Genetic testing (such as crosses with marker lines) or microscopic examination of polytene chromosomes is conducted.</w:t>
      </w:r>
    </w:p>
    <w:p w:rsidR="00000000" w:rsidDel="00000000" w:rsidP="00000000" w:rsidRDefault="00000000" w:rsidRPr="00000000" w14:paraId="000001AC">
      <w:pPr>
        <w:pStyle w:val="Heading5"/>
        <w:jc w:val="both"/>
        <w:rPr/>
      </w:pPr>
      <w:bookmarkStart w:colFirst="0" w:colLast="0" w:name="_3w9prul12qfk" w:id="62"/>
      <w:bookmarkEnd w:id="62"/>
      <w:r w:rsidDel="00000000" w:rsidR="00000000" w:rsidRPr="00000000">
        <w:rPr>
          <w:rtl w:val="0"/>
        </w:rPr>
        <w:t xml:space="preserve">1.4.6.1.7 Optimization of Timeframe</w:t>
      </w:r>
    </w:p>
    <w:p w:rsidR="00000000" w:rsidDel="00000000" w:rsidP="00000000" w:rsidRDefault="00000000" w:rsidRPr="00000000" w14:paraId="000001AD">
      <w:pPr>
        <w:numPr>
          <w:ilvl w:val="0"/>
          <w:numId w:val="1"/>
        </w:numPr>
        <w:ind w:left="720" w:hanging="360"/>
        <w:jc w:val="both"/>
      </w:pPr>
      <w:r w:rsidDel="00000000" w:rsidR="00000000" w:rsidRPr="00000000">
        <w:rPr>
          <w:rtl w:val="0"/>
        </w:rPr>
        <w:t xml:space="preserve">Acceleration of cycles: The short lifecycle of Drosophila (10–14 days) enables up to five generations per year under controlled conditions (temperature: 25°C, humidity maintained).</w:t>
      </w:r>
    </w:p>
    <w:p w:rsidR="00000000" w:rsidDel="00000000" w:rsidP="00000000" w:rsidRDefault="00000000" w:rsidRPr="00000000" w14:paraId="000001AE">
      <w:pPr>
        <w:numPr>
          <w:ilvl w:val="0"/>
          <w:numId w:val="1"/>
        </w:numPr>
        <w:ind w:left="720" w:hanging="360"/>
        <w:jc w:val="both"/>
      </w:pPr>
      <w:r w:rsidDel="00000000" w:rsidR="00000000" w:rsidRPr="00000000">
        <w:rPr>
          <w:rtl w:val="0"/>
        </w:rPr>
        <w:t xml:space="preserve">Early selection: Genotypic analysis at the embryonic or larval stage reduces the overall duration of experiments.</w:t>
      </w:r>
    </w:p>
    <w:p w:rsidR="00000000" w:rsidDel="00000000" w:rsidP="00000000" w:rsidRDefault="00000000" w:rsidRPr="00000000" w14:paraId="000001AF">
      <w:pPr>
        <w:pStyle w:val="Heading4"/>
        <w:jc w:val="both"/>
        <w:rPr/>
      </w:pPr>
      <w:bookmarkStart w:colFirst="0" w:colLast="0" w:name="_uh1b9a20cp2b" w:id="63"/>
      <w:bookmarkEnd w:id="63"/>
      <w:r w:rsidDel="00000000" w:rsidR="00000000" w:rsidRPr="00000000">
        <w:rPr>
          <w:rtl w:val="0"/>
        </w:rPr>
        <w:t xml:space="preserve">1.4.6.2 Case Study: Application</w:t>
      </w:r>
    </w:p>
    <w:p w:rsidR="00000000" w:rsidDel="00000000" w:rsidP="00000000" w:rsidRDefault="00000000" w:rsidRPr="00000000" w14:paraId="000001B0">
      <w:pPr>
        <w:jc w:val="both"/>
        <w:rPr/>
      </w:pPr>
      <w:r w:rsidDel="00000000" w:rsidR="00000000" w:rsidRPr="00000000">
        <w:rPr>
          <w:rtl w:val="0"/>
        </w:rPr>
        <w:t xml:space="preserve">In Hirsch’s studies, isogenic lines were employed to investigate geotaxis. Tester lines with inversions and dominant markers (such as Curly for wing morphology) were used to isolate chromosomes carrying the desired genes. A similar methodology was applied in studies examining sexual activity, where genes on the second chromosome and sex chromosomes played a pivotal role.</w:t>
      </w:r>
    </w:p>
    <w:p w:rsidR="00000000" w:rsidDel="00000000" w:rsidP="00000000" w:rsidRDefault="00000000" w:rsidRPr="00000000" w14:paraId="000001B1">
      <w:pPr>
        <w:pStyle w:val="Heading4"/>
        <w:jc w:val="both"/>
        <w:rPr/>
      </w:pPr>
      <w:bookmarkStart w:colFirst="0" w:colLast="0" w:name="_g8r1ehikuq0x" w:id="64"/>
      <w:bookmarkEnd w:id="64"/>
      <w:r w:rsidDel="00000000" w:rsidR="00000000" w:rsidRPr="00000000">
        <w:rPr>
          <w:rtl w:val="0"/>
        </w:rPr>
        <w:t xml:space="preserve">1.4.6.3 Key Requirements for Protocol Success</w:t>
      </w:r>
    </w:p>
    <w:p w:rsidR="00000000" w:rsidDel="00000000" w:rsidP="00000000" w:rsidRDefault="00000000" w:rsidRPr="00000000" w14:paraId="000001B2">
      <w:pPr>
        <w:numPr>
          <w:ilvl w:val="0"/>
          <w:numId w:val="26"/>
        </w:numPr>
        <w:ind w:left="720" w:hanging="360"/>
        <w:jc w:val="both"/>
      </w:pPr>
      <w:r w:rsidDel="00000000" w:rsidR="00000000" w:rsidRPr="00000000">
        <w:rPr>
          <w:rtl w:val="0"/>
        </w:rPr>
        <w:t xml:space="preserve">Sterility: Essential for preventing unintended crossings.</w:t>
      </w:r>
    </w:p>
    <w:p w:rsidR="00000000" w:rsidDel="00000000" w:rsidP="00000000" w:rsidRDefault="00000000" w:rsidRPr="00000000" w14:paraId="000001B3">
      <w:pPr>
        <w:numPr>
          <w:ilvl w:val="0"/>
          <w:numId w:val="26"/>
        </w:numPr>
        <w:ind w:left="720" w:hanging="360"/>
        <w:jc w:val="both"/>
      </w:pPr>
      <w:r w:rsidDel="00000000" w:rsidR="00000000" w:rsidRPr="00000000">
        <w:rPr>
          <w:rtl w:val="0"/>
        </w:rPr>
        <w:t xml:space="preserve">Environmental control: A stable temperature of 25°C and regulated humidity for synchronized development.</w:t>
      </w:r>
    </w:p>
    <w:p w:rsidR="00000000" w:rsidDel="00000000" w:rsidP="00000000" w:rsidRDefault="00000000" w:rsidRPr="00000000" w14:paraId="000001B4">
      <w:pPr>
        <w:numPr>
          <w:ilvl w:val="0"/>
          <w:numId w:val="26"/>
        </w:numPr>
        <w:ind w:left="720" w:hanging="360"/>
        <w:jc w:val="both"/>
      </w:pPr>
      <w:r w:rsidDel="00000000" w:rsidR="00000000" w:rsidRPr="00000000">
        <w:rPr>
          <w:rtl w:val="0"/>
        </w:rPr>
        <w:t xml:space="preserve">Documentation: Detailed records of generational progress, markers, and experimental outcomes.</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pStyle w:val="Heading4"/>
        <w:jc w:val="both"/>
        <w:rPr/>
      </w:pPr>
      <w:bookmarkStart w:colFirst="0" w:colLast="0" w:name="_48fdz9avqerr" w:id="65"/>
      <w:bookmarkEnd w:id="65"/>
      <w:r w:rsidDel="00000000" w:rsidR="00000000" w:rsidRPr="00000000">
        <w:rPr>
          <w:rtl w:val="0"/>
        </w:rPr>
        <w:t xml:space="preserve">1.4.6.4 Equipment</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Microscopes, micropuller, microforge, needles, syringes, filters, and additional specialized tools.</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pStyle w:val="Heading3"/>
        <w:jc w:val="both"/>
        <w:rPr/>
      </w:pPr>
      <w:bookmarkStart w:colFirst="0" w:colLast="0" w:name="_vc01sqdyqlii" w:id="66"/>
      <w:bookmarkEnd w:id="66"/>
      <w:r w:rsidDel="00000000" w:rsidR="00000000" w:rsidRPr="00000000">
        <w:rPr>
          <w:rtl w:val="0"/>
        </w:rPr>
        <w:t xml:space="preserve">1.4.7 Procedures</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pStyle w:val="Heading4"/>
        <w:jc w:val="both"/>
        <w:rPr/>
      </w:pPr>
      <w:bookmarkStart w:colFirst="0" w:colLast="0" w:name="_k17n8861s42y" w:id="67"/>
      <w:bookmarkEnd w:id="67"/>
      <w:r w:rsidDel="00000000" w:rsidR="00000000" w:rsidRPr="00000000">
        <w:rPr>
          <w:rtl w:val="0"/>
        </w:rPr>
        <w:t xml:space="preserve">1.4.7.1 Adult Donors (96 Hours – 60 Days)</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pStyle w:val="Heading5"/>
        <w:jc w:val="both"/>
        <w:rPr/>
      </w:pPr>
      <w:bookmarkStart w:colFirst="0" w:colLast="0" w:name="_l45eubd95slw" w:id="68"/>
      <w:bookmarkEnd w:id="68"/>
      <w:r w:rsidDel="00000000" w:rsidR="00000000" w:rsidRPr="00000000">
        <w:rPr>
          <w:rtl w:val="0"/>
        </w:rPr>
        <w:t xml:space="preserve">1.4.7.1.1 Dissection of the Midgut</w:t>
      </w:r>
    </w:p>
    <w:p w:rsidR="00000000" w:rsidDel="00000000" w:rsidP="00000000" w:rsidRDefault="00000000" w:rsidRPr="00000000" w14:paraId="000001BF">
      <w:pPr>
        <w:numPr>
          <w:ilvl w:val="0"/>
          <w:numId w:val="38"/>
        </w:numPr>
        <w:ind w:left="720" w:hanging="360"/>
        <w:jc w:val="both"/>
      </w:pPr>
      <w:r w:rsidDel="00000000" w:rsidR="00000000" w:rsidRPr="00000000">
        <w:rPr>
          <w:rtl w:val="0"/>
        </w:rPr>
        <w:t xml:space="preserve">Estimated time: ~30 min</w:t>
      </w:r>
    </w:p>
    <w:p w:rsidR="00000000" w:rsidDel="00000000" w:rsidP="00000000" w:rsidRDefault="00000000" w:rsidRPr="00000000" w14:paraId="000001C0">
      <w:pPr>
        <w:jc w:val="both"/>
        <w:rPr/>
      </w:pPr>
      <w:r w:rsidDel="00000000" w:rsidR="00000000" w:rsidRPr="00000000">
        <w:rPr>
          <w:rtl w:val="0"/>
        </w:rPr>
        <w:t xml:space="preserve">Preparation:</w:t>
      </w:r>
    </w:p>
    <w:p w:rsidR="00000000" w:rsidDel="00000000" w:rsidP="00000000" w:rsidRDefault="00000000" w:rsidRPr="00000000" w14:paraId="000001C1">
      <w:pPr>
        <w:numPr>
          <w:ilvl w:val="0"/>
          <w:numId w:val="5"/>
        </w:numPr>
        <w:ind w:left="720" w:hanging="360"/>
        <w:jc w:val="both"/>
      </w:pPr>
      <w:r w:rsidDel="00000000" w:rsidR="00000000" w:rsidRPr="00000000">
        <w:rPr>
          <w:rtl w:val="0"/>
        </w:rPr>
        <w:t xml:space="preserve">Anesthetize adult flies (3–5 days old) and operate under a dissecting microscope. Dissection:</w:t>
      </w:r>
    </w:p>
    <w:p w:rsidR="00000000" w:rsidDel="00000000" w:rsidP="00000000" w:rsidRDefault="00000000" w:rsidRPr="00000000" w14:paraId="000001C2">
      <w:pPr>
        <w:numPr>
          <w:ilvl w:val="0"/>
          <w:numId w:val="5"/>
        </w:numPr>
        <w:ind w:left="720" w:hanging="360"/>
        <w:jc w:val="both"/>
      </w:pPr>
      <w:r w:rsidDel="00000000" w:rsidR="00000000" w:rsidRPr="00000000">
        <w:rPr>
          <w:rtl w:val="0"/>
        </w:rPr>
        <w:t xml:space="preserve">Perform the dissection in chilled PBS. Carefully isolate the entire midgut (the section between the crop and hindgut), ensuring the exclusion of fat tissue and other contaminants.</w:t>
      </w:r>
    </w:p>
    <w:p w:rsidR="00000000" w:rsidDel="00000000" w:rsidP="00000000" w:rsidRDefault="00000000" w:rsidRPr="00000000" w14:paraId="000001C3">
      <w:pPr>
        <w:pStyle w:val="Heading5"/>
        <w:jc w:val="both"/>
        <w:rPr/>
      </w:pPr>
      <w:bookmarkStart w:colFirst="0" w:colLast="0" w:name="_mg68d4bp9eio" w:id="69"/>
      <w:bookmarkEnd w:id="69"/>
      <w:r w:rsidDel="00000000" w:rsidR="00000000" w:rsidRPr="00000000">
        <w:rPr>
          <w:rtl w:val="0"/>
        </w:rPr>
        <w:t xml:space="preserve">1.4.7.1.2 Tissue Dissociation</w:t>
      </w:r>
    </w:p>
    <w:p w:rsidR="00000000" w:rsidDel="00000000" w:rsidP="00000000" w:rsidRDefault="00000000" w:rsidRPr="00000000" w14:paraId="000001C4">
      <w:pPr>
        <w:jc w:val="both"/>
        <w:rPr/>
      </w:pPr>
      <w:r w:rsidDel="00000000" w:rsidR="00000000" w:rsidRPr="00000000">
        <w:rPr>
          <w:rtl w:val="0"/>
        </w:rPr>
        <w:t xml:space="preserve">Enzymatic Digestion:</w:t>
      </w:r>
    </w:p>
    <w:p w:rsidR="00000000" w:rsidDel="00000000" w:rsidP="00000000" w:rsidRDefault="00000000" w:rsidRPr="00000000" w14:paraId="000001C5">
      <w:pPr>
        <w:numPr>
          <w:ilvl w:val="0"/>
          <w:numId w:val="15"/>
        </w:numPr>
        <w:ind w:left="720" w:hanging="360"/>
        <w:jc w:val="both"/>
      </w:pPr>
      <w:r w:rsidDel="00000000" w:rsidR="00000000" w:rsidRPr="00000000">
        <w:rPr>
          <w:rtl w:val="0"/>
        </w:rPr>
        <w:t xml:space="preserve">Transfer dissected midguts into a microcentrifuge tube containing digestion solution (e.g., PBS supplemented with 2% FBS and collagenase/dispase at an optimized concentration).</w:t>
      </w:r>
    </w:p>
    <w:p w:rsidR="00000000" w:rsidDel="00000000" w:rsidP="00000000" w:rsidRDefault="00000000" w:rsidRPr="00000000" w14:paraId="000001C6">
      <w:pPr>
        <w:jc w:val="both"/>
        <w:rPr/>
      </w:pPr>
      <w:r w:rsidDel="00000000" w:rsidR="00000000" w:rsidRPr="00000000">
        <w:rPr>
          <w:rtl w:val="0"/>
        </w:rPr>
        <w:t xml:space="preserve">Incubation:</w:t>
      </w:r>
    </w:p>
    <w:p w:rsidR="00000000" w:rsidDel="00000000" w:rsidP="00000000" w:rsidRDefault="00000000" w:rsidRPr="00000000" w14:paraId="000001C7">
      <w:pPr>
        <w:numPr>
          <w:ilvl w:val="0"/>
          <w:numId w:val="29"/>
        </w:numPr>
        <w:ind w:left="720" w:hanging="360"/>
        <w:jc w:val="both"/>
      </w:pPr>
      <w:r w:rsidDel="00000000" w:rsidR="00000000" w:rsidRPr="00000000">
        <w:rPr>
          <w:rtl w:val="0"/>
        </w:rPr>
        <w:t xml:space="preserve">Incubate at 25°C for 20–30 minutes with gentle agitation to facilitate tissue breakdown into single-cell suspensions.</w:t>
      </w:r>
    </w:p>
    <w:p w:rsidR="00000000" w:rsidDel="00000000" w:rsidP="00000000" w:rsidRDefault="00000000" w:rsidRPr="00000000" w14:paraId="000001C8">
      <w:pPr>
        <w:jc w:val="both"/>
        <w:rPr/>
      </w:pPr>
      <w:r w:rsidDel="00000000" w:rsidR="00000000" w:rsidRPr="00000000">
        <w:rPr>
          <w:rtl w:val="0"/>
        </w:rPr>
        <w:t xml:space="preserve">Mechanical Dissociation:</w:t>
      </w:r>
    </w:p>
    <w:p w:rsidR="00000000" w:rsidDel="00000000" w:rsidP="00000000" w:rsidRDefault="00000000" w:rsidRPr="00000000" w14:paraId="000001C9">
      <w:pPr>
        <w:numPr>
          <w:ilvl w:val="0"/>
          <w:numId w:val="13"/>
        </w:numPr>
        <w:ind w:left="720" w:hanging="360"/>
        <w:jc w:val="both"/>
      </w:pPr>
      <w:r w:rsidDel="00000000" w:rsidR="00000000" w:rsidRPr="00000000">
        <w:rPr>
          <w:rtl w:val="0"/>
        </w:rPr>
        <w:t xml:space="preserve">Gently pipette the cell suspension to further disaggregate the cells.</w:t>
      </w:r>
    </w:p>
    <w:p w:rsidR="00000000" w:rsidDel="00000000" w:rsidP="00000000" w:rsidRDefault="00000000" w:rsidRPr="00000000" w14:paraId="000001CA">
      <w:pPr>
        <w:pStyle w:val="Heading5"/>
        <w:jc w:val="both"/>
        <w:rPr/>
      </w:pPr>
      <w:bookmarkStart w:colFirst="0" w:colLast="0" w:name="_si005wscebnc" w:id="70"/>
      <w:bookmarkEnd w:id="70"/>
      <w:r w:rsidDel="00000000" w:rsidR="00000000" w:rsidRPr="00000000">
        <w:rPr>
          <w:rtl w:val="0"/>
        </w:rPr>
        <w:t xml:space="preserve">1.4.7.1.3 Filtration and Washing</w:t>
      </w:r>
    </w:p>
    <w:p w:rsidR="00000000" w:rsidDel="00000000" w:rsidP="00000000" w:rsidRDefault="00000000" w:rsidRPr="00000000" w14:paraId="000001CB">
      <w:pPr>
        <w:numPr>
          <w:ilvl w:val="0"/>
          <w:numId w:val="14"/>
        </w:numPr>
        <w:ind w:left="720" w:hanging="360"/>
        <w:jc w:val="both"/>
      </w:pPr>
      <w:r w:rsidDel="00000000" w:rsidR="00000000" w:rsidRPr="00000000">
        <w:rPr>
          <w:rtl w:val="0"/>
        </w:rPr>
        <w:t xml:space="preserve">Filtration: Pass the cell suspension through a 40 μm filter to eliminate tissue debris and cell aggregates.</w:t>
      </w:r>
    </w:p>
    <w:p w:rsidR="00000000" w:rsidDel="00000000" w:rsidP="00000000" w:rsidRDefault="00000000" w:rsidRPr="00000000" w14:paraId="000001CC">
      <w:pPr>
        <w:numPr>
          <w:ilvl w:val="0"/>
          <w:numId w:val="14"/>
        </w:numPr>
        <w:ind w:left="720" w:hanging="360"/>
        <w:jc w:val="both"/>
      </w:pPr>
      <w:r w:rsidDel="00000000" w:rsidR="00000000" w:rsidRPr="00000000">
        <w:rPr>
          <w:rtl w:val="0"/>
        </w:rPr>
        <w:t xml:space="preserve">Centrifugation: Spin the filtered suspension at ~300×g for 5 minutes at 4°C.</w:t>
      </w:r>
    </w:p>
    <w:p w:rsidR="00000000" w:rsidDel="00000000" w:rsidP="00000000" w:rsidRDefault="00000000" w:rsidRPr="00000000" w14:paraId="000001CD">
      <w:pPr>
        <w:numPr>
          <w:ilvl w:val="0"/>
          <w:numId w:val="14"/>
        </w:numPr>
        <w:ind w:left="720" w:hanging="360"/>
        <w:jc w:val="both"/>
      </w:pPr>
      <w:r w:rsidDel="00000000" w:rsidR="00000000" w:rsidRPr="00000000">
        <w:rPr>
          <w:rtl w:val="0"/>
        </w:rPr>
        <w:t xml:space="preserve">Resuspension: Carefully resuspend the pellet in FACS buffer (PBS with 2% FBS and 1 mM EDTA) to prevent cell aggregation.</w:t>
      </w:r>
    </w:p>
    <w:p w:rsidR="00000000" w:rsidDel="00000000" w:rsidP="00000000" w:rsidRDefault="00000000" w:rsidRPr="00000000" w14:paraId="000001CE">
      <w:pPr>
        <w:pStyle w:val="Heading5"/>
        <w:jc w:val="both"/>
        <w:rPr/>
      </w:pPr>
      <w:bookmarkStart w:colFirst="0" w:colLast="0" w:name="_x4n6c0d4px28" w:id="71"/>
      <w:bookmarkEnd w:id="71"/>
      <w:r w:rsidDel="00000000" w:rsidR="00000000" w:rsidRPr="00000000">
        <w:rPr>
          <w:rtl w:val="0"/>
        </w:rPr>
        <w:t xml:space="preserve">1.4.7.1.4 Fluorescence-Activated Cell Sorting (FACS)</w:t>
      </w:r>
    </w:p>
    <w:p w:rsidR="00000000" w:rsidDel="00000000" w:rsidP="00000000" w:rsidRDefault="00000000" w:rsidRPr="00000000" w14:paraId="000001CF">
      <w:pPr>
        <w:jc w:val="both"/>
        <w:rPr/>
      </w:pPr>
      <w:r w:rsidDel="00000000" w:rsidR="00000000" w:rsidRPr="00000000">
        <w:rPr>
          <w:rtl w:val="0"/>
        </w:rPr>
        <w:t xml:space="preserve">Labeling (if necessary):</w:t>
      </w:r>
    </w:p>
    <w:p w:rsidR="00000000" w:rsidDel="00000000" w:rsidP="00000000" w:rsidRDefault="00000000" w:rsidRPr="00000000" w14:paraId="000001D0">
      <w:pPr>
        <w:numPr>
          <w:ilvl w:val="0"/>
          <w:numId w:val="18"/>
        </w:numPr>
        <w:ind w:left="720" w:hanging="360"/>
        <w:jc w:val="both"/>
      </w:pPr>
      <w:r w:rsidDel="00000000" w:rsidR="00000000" w:rsidRPr="00000000">
        <w:rPr>
          <w:rtl w:val="0"/>
        </w:rPr>
        <w:t xml:space="preserve">If no transgenic reporter is utilized, perform immunostaining with antibodies targeting ISC markers (e.g., Delta for ISC identification).</w:t>
      </w:r>
    </w:p>
    <w:p w:rsidR="00000000" w:rsidDel="00000000" w:rsidP="00000000" w:rsidRDefault="00000000" w:rsidRPr="00000000" w14:paraId="000001D1">
      <w:pPr>
        <w:jc w:val="both"/>
        <w:rPr/>
      </w:pPr>
      <w:r w:rsidDel="00000000" w:rsidR="00000000" w:rsidRPr="00000000">
        <w:rPr>
          <w:rtl w:val="0"/>
        </w:rPr>
        <w:t xml:space="preserve">Sorting:</w:t>
      </w:r>
    </w:p>
    <w:p w:rsidR="00000000" w:rsidDel="00000000" w:rsidP="00000000" w:rsidRDefault="00000000" w:rsidRPr="00000000" w14:paraId="000001D2">
      <w:pPr>
        <w:numPr>
          <w:ilvl w:val="0"/>
          <w:numId w:val="31"/>
        </w:numPr>
        <w:ind w:left="720" w:hanging="360"/>
        <w:jc w:val="both"/>
      </w:pPr>
      <w:r w:rsidDel="00000000" w:rsidR="00000000" w:rsidRPr="00000000">
        <w:rPr>
          <w:rtl w:val="0"/>
        </w:rPr>
        <w:t xml:space="preserve">Configure cytometer settings based on forward and side scatter parameters to isolate viable single cells. If utilizing the esg-Gal4 &gt; UAS-GFP system, sort GFP-positive cells to enrich for ISCs and early progenitors.</w:t>
      </w:r>
    </w:p>
    <w:p w:rsidR="00000000" w:rsidDel="00000000" w:rsidP="00000000" w:rsidRDefault="00000000" w:rsidRPr="00000000" w14:paraId="000001D3">
      <w:pPr>
        <w:jc w:val="both"/>
        <w:rPr/>
      </w:pPr>
      <w:r w:rsidDel="00000000" w:rsidR="00000000" w:rsidRPr="00000000">
        <w:rPr>
          <w:rtl w:val="0"/>
        </w:rPr>
        <w:t xml:space="preserve">Collection:</w:t>
      </w:r>
    </w:p>
    <w:p w:rsidR="00000000" w:rsidDel="00000000" w:rsidP="00000000" w:rsidRDefault="00000000" w:rsidRPr="00000000" w14:paraId="000001D4">
      <w:pPr>
        <w:numPr>
          <w:ilvl w:val="0"/>
          <w:numId w:val="9"/>
        </w:numPr>
        <w:ind w:left="720" w:hanging="360"/>
        <w:jc w:val="both"/>
      </w:pPr>
      <w:r w:rsidDel="00000000" w:rsidR="00000000" w:rsidRPr="00000000">
        <w:rPr>
          <w:rtl w:val="0"/>
        </w:rPr>
        <w:t xml:space="preserve">Gather sorted cells into tubes containing FACS buffer or an appropriate medium for downstream applications.</w:t>
      </w:r>
    </w:p>
    <w:p w:rsidR="00000000" w:rsidDel="00000000" w:rsidP="00000000" w:rsidRDefault="00000000" w:rsidRPr="00000000" w14:paraId="000001D5">
      <w:pPr>
        <w:pStyle w:val="Heading5"/>
        <w:jc w:val="both"/>
        <w:rPr/>
      </w:pPr>
      <w:bookmarkStart w:colFirst="0" w:colLast="0" w:name="_eg91m8gj2t9w" w:id="72"/>
      <w:bookmarkEnd w:id="72"/>
      <w:r w:rsidDel="00000000" w:rsidR="00000000" w:rsidRPr="00000000">
        <w:rPr>
          <w:rtl w:val="0"/>
        </w:rPr>
        <w:t xml:space="preserve">1.4.7.1.5 Subsequent Applications</w:t>
      </w:r>
    </w:p>
    <w:p w:rsidR="00000000" w:rsidDel="00000000" w:rsidP="00000000" w:rsidRDefault="00000000" w:rsidRPr="00000000" w14:paraId="000001D6">
      <w:pPr>
        <w:jc w:val="both"/>
        <w:rPr/>
      </w:pPr>
      <w:r w:rsidDel="00000000" w:rsidR="00000000" w:rsidRPr="00000000">
        <w:rPr>
          <w:rtl w:val="0"/>
        </w:rPr>
        <w:t xml:space="preserve">RNA Extraction/Culture:</w:t>
      </w:r>
    </w:p>
    <w:p w:rsidR="00000000" w:rsidDel="00000000" w:rsidP="00000000" w:rsidRDefault="00000000" w:rsidRPr="00000000" w14:paraId="000001D7">
      <w:pPr>
        <w:numPr>
          <w:ilvl w:val="0"/>
          <w:numId w:val="42"/>
        </w:numPr>
        <w:ind w:left="720" w:hanging="360"/>
        <w:jc w:val="both"/>
      </w:pPr>
      <w:r w:rsidDel="00000000" w:rsidR="00000000" w:rsidRPr="00000000">
        <w:rPr>
          <w:rtl w:val="0"/>
        </w:rPr>
        <w:t xml:space="preserve">Isolated ISCs can be employed for RNA extraction, transcriptomic analysis, in vitro culture, or other molecular assays.</w:t>
      </w:r>
    </w:p>
    <w:p w:rsidR="00000000" w:rsidDel="00000000" w:rsidP="00000000" w:rsidRDefault="00000000" w:rsidRPr="00000000" w14:paraId="000001D8">
      <w:pPr>
        <w:pStyle w:val="Heading5"/>
        <w:jc w:val="both"/>
        <w:rPr/>
      </w:pPr>
      <w:bookmarkStart w:colFirst="0" w:colLast="0" w:name="_objz74g1q2c3" w:id="73"/>
      <w:bookmarkEnd w:id="73"/>
      <w:r w:rsidDel="00000000" w:rsidR="00000000" w:rsidRPr="00000000">
        <w:rPr>
          <w:rtl w:val="0"/>
        </w:rPr>
        <w:t xml:space="preserve">1.4.7.1.6 Notes</w:t>
      </w:r>
    </w:p>
    <w:p w:rsidR="00000000" w:rsidDel="00000000" w:rsidP="00000000" w:rsidRDefault="00000000" w:rsidRPr="00000000" w14:paraId="000001D9">
      <w:pPr>
        <w:jc w:val="both"/>
        <w:rPr/>
      </w:pPr>
      <w:r w:rsidDel="00000000" w:rsidR="00000000" w:rsidRPr="00000000">
        <w:rPr>
          <w:rtl w:val="0"/>
        </w:rPr>
        <w:t xml:space="preserve">Optimization:</w:t>
      </w:r>
    </w:p>
    <w:p w:rsidR="00000000" w:rsidDel="00000000" w:rsidP="00000000" w:rsidRDefault="00000000" w:rsidRPr="00000000" w14:paraId="000001DA">
      <w:pPr>
        <w:numPr>
          <w:ilvl w:val="0"/>
          <w:numId w:val="28"/>
        </w:numPr>
        <w:ind w:left="720" w:hanging="360"/>
        <w:jc w:val="both"/>
      </w:pPr>
      <w:r w:rsidDel="00000000" w:rsidR="00000000" w:rsidRPr="00000000">
        <w:rPr>
          <w:rtl w:val="0"/>
        </w:rPr>
        <w:t xml:space="preserve">Adjust enzyme type, concentration, and incubation time based on cell yield and quality.</w:t>
      </w:r>
    </w:p>
    <w:p w:rsidR="00000000" w:rsidDel="00000000" w:rsidP="00000000" w:rsidRDefault="00000000" w:rsidRPr="00000000" w14:paraId="000001DB">
      <w:pPr>
        <w:jc w:val="both"/>
        <w:rPr/>
      </w:pPr>
      <w:r w:rsidDel="00000000" w:rsidR="00000000" w:rsidRPr="00000000">
        <w:rPr>
          <w:rtl w:val="0"/>
        </w:rPr>
        <w:t xml:space="preserve">Purity Verification:</w:t>
      </w:r>
    </w:p>
    <w:p w:rsidR="00000000" w:rsidDel="00000000" w:rsidP="00000000" w:rsidRDefault="00000000" w:rsidRPr="00000000" w14:paraId="000001DC">
      <w:pPr>
        <w:numPr>
          <w:ilvl w:val="0"/>
          <w:numId w:val="22"/>
        </w:numPr>
        <w:ind w:left="720" w:hanging="360"/>
        <w:jc w:val="both"/>
      </w:pPr>
      <w:r w:rsidDel="00000000" w:rsidR="00000000" w:rsidRPr="00000000">
        <w:rPr>
          <w:rtl w:val="0"/>
        </w:rPr>
        <w:t xml:space="preserve">Post-sorting analysis of a fraction of cells ensures the purity of the ISC population.</w:t>
      </w:r>
    </w:p>
    <w:p w:rsidR="00000000" w:rsidDel="00000000" w:rsidP="00000000" w:rsidRDefault="00000000" w:rsidRPr="00000000" w14:paraId="000001DD">
      <w:pPr>
        <w:jc w:val="both"/>
        <w:rPr/>
      </w:pPr>
      <w:r w:rsidDel="00000000" w:rsidR="00000000" w:rsidRPr="00000000">
        <w:rPr>
          <w:rtl w:val="0"/>
        </w:rPr>
        <w:t xml:space="preserve">References:</w:t>
      </w:r>
    </w:p>
    <w:p w:rsidR="00000000" w:rsidDel="00000000" w:rsidP="00000000" w:rsidRDefault="00000000" w:rsidRPr="00000000" w14:paraId="000001DE">
      <w:pPr>
        <w:numPr>
          <w:ilvl w:val="0"/>
          <w:numId w:val="37"/>
        </w:numPr>
        <w:ind w:left="720" w:hanging="360"/>
        <w:jc w:val="both"/>
      </w:pPr>
      <w:r w:rsidDel="00000000" w:rsidR="00000000" w:rsidRPr="00000000">
        <w:rPr>
          <w:rtl w:val="0"/>
        </w:rPr>
        <w:t xml:space="preserve">For detailed protocols, refer to publications such as Dutta et al. (2015) and associated JoVE and eLife videos.</w:t>
      </w:r>
    </w:p>
    <w:p w:rsidR="00000000" w:rsidDel="00000000" w:rsidP="00000000" w:rsidRDefault="00000000" w:rsidRPr="00000000" w14:paraId="000001DF">
      <w:pPr>
        <w:pStyle w:val="Heading5"/>
        <w:jc w:val="both"/>
        <w:rPr/>
      </w:pPr>
      <w:bookmarkStart w:colFirst="0" w:colLast="0" w:name="_72w9oql0p34i" w:id="74"/>
      <w:bookmarkEnd w:id="74"/>
      <w:r w:rsidDel="00000000" w:rsidR="00000000" w:rsidRPr="00000000">
        <w:rPr>
          <w:rtl w:val="0"/>
        </w:rPr>
        <w:t xml:space="preserve">1.4.7.3.2 Troubleshooting</w:t>
      </w:r>
    </w:p>
    <w:p w:rsidR="00000000" w:rsidDel="00000000" w:rsidP="00000000" w:rsidRDefault="00000000" w:rsidRPr="00000000" w14:paraId="000001E0">
      <w:pPr>
        <w:jc w:val="both"/>
        <w:rPr/>
      </w:pPr>
      <w:r w:rsidDel="00000000" w:rsidR="00000000" w:rsidRPr="00000000">
        <w:rPr>
          <w:rtl w:val="0"/>
        </w:rPr>
        <w:t xml:space="preserve">To ensure a smooth transplantation process, carefully secure the host's terminalia using fine forceps. While maintaining a steady grip, gently press the tip of the needle holding the donor tissue against the ventral cuticle of the host. The optimal injection site is typically located between the fourth and sixth sternites. Due to the needle’s sharpness, it will effortlessly penetrate the cuticle with minimal resistance. Once the puncture is made, slightly retract the needle to alleviate internal pressure and carefully introduce the transplant into the abdominal cavity with controlled motion.</w:t>
      </w:r>
    </w:p>
    <w:p w:rsidR="00000000" w:rsidDel="00000000" w:rsidP="00000000" w:rsidRDefault="00000000" w:rsidRPr="00000000" w14:paraId="000001E1">
      <w:pPr>
        <w:jc w:val="both"/>
        <w:rPr/>
      </w:pPr>
      <w:r w:rsidDel="00000000" w:rsidR="00000000" w:rsidRPr="00000000">
        <w:rPr>
          <w:rtl w:val="0"/>
        </w:rPr>
        <w:t xml:space="preserve">▲ Critical Step: Avoid unnecessary needle movement after penetration, as excessive motion can cause additional mechanical damage to the internal structures of the host.</w:t>
      </w:r>
    </w:p>
    <w:p w:rsidR="00000000" w:rsidDel="00000000" w:rsidP="00000000" w:rsidRDefault="00000000" w:rsidRPr="00000000" w14:paraId="000001E2">
      <w:pPr>
        <w:jc w:val="both"/>
        <w:rPr/>
      </w:pPr>
      <w:r w:rsidDel="00000000" w:rsidR="00000000" w:rsidRPr="00000000">
        <w:rPr>
          <w:rtl w:val="0"/>
        </w:rPr>
        <w:t xml:space="preserve">Once the transplant is securely placed, withdraw the needle with precision to minimize trauma. Following injection, keep the host flies under CO₂ anesthesia for approximately one minute before allowing them to recover for an additional minute in a CO₂-free environment. At this stage, host individuals should exhibit no visible damage to the sternites, nor should there be any leakage of hemolymph from the injection site.</w:t>
      </w:r>
    </w:p>
    <w:p w:rsidR="00000000" w:rsidDel="00000000" w:rsidP="00000000" w:rsidRDefault="00000000" w:rsidRPr="00000000" w14:paraId="000001E3">
      <w:pPr>
        <w:jc w:val="both"/>
        <w:rPr/>
      </w:pPr>
      <w:r w:rsidDel="00000000" w:rsidR="00000000" w:rsidRPr="00000000">
        <w:rPr>
          <w:rtl w:val="0"/>
        </w:rPr>
        <w:t xml:space="preserve">To maintain sterility, immediately rinse the needle with PBS1X to remove any residual biological material and prevent cross-contamination.</w:t>
      </w:r>
    </w:p>
    <w:p w:rsidR="00000000" w:rsidDel="00000000" w:rsidP="00000000" w:rsidRDefault="00000000" w:rsidRPr="00000000" w14:paraId="000001E4">
      <w:pPr>
        <w:jc w:val="both"/>
        <w:rPr/>
      </w:pPr>
      <w:r w:rsidDel="00000000" w:rsidR="00000000" w:rsidRPr="00000000">
        <w:rPr>
          <w:rtl w:val="0"/>
        </w:rPr>
        <w:t xml:space="preserve">After transplantation, transfer the flies into fresh vials containing nutrient media. To facilitate recovery, ensure that vials are kept in a horizontal position, preventing unnecessary stress or additional fluid leakage from the host.</w:t>
      </w:r>
    </w:p>
    <w:p w:rsidR="00000000" w:rsidDel="00000000" w:rsidP="00000000" w:rsidRDefault="00000000" w:rsidRPr="00000000" w14:paraId="000001E5">
      <w:pPr>
        <w:jc w:val="both"/>
        <w:rPr/>
      </w:pPr>
      <w:r w:rsidDel="00000000" w:rsidR="00000000" w:rsidRPr="00000000">
        <w:rPr>
          <w:rtl w:val="0"/>
        </w:rPr>
        <w:t xml:space="preserve">▲ Critical Step: As the abdominal muscles regain motility, slight fluid leakage may occur. If observed, gently absorb excess liquid with sterile tissue paper to prevent complications.</w:t>
      </w:r>
    </w:p>
    <w:p w:rsidR="00000000" w:rsidDel="00000000" w:rsidP="00000000" w:rsidRDefault="00000000" w:rsidRPr="00000000" w14:paraId="000001E6">
      <w:pPr>
        <w:pStyle w:val="Heading5"/>
        <w:jc w:val="both"/>
        <w:rPr/>
      </w:pPr>
      <w:bookmarkStart w:colFirst="0" w:colLast="0" w:name="_2qu0t6xloo02" w:id="75"/>
      <w:bookmarkEnd w:id="75"/>
      <w:r w:rsidDel="00000000" w:rsidR="00000000" w:rsidRPr="00000000">
        <w:rPr>
          <w:rtl w:val="0"/>
        </w:rPr>
        <w:t xml:space="preserve">1.4.7.3.3 Cultivation of Allotransplanted Hosts</w:t>
      </w:r>
    </w:p>
    <w:p w:rsidR="00000000" w:rsidDel="00000000" w:rsidP="00000000" w:rsidRDefault="00000000" w:rsidRPr="00000000" w14:paraId="000001E7">
      <w:pPr>
        <w:jc w:val="both"/>
        <w:rPr/>
      </w:pPr>
      <w:r w:rsidDel="00000000" w:rsidR="00000000" w:rsidRPr="00000000">
        <w:rPr>
          <w:rtl w:val="0"/>
        </w:rPr>
        <w:t xml:space="preserve">To maximize survival rates and ensure optimal conditions for transplanted tissues, follow a precise maintenance regimen. Transfer the flies to fresh vials daily for the first three days post-transplantation. After this critical period, subsequent transfers should occur biweekly to maintain optimal conditions for host survival.</w:t>
      </w:r>
    </w:p>
    <w:p w:rsidR="00000000" w:rsidDel="00000000" w:rsidP="00000000" w:rsidRDefault="00000000" w:rsidRPr="00000000" w14:paraId="000001E8">
      <w:pPr>
        <w:jc w:val="both"/>
        <w:rPr/>
      </w:pPr>
      <w:r w:rsidDel="00000000" w:rsidR="00000000" w:rsidRPr="00000000">
        <w:rPr>
          <w:rtl w:val="0"/>
        </w:rPr>
        <w:t xml:space="preserve">▲ Critical Step: The initial post-transplantation period is crucial, as it determines the long-term viability of the host. Close monitoring during the first few days is imperative.</w:t>
      </w:r>
    </w:p>
    <w:p w:rsidR="00000000" w:rsidDel="00000000" w:rsidP="00000000" w:rsidRDefault="00000000" w:rsidRPr="00000000" w14:paraId="000001E9">
      <w:pPr>
        <w:jc w:val="both"/>
        <w:rPr/>
      </w:pPr>
      <w:r w:rsidDel="00000000" w:rsidR="00000000" w:rsidRPr="00000000">
        <w:rPr>
          <w:rtl w:val="0"/>
        </w:rPr>
        <w:t xml:space="preserve">Throughout the experiment, observe the hosts for any signs of terminal conditions, such as impaired movement or distress, which may indicate transplant rejection or systemic physiological failure.</w:t>
      </w:r>
    </w:p>
    <w:p w:rsidR="00000000" w:rsidDel="00000000" w:rsidP="00000000" w:rsidRDefault="00000000" w:rsidRPr="00000000" w14:paraId="000001EA">
      <w:pPr>
        <w:jc w:val="both"/>
        <w:rPr/>
      </w:pPr>
      <w:r w:rsidDel="00000000" w:rsidR="00000000" w:rsidRPr="00000000">
        <w:rPr>
          <w:rtl w:val="0"/>
        </w:rPr>
        <w:t xml:space="preserve">Isolation of Transplants from Hosts</w:t>
        <w:br w:type="textWrapping"/>
        <w:t xml:space="preserve"> ● Estimated time: ~5–10 minutes per fly</w:t>
      </w:r>
    </w:p>
    <w:p w:rsidR="00000000" w:rsidDel="00000000" w:rsidP="00000000" w:rsidRDefault="00000000" w:rsidRPr="00000000" w14:paraId="000001EB">
      <w:pPr>
        <w:jc w:val="both"/>
        <w:rPr/>
      </w:pPr>
      <w:r w:rsidDel="00000000" w:rsidR="00000000" w:rsidRPr="00000000">
        <w:rPr>
          <w:rtl w:val="0"/>
        </w:rPr>
        <w:t xml:space="preserve">To extract transplanted tissues for analysis, anesthetize the flies and carefully separate the abdomen from the rest of the body. Transfer the excised abdominal section into a PBS1X solution for further processing.</w:t>
      </w:r>
    </w:p>
    <w:p w:rsidR="00000000" w:rsidDel="00000000" w:rsidP="00000000" w:rsidRDefault="00000000" w:rsidRPr="00000000" w14:paraId="000001EC">
      <w:pPr>
        <w:jc w:val="both"/>
        <w:rPr/>
      </w:pPr>
      <w:r w:rsidDel="00000000" w:rsidR="00000000" w:rsidRPr="00000000">
        <w:rPr>
          <w:rtl w:val="0"/>
        </w:rPr>
        <w:t xml:space="preserve">Using precise dissection techniques, carefully open the abdomen and gently extract the encapsulated transplant using fine forceps. If the transplantation procedure was performed between individuals of different sexes, assess the proportion of host and donor cells based on X chromosome counts.</w:t>
      </w:r>
    </w:p>
    <w:p w:rsidR="00000000" w:rsidDel="00000000" w:rsidP="00000000" w:rsidRDefault="00000000" w:rsidRPr="00000000" w14:paraId="000001ED">
      <w:pPr>
        <w:jc w:val="both"/>
        <w:rPr/>
      </w:pPr>
      <w:r w:rsidDel="00000000" w:rsidR="00000000" w:rsidRPr="00000000">
        <w:rPr>
          <w:rtl w:val="0"/>
        </w:rPr>
        <w:t xml:space="preserve">For downstream applications such as genetic, histological, or molecular analyses, freeze the extracted samples immediately to preserve cellular integrity.</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pStyle w:val="Heading3"/>
        <w:rPr/>
      </w:pPr>
      <w:bookmarkStart w:colFirst="0" w:colLast="0" w:name="_bhizdqsokq6t" w:id="76"/>
      <w:bookmarkEnd w:id="76"/>
      <w:r w:rsidDel="00000000" w:rsidR="00000000" w:rsidRPr="00000000">
        <w:rPr>
          <w:rtl w:val="0"/>
        </w:rPr>
        <w:t xml:space="preserve">1.4.8 Expected Results</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t xml:space="preserve">Based on the described protocol and previous research findings, the following outcomes are anticipated:</w:t>
      </w:r>
    </w:p>
    <w:p w:rsidR="00000000" w:rsidDel="00000000" w:rsidP="00000000" w:rsidRDefault="00000000" w:rsidRPr="00000000" w14:paraId="000001F2">
      <w:pPr>
        <w:pStyle w:val="Heading4"/>
        <w:rPr/>
      </w:pPr>
      <w:bookmarkStart w:colFirst="0" w:colLast="0" w:name="_ojqtc1m1zztp" w:id="77"/>
      <w:bookmarkEnd w:id="77"/>
      <w:r w:rsidDel="00000000" w:rsidR="00000000" w:rsidRPr="00000000">
        <w:rPr>
          <w:rtl w:val="0"/>
        </w:rPr>
        <w:t xml:space="preserve">1.4.8.1 Host and Transplant Survival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t xml:space="preserve">High short-term survival rates of host flies:</w:t>
        <w:br w:type="textWrapping"/>
        <w:t xml:space="preserve"> If sterile conditions and precise procedural execution are maintained, the survival rate of recipient flies is expected to exceed 80% within the first 3–5 days post-transplantation.</w:t>
      </w:r>
    </w:p>
    <w:p w:rsidR="00000000" w:rsidDel="00000000" w:rsidP="00000000" w:rsidRDefault="00000000" w:rsidRPr="00000000" w14:paraId="000001F5">
      <w:pPr>
        <w:jc w:val="both"/>
        <w:rPr/>
      </w:pPr>
      <w:r w:rsidDel="00000000" w:rsidR="00000000" w:rsidRPr="00000000">
        <w:rPr>
          <w:rtl w:val="0"/>
        </w:rPr>
        <w:t xml:space="preserve">Encapsulation of the transplant:</w:t>
        <w:br w:type="textWrapping"/>
        <w:t xml:space="preserve"> Following transplantation, host hemocytes gradually encapsulate the transplanted tissue, forming a compact structure without excessive overgrowth beyond physiological limits.</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pStyle w:val="Heading4"/>
        <w:rPr/>
      </w:pPr>
      <w:bookmarkStart w:colFirst="0" w:colLast="0" w:name="_njaega2t71nn" w:id="78"/>
      <w:bookmarkEnd w:id="78"/>
      <w:r w:rsidDel="00000000" w:rsidR="00000000" w:rsidRPr="00000000">
        <w:rPr>
          <w:rtl w:val="0"/>
        </w:rPr>
        <w:t xml:space="preserve">1.4.8.2 Influence of Donor and Recipient Age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t xml:space="preserve">Diminished regenerative potential in aged donors:</w:t>
        <w:br w:type="textWrapping"/>
        <w:t xml:space="preserve"> Transplants derived from older donors are expected to exhibit:</w:t>
      </w:r>
    </w:p>
    <w:p w:rsidR="00000000" w:rsidDel="00000000" w:rsidP="00000000" w:rsidRDefault="00000000" w:rsidRPr="00000000" w14:paraId="000001FA">
      <w:pPr>
        <w:numPr>
          <w:ilvl w:val="0"/>
          <w:numId w:val="33"/>
        </w:numPr>
        <w:ind w:left="720" w:hanging="360"/>
        <w:jc w:val="both"/>
      </w:pPr>
      <w:r w:rsidDel="00000000" w:rsidR="00000000" w:rsidRPr="00000000">
        <w:rPr>
          <w:rtl w:val="0"/>
        </w:rPr>
        <w:t xml:space="preserve">Reduced activation of key signaling pathways, including Hippo and DPP (Decapentaplegic).</w:t>
      </w:r>
    </w:p>
    <w:p w:rsidR="00000000" w:rsidDel="00000000" w:rsidP="00000000" w:rsidRDefault="00000000" w:rsidRPr="00000000" w14:paraId="000001FB">
      <w:pPr>
        <w:numPr>
          <w:ilvl w:val="0"/>
          <w:numId w:val="33"/>
        </w:numPr>
        <w:ind w:left="720" w:hanging="360"/>
        <w:jc w:val="both"/>
      </w:pPr>
      <w:r w:rsidDel="00000000" w:rsidR="00000000" w:rsidRPr="00000000">
        <w:rPr>
          <w:rtl w:val="0"/>
        </w:rPr>
        <w:t xml:space="preserve">Increased accumulation of oxidative stress markers within cells.</w:t>
      </w:r>
    </w:p>
    <w:p w:rsidR="00000000" w:rsidDel="00000000" w:rsidP="00000000" w:rsidRDefault="00000000" w:rsidRPr="00000000" w14:paraId="000001FC">
      <w:pPr>
        <w:jc w:val="both"/>
        <w:rPr/>
      </w:pPr>
      <w:r w:rsidDel="00000000" w:rsidR="00000000" w:rsidRPr="00000000">
        <w:rPr>
          <w:rtl w:val="0"/>
        </w:rPr>
        <w:t xml:space="preserve">Age-related differences in tissue integration:</w:t>
        <w:br w:type="textWrapping"/>
        <w:t xml:space="preserve"> Transplants introduced into young recipients are anticipated to integrate more efficiently due to the preserved activity of stem cell populations within the host.</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pStyle w:val="Heading4"/>
        <w:rPr/>
      </w:pPr>
      <w:bookmarkStart w:colFirst="0" w:colLast="0" w:name="_6i8zai5kxjgj" w:id="79"/>
      <w:bookmarkEnd w:id="79"/>
      <w:r w:rsidDel="00000000" w:rsidR="00000000" w:rsidRPr="00000000">
        <w:rPr>
          <w:rtl w:val="0"/>
        </w:rPr>
        <w:t xml:space="preserve">1.4.8.3 Sexual Dimorphism</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jc w:val="both"/>
        <w:rPr/>
      </w:pPr>
      <w:r w:rsidDel="00000000" w:rsidR="00000000" w:rsidRPr="00000000">
        <w:rPr>
          <w:rtl w:val="0"/>
        </w:rPr>
        <w:t xml:space="preserve">Enhanced immune response in female hosts:</w:t>
        <w:br w:type="textWrapping"/>
        <w:t xml:space="preserve"> Transplants within female Drosophila are more likely to be rejected due to heightened activation of the Toll signaling pathway and increased expression of immune response genes (LamCa, βTub97EF).</w:t>
      </w:r>
    </w:p>
    <w:p w:rsidR="00000000" w:rsidDel="00000000" w:rsidP="00000000" w:rsidRDefault="00000000" w:rsidRPr="00000000" w14:paraId="00000201">
      <w:pPr>
        <w:jc w:val="both"/>
        <w:rPr/>
      </w:pPr>
      <w:r w:rsidDel="00000000" w:rsidR="00000000" w:rsidRPr="00000000">
        <w:rPr>
          <w:rtl w:val="0"/>
        </w:rPr>
        <w:t xml:space="preserve">Differences in regenerative capacity:</w:t>
        <w:br w:type="textWrapping"/>
        <w:t xml:space="preserve"> Male hosts may exhibit a higher survival rate of intestinal transplants, potentially linked to lower phagocytic activity compared to female counterparts.</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pStyle w:val="Heading4"/>
        <w:rPr/>
      </w:pPr>
      <w:bookmarkStart w:colFirst="0" w:colLast="0" w:name="_h6l7pska7op2" w:id="80"/>
      <w:bookmarkEnd w:id="80"/>
      <w:r w:rsidDel="00000000" w:rsidR="00000000" w:rsidRPr="00000000">
        <w:rPr>
          <w:rtl w:val="0"/>
        </w:rPr>
        <w:t xml:space="preserve">1.4.8.4 Genetic and Immunological Considerations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t xml:space="preserve">Role of genetic markers:</w:t>
        <w:br w:type="textWrapping"/>
        <w:t xml:space="preserve"> GFP/YFP-labeled tissues will allow visualization of transplant integration within the recipient’s body over a period of 7–14 days.</w:t>
      </w:r>
    </w:p>
    <w:p w:rsidR="00000000" w:rsidDel="00000000" w:rsidP="00000000" w:rsidRDefault="00000000" w:rsidRPr="00000000" w14:paraId="00000206">
      <w:pPr>
        <w:jc w:val="both"/>
        <w:rPr/>
      </w:pPr>
      <w:r w:rsidDel="00000000" w:rsidR="00000000" w:rsidRPr="00000000">
        <w:rPr>
          <w:rtl w:val="0"/>
        </w:rPr>
        <w:t xml:space="preserve">Suppression of innate immunity:</w:t>
        <w:br w:type="textWrapping"/>
        <w:t xml:space="preserve"> Mutations in Toll/JNK pathway genes or the application of immunosuppressive techniques will enhance tolerance to allogeneic transplants, increasing their persistence in the host.</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pStyle w:val="Heading4"/>
        <w:rPr/>
      </w:pPr>
      <w:bookmarkStart w:colFirst="0" w:colLast="0" w:name="_ig4j7kbwanuy" w:id="81"/>
      <w:bookmarkEnd w:id="81"/>
      <w:r w:rsidDel="00000000" w:rsidR="00000000" w:rsidRPr="00000000">
        <w:rPr>
          <w:rtl w:val="0"/>
        </w:rPr>
        <w:t xml:space="preserve">1.4.8.5 Practical Applications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t xml:space="preserve">Modeling age-related pathologies:</w:t>
        <w:br w:type="textWrapping"/>
        <w:t xml:space="preserve"> Tissue transplantation from mutant Drosophila strains (e.g., NGLY1-deficient) can replicate phenotypes resembling human diseases, such as protein aggregation disorders.</w:t>
      </w:r>
    </w:p>
    <w:p w:rsidR="00000000" w:rsidDel="00000000" w:rsidP="00000000" w:rsidRDefault="00000000" w:rsidRPr="00000000" w14:paraId="0000020B">
      <w:pPr>
        <w:jc w:val="both"/>
        <w:rPr/>
      </w:pPr>
      <w:r w:rsidDel="00000000" w:rsidR="00000000" w:rsidRPr="00000000">
        <w:rPr>
          <w:rtl w:val="0"/>
        </w:rPr>
        <w:t xml:space="preserve">Regeneration studies:</w:t>
        <w:br w:type="textWrapping"/>
        <w:t xml:space="preserve"> Imaginal discs and midgut stem cells (ISCs) will demonstrate their proliferation and differentiation potential within the host environment, providing insights into regenerative processes.</w:t>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pStyle w:val="Heading4"/>
        <w:rPr/>
      </w:pPr>
      <w:bookmarkStart w:colFirst="0" w:colLast="0" w:name="_4jcvz0pfpbkb" w:id="82"/>
      <w:bookmarkEnd w:id="82"/>
      <w:r w:rsidDel="00000000" w:rsidR="00000000" w:rsidRPr="00000000">
        <w:rPr>
          <w:rtl w:val="0"/>
        </w:rPr>
        <w:t xml:space="preserve">1.4.8.6 Limitations and Artifacts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t xml:space="preserve">Technical challenges:</w:t>
      </w:r>
    </w:p>
    <w:p w:rsidR="00000000" w:rsidDel="00000000" w:rsidP="00000000" w:rsidRDefault="00000000" w:rsidRPr="00000000" w14:paraId="00000210">
      <w:pPr>
        <w:numPr>
          <w:ilvl w:val="0"/>
          <w:numId w:val="35"/>
        </w:numPr>
        <w:ind w:left="720" w:hanging="360"/>
        <w:jc w:val="both"/>
      </w:pPr>
      <w:r w:rsidDel="00000000" w:rsidR="00000000" w:rsidRPr="00000000">
        <w:rPr>
          <w:rtl w:val="0"/>
        </w:rPr>
        <w:t xml:space="preserve">High variability due to the miniature size of tissues, increasing the risk of damage during dissection.</w:t>
      </w:r>
    </w:p>
    <w:p w:rsidR="00000000" w:rsidDel="00000000" w:rsidP="00000000" w:rsidRDefault="00000000" w:rsidRPr="00000000" w14:paraId="00000211">
      <w:pPr>
        <w:numPr>
          <w:ilvl w:val="0"/>
          <w:numId w:val="35"/>
        </w:numPr>
        <w:ind w:left="720" w:hanging="360"/>
        <w:jc w:val="both"/>
      </w:pPr>
      <w:r w:rsidDel="00000000" w:rsidR="00000000" w:rsidRPr="00000000">
        <w:rPr>
          <w:rtl w:val="0"/>
        </w:rPr>
        <w:t xml:space="preserve">Spontaneous gene deletions (e.g., lgl) may introduce confounding effects.</w:t>
      </w:r>
    </w:p>
    <w:p w:rsidR="00000000" w:rsidDel="00000000" w:rsidP="00000000" w:rsidRDefault="00000000" w:rsidRPr="00000000" w14:paraId="00000212">
      <w:pPr>
        <w:jc w:val="both"/>
        <w:rPr/>
      </w:pPr>
      <w:r w:rsidDel="00000000" w:rsidR="00000000" w:rsidRPr="00000000">
        <w:rPr>
          <w:rtl w:val="0"/>
        </w:rPr>
        <w:t xml:space="preserve">Short observation window:</w:t>
        <w:br w:type="textWrapping"/>
        <w:t xml:space="preserve"> The limited lifespan of Drosophila (up to 60 days) constrains the study of chronic rejection mechanisms over extended periods.</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pStyle w:val="Heading4"/>
        <w:rPr/>
      </w:pPr>
      <w:bookmarkStart w:colFirst="0" w:colLast="0" w:name="_tlv0579p88am" w:id="83"/>
      <w:bookmarkEnd w:id="83"/>
      <w:r w:rsidDel="00000000" w:rsidR="00000000" w:rsidRPr="00000000">
        <w:rPr>
          <w:rtl w:val="0"/>
        </w:rPr>
        <w:t xml:space="preserve">1.4.8.7 Recommendations for Data Interpretation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Control of genetic background:</w:t>
        <w:br w:type="textWrapping"/>
        <w:t xml:space="preserve"> Utilizing isogenic lines is recommended to minimize experimental variability.</w:t>
      </w:r>
    </w:p>
    <w:p w:rsidR="00000000" w:rsidDel="00000000" w:rsidP="00000000" w:rsidRDefault="00000000" w:rsidRPr="00000000" w14:paraId="00000217">
      <w:pPr>
        <w:jc w:val="both"/>
        <w:rPr/>
      </w:pPr>
      <w:r w:rsidDel="00000000" w:rsidR="00000000" w:rsidRPr="00000000">
        <w:rPr>
          <w:rtl w:val="0"/>
        </w:rPr>
        <w:t xml:space="preserve">Early monitoring:</w:t>
        <w:br w:type="textWrapping"/>
        <w:t xml:space="preserve"> Fluorescent marker expression (e.g., GFP) should be analyzed between days 3 and 7 post-transplantation to track tissue integration dynamics.</w:t>
      </w:r>
    </w:p>
    <w:p w:rsidR="00000000" w:rsidDel="00000000" w:rsidP="00000000" w:rsidRDefault="00000000" w:rsidRPr="00000000" w14:paraId="00000218">
      <w:pPr>
        <w:jc w:val="both"/>
        <w:rPr/>
      </w:pPr>
      <w:r w:rsidDel="00000000" w:rsidR="00000000" w:rsidRPr="00000000">
        <w:rPr>
          <w:rtl w:val="0"/>
        </w:rPr>
        <w:t xml:space="preserve">Consideration of sex and age variables:</w:t>
        <w:br w:type="textWrapping"/>
        <w:t xml:space="preserve"> Experimental data should be stratified based on sex and age groups to ensure accurate statistical comparisons and interpretations.</w:t>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t xml:space="preserve">These anticipated results contribute to a deeper understanding of aging mechanisms, immune responses, and tissue regeneration using the Drosophila melanogaster model. For further validation, histological analysis and RNA sequencing (RNA-seq) of transplanted tissues are recommended.</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pStyle w:val="Heading6"/>
        <w:jc w:val="both"/>
        <w:rPr/>
      </w:pPr>
      <w:bookmarkStart w:colFirst="0" w:colLast="0" w:name="_rvb769eo1gs" w:id="84"/>
      <w:bookmarkEnd w:id="84"/>
      <w:r w:rsidDel="00000000" w:rsidR="00000000" w:rsidRPr="00000000">
        <w:rPr>
          <w:rtl w:val="0"/>
        </w:rPr>
        <w:t xml:space="preserve">1.5 Structure of the Thesis</w:t>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pStyle w:val="Heading1"/>
        <w:jc w:val="both"/>
        <w:rPr/>
      </w:pPr>
      <w:bookmarkStart w:colFirst="0" w:colLast="0" w:name="_tw48yo44u3o4" w:id="85"/>
      <w:bookmarkEnd w:id="85"/>
      <w:r w:rsidDel="00000000" w:rsidR="00000000" w:rsidRPr="00000000">
        <w:rPr>
          <w:rtl w:val="0"/>
        </w:rPr>
        <w:t xml:space="preserve">Chapter 2: Literature Review</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pStyle w:val="Heading2"/>
        <w:jc w:val="both"/>
        <w:rPr/>
      </w:pPr>
      <w:bookmarkStart w:colFirst="0" w:colLast="0" w:name="_sb55ad74bhav" w:id="86"/>
      <w:bookmarkEnd w:id="86"/>
      <w:r w:rsidDel="00000000" w:rsidR="00000000" w:rsidRPr="00000000">
        <w:rPr>
          <w:rtl w:val="0"/>
        </w:rPr>
        <w:t xml:space="preserve">2.1 Cellular Differentiation</w:t>
      </w:r>
    </w:p>
    <w:p w:rsidR="00000000" w:rsidDel="00000000" w:rsidP="00000000" w:rsidRDefault="00000000" w:rsidRPr="00000000" w14:paraId="00000221">
      <w:pPr>
        <w:pStyle w:val="Heading3"/>
        <w:jc w:val="both"/>
        <w:rPr/>
      </w:pPr>
      <w:bookmarkStart w:colFirst="0" w:colLast="0" w:name="_styr6v6y69it" w:id="87"/>
      <w:bookmarkEnd w:id="87"/>
      <w:r w:rsidDel="00000000" w:rsidR="00000000" w:rsidRPr="00000000">
        <w:rPr>
          <w:rtl w:val="0"/>
        </w:rPr>
        <w:t xml:space="preserve">2.1.1 Introduction</w:t>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t xml:space="preserve">Induction is commonly defined as an effect that arises in response to an external influence. Thus, when a factor present in the cellular microenvironment or surrounding the nucleus induces differentiation in a cell to some extent, this differentiation is attributed to induction.</w:t>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t xml:space="preserve">Differentiation, except for the earliest stages of embryonic development, is typically considered a consequence of induction—that is, the emergence of specific cellular effects under the influence of the surrounding microenvironment. These effects, mediated through the cytoplasm, lead to the expression of various genes in cells that are competent to respond to transcription factors (inducers).</w:t>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t xml:space="preserve">To determine the types of inducers capable of initiating differentiation, it is necessary to investigate environmental factors that can modulate gene expression within a cell in a way that prompts the synthesis of novel proteins. A demonstrative example was discovered through experiments on bacteria, which, unlike eukaryotes, do not undergo differentiation. These experiments illustrated how an external inducer can suppress the activity of one gene while simultaneously activating another. Since this suppression-activation process is reversible, it is classified as modulation rather than differentiation.</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t xml:space="preserve">Bacteria produce both constitutive and inducible enzymes. Constitutive enzymes participate in fundamental metabolic processes and their gene expression does not require environmental cues. In contrast, inducible enzymes are synthesized in very small, trace amounts. For example, Escherichia coli primarily metabolizes glucose. However, in the absence of glucose, the bacterium can utilize lactose after converting it into glucose. This conversion necessitates the enzyme β-galactosidase, which is present only in minimal amounts. When a high concentration of lactose becomes available in the environment, the synthesis of β-galactosidase is significantly upregulated. The influence of the substrate on gene activation is indirect, occurring through a complex system of suppressor genes and operator genes. Regardless of how intricate the activation or deactivation mechanisms of specific genes may be in either prokaryotic or eukaryotic cells, including those of multicellular organisms, modulation should not be mistaken for irreversible differentiation. The term "differentiation" should no longer be applied to modulation, as true differentiation is typically irreversible in normal cells and is associated with structural changes in genetic material. Such changes may only be reversible in sibling cells.</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pStyle w:val="Heading3"/>
        <w:jc w:val="both"/>
        <w:rPr/>
      </w:pPr>
      <w:bookmarkStart w:colFirst="0" w:colLast="0" w:name="_pxpo0y8onkct" w:id="88"/>
      <w:bookmarkEnd w:id="88"/>
      <w:r w:rsidDel="00000000" w:rsidR="00000000" w:rsidRPr="00000000">
        <w:rPr>
          <w:rtl w:val="0"/>
        </w:rPr>
        <w:t xml:space="preserve">2.1.2 Asymmetric Division and Differentiation</w:t>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pPr>
      <w:r w:rsidDel="00000000" w:rsidR="00000000" w:rsidRPr="00000000">
        <w:rPr>
          <w:rtl w:val="0"/>
        </w:rPr>
        <w:t xml:space="preserve">Asymmetric cell division (ACD) represents a highly conserved mechanism that has evolved to generate cellular diversity. The fundamental principle of ACD is the establishment of distinct fates among daughter cells (sibling cells) through mitosis-associated mechanisms. Asymmetric fate determination can be influenced by external signaling cues received by the cell. Alternatively, asymmetric inheritance of intrinsic fate determinants—such as specific proteins or RNAs—can directly drive differential cell fate outcomes. The latter mechanism was first demonstrated over a century ago by Edwin Conklin, who observed that during the early cleavage stages of Ascidiacea embryos, yellow cytoplasm was asymmetrically partitioned to specify muscle cell fate (Conklin, 1905).</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Beyond macromolecules, organelles such as centrosomes, midbodies, mitochondria, the endoplasmic reticulum (ER), and lysosomes have been reported to undergo asymmetric inheritance. Interestingly, the asymmetric distribution of organelles appears to be the norm rather than the exception, yet its precise role in establishing differential cell fates remains unclear in many cases.</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pStyle w:val="Heading4"/>
        <w:jc w:val="both"/>
        <w:rPr/>
      </w:pPr>
      <w:bookmarkStart w:colFirst="0" w:colLast="0" w:name="_54qegzkrf3qn" w:id="89"/>
      <w:bookmarkEnd w:id="89"/>
      <w:r w:rsidDel="00000000" w:rsidR="00000000" w:rsidRPr="00000000">
        <w:rPr>
          <w:rtl w:val="0"/>
        </w:rPr>
        <w:t xml:space="preserve">2.1.2.1 Asymmetry and Selective Inheritance of RNAs and Proteins by Sibling Cells</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t xml:space="preserve">Cell fate decisions can be influenced by the asymmetric distribution of molecular determinants, such as RNA species or proteins. For instance, messenger RNAs (mRNAs) segregated into one sibling cell can rapidly translate into proteins that drive distinct cellular behaviors. Alternatively, regulatory RNAs and proteins can modulate gene expression, protein localization, and cellular function. Often, polarized distribution precedes asymmetric segregation.</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One of the earliest recorded examples of asymmetric RNA localization involved actin isoforms in early Styela plicata embryos, identified via in situ hybridization (Jeffery et al., 1983). More recently, a high-resolution fluorescent in situ hybridization (FISH) analysis of mRNA dynamics during early Drosophila melanogaster development revealed that 71% of genes expressed in this time window exhibit distinct subcellular localization patterns. Notably, many of these genes show polarized distribution, primarily localizing to either the apical or basal cortex of the cell (Lécuyer et al., 2007). Subcellular localization of various RNA species, including mRNAs, long non-coding RNAs, and circular RNAs, has also been identified using a combination of cell fractionation and RNA sequencing in human and Drosophila cells (Bouvrette et al., 2017). Although this study did not explicitly analyze polarized RNA distribution, it clearly demonstrated that most RNAs are localized to specific cellular compartments.</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A compelling example of how asymmetric RNA localization drives cell fate determination was demonstrated in spiral cleavage. In Ilyanassa obsoleta, mRNAs of developmental patterning genes Eve, DPP, and Tld localize to centrosomes during early cleavage cycles and subsequently segregate into one daughter cell during division (Lambert and Nagy, 2002). Centrosomal RNA localization appears to be a dominant mechanism for embryonic patterning in this system, as similar observations have been made for multiple other mRNAs (Kingsley et al., 2007). These RNAs exhibit two distinct intracellular movements: initial attraction to interphase centrosomes, likely via minus-end-directed transport, followed by cortical relocalization into a region inherited exclusively by one daughter cell. Microtubule integrity is essential for centrosomal RNA accumulation, whereas actin filaments mediate subsequent cortical relocalization (Lambert and Nagy, 2002).</w:t>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rtl w:val="0"/>
        </w:rPr>
        <w:t xml:space="preserve">Further mechanistic and functional insights into polarized RNA distribution and segregation have emerged from studies of asymmetrically dividing Drosophila neural stem cells, known as neuroblasts. Neuroblasts divide asymmetrically, yielding a self-renewing neuroblast and a differentiating ganglion mother cell (GMC) (Gallaud et al., 2017). The mRNA of the transcription factor Prospero (Pros; Prox1 in vertebrates) localizes apically during interphase before shifting to the basal cortex in mitosis (Schuldt et al., 1998). This localization is mediated by Inscuteable (Insc) and the RNA-binding protein Staufen (STAU1/2 in vertebrates), which binds the Prospero 3′ untranslated region (Li et al., 1997). These findings highlight the fundamental importance of RNA and protein asymmetry in cell fate determination across multiple biological systems.</w:t>
      </w:r>
    </w:p>
    <w:p w:rsidR="00000000" w:rsidDel="00000000" w:rsidP="00000000" w:rsidRDefault="00000000" w:rsidRPr="00000000" w14:paraId="0000023A">
      <w:pPr>
        <w:jc w:val="both"/>
        <w:rPr/>
      </w:pPr>
      <w:r w:rsidDel="00000000" w:rsidR="00000000" w:rsidRPr="00000000">
        <w:rPr>
          <w:rtl w:val="0"/>
        </w:rPr>
      </w:r>
    </w:p>
    <w:p w:rsidR="00000000" w:rsidDel="00000000" w:rsidP="00000000" w:rsidRDefault="00000000" w:rsidRPr="00000000" w14:paraId="0000023B">
      <w:pPr>
        <w:jc w:val="both"/>
        <w:rPr/>
      </w:pPr>
      <w:r w:rsidDel="00000000" w:rsidR="00000000" w:rsidRPr="00000000">
        <w:rPr>
          <w:rtl w:val="0"/>
        </w:rPr>
        <w:t xml:space="preserve">Other types of RNA also exhibit highly specific subcellular localization patterns and perform distinct functions within different cellular compartments. For example, extensive research has revealed that the long non-coding RNA cherub exhibits a strikingly asymmetric distribution within mitotic larval neuroblasts, where it localizes predominantly to the basal cortex and segregates asymmetrically into the immature neuronal progenitor cell (Landskron et al., 2018). This specific localization of cherub is critically dependent on the RNA-binding protein Staufen, which facilitates its basal positioning. Furthermore, cherub establishes an intricate molecular interplay between Staufen and another RNA-binding protein, Syncrip (Syp; known as heterogeneous nuclear ribonucleoprotein R, or HNRNPR, in humans). Interestingly, despite its well-defined asymmetric segregation, cherub is not required for normal asymmetric cell division (ACD) or standard developmental processes. However, it plays a pivotal role in tumor progression within mutant neural tissue carrying brain tumor mutations ( brat ; homologous to Trim2, Trim3, and Trim32 in vertebrates). Specifically, cherub interferes with the normal temporal progression of neuroblast divisions, allowing tumor cells to evade differentiation constraints and sustain indefinite proliferation.</w:t>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pPr>
      <w:r w:rsidDel="00000000" w:rsidR="00000000" w:rsidRPr="00000000">
        <w:rPr>
          <w:rtl w:val="0"/>
        </w:rPr>
        <w:t xml:space="preserve">Long non-coding RNAs are also instrumental in the establishment of cell fate during early mammalian embryogenesis. In murine embryos, the long non-coding RNA lincGET (Gm45011) has been found to display a transient yet highly asymmetric expression pattern during the critical two- to four-cell transition stage of pre-implantation development (Wang et al., 2018). Functionally, lincGET physically interacts with coactivator-associated arginine methyltransferase 1 (CARM1), directing its nuclear localization. This molecular interaction ultimately biases blastomeres toward an inner cell mass (ICM) fate by promoting the activation of ICM-specific genes. Previous models suggested that lineage segregation occurs at later developmental stages and was closely linked to the expression of the transcription factor CDX2, whose mRNA transcripts localize apically at the eight-cell stage and are inherited asymmetrically, effectively distinguishing pluripotent cells from differentiating ones (Skamagki et al., 2013).</w:t>
      </w:r>
    </w:p>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jc w:val="both"/>
        <w:rPr/>
      </w:pPr>
      <w:r w:rsidDel="00000000" w:rsidR="00000000" w:rsidRPr="00000000">
        <w:rPr>
          <w:rtl w:val="0"/>
        </w:rPr>
        <w:t xml:space="preserve">These examples underscore the critical role of RNA localization in establishing cellular asymmetries, providing a mechanistic basis for the asymmetric segregation of specific transcripts. However, many mechanistic aspects of RNA localization dynamics, as well as the precise cellular and developmental functions of localized RNA species, remain to be elucidated.</w:t>
      </w:r>
    </w:p>
    <w:p w:rsidR="00000000" w:rsidDel="00000000" w:rsidP="00000000" w:rsidRDefault="00000000" w:rsidRPr="00000000" w14:paraId="00000240">
      <w:pPr>
        <w:jc w:val="both"/>
        <w:rPr/>
      </w:pPr>
      <w:r w:rsidDel="00000000" w:rsidR="00000000" w:rsidRPr="00000000">
        <w:rPr>
          <w:rtl w:val="0"/>
        </w:rPr>
        <w:t xml:space="preserve">Beyond RNA, the polarized distribution of proteins and their asymmetric segregation have been extensively studied in Drosophila neuroblasts and C. elegans embryos (Loyer and Januschke, 2020).</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t xml:space="preserve">One of the earliest and most extensively characterized protein families regulating asymmetric cell division is the partitioning-defective (PAR) polarity proteins. Initially discovered in C. elegans as key determinants of zygotic polarization—forming two opposing protein domains within the embryo (Kemphues et al., 1988)—PAR proteins are now recognized as evolutionarily conserved regulators of apical-basal polarity in diverse organisms (Boxem and Heuvel, 2019). In Drosophila neuroblasts, apical-basal polarity is orchestrated by the PAR complex, consisting of Par-3 (BAZ), PAR-6, and atypical protein kinase C (aPKC), which collectively form an apical polarity cap. Notably, aPKC localization at the apical cortex is initiated during early prophase, where it first appears as discrete cortical foci, gradually expanding and coalescing into a crescent-shaped domain by metaphase before dispersing back into smaller cortical patches during telophase (Oon and Prehoda, 2019). The precise mechanism governing the initial recruitment of aPKC to the apical hemisphere remains unresolved, though subsequent crescent formation is dependent on cortical flow dynamics. A similar mechanism has been proposed for Par-3.</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t xml:space="preserve">A recent study uncovered a novel interaction between the second PDZ domain of Par-3 and a highly conserved PDZ-binding motif (PBM) in aPKC (Holly et al., 2020). Par-3 is phosphorylated by the complete PAR complex, and this phosphorylation event induces the dissociation of Par-3's phosphorylation site from the aPKC kinase domain while preserving the Par-3 PDZ2-aPKC PBM interaction. This represents the first direct Par-3-aPKC interaction demonstrated to be essential for the cortical recruitment and polarization of aPKC in neuroblasts.</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t xml:space="preserve">PAR complex activity is crucial for the proper localization of basal cell fate determinants such as Miranda and Numb, which segregate specifically into the ganglion mother cell (GMC) to direct neuronal differentiation. Miranda initially localizes to the apical interphase centrosome in embryonic neuroblasts (Mollinari et al., 2002) but adopts a uniform cortical distribution during interphase in larval neuroblasts (Sousa-Nunes et al., 2009). During metaphase, Miranda undergoes a dramatic shift, forming a basal cortical crescent (Matsuzaki et al., 1998). This basal localization is induced by aPKC-mediated phosphorylation, which actively excludes Miranda from the apical cortex (Atwood and Prehoda, 2009) and is further stabilized by the actomyosin cytoskeleton (Hannaford et al., 2018). Additionally, Miranda's phosphorylation state and subcellular localization are modulated by protein phosphatase 4 and its associated cofactors, including phosphotyrosyl phosphatase activator (PTPA) (Zhang et al., 2015). Functionally, Miranda serves as a cargo protein, transporting translational inhibitors such as Brat and Prospero (Pros). Within GMCs, Prospero represses genes associated with self-renewal—including stem cell fate and cell cycle regulators—while simultaneously activating terminal differentiation programs (Choksi et al., 2006).</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Intriguingly, multiple RNA transcripts and their corresponding protein products exhibit coordinated localization within Drosophila neuroblasts. However, it remains unclear whether the asymmetric positioning of mRNA correlates with localized protein translation, necessitating further investigation into the functional significance of RNA localization in this context.</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pStyle w:val="Heading4"/>
        <w:jc w:val="both"/>
        <w:rPr/>
      </w:pPr>
      <w:bookmarkStart w:colFirst="0" w:colLast="0" w:name="_7h09rlysh5ue" w:id="90"/>
      <w:bookmarkEnd w:id="90"/>
      <w:r w:rsidDel="00000000" w:rsidR="00000000" w:rsidRPr="00000000">
        <w:rPr>
          <w:rtl w:val="0"/>
        </w:rPr>
        <w:t xml:space="preserve">2.1.2.2 Cytoskeleton asymmetry</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Centrosomal mRNA localization suggests molecular and/or structural asymmetries between centrosomes within the same cell. A striking example of this phenomenon occurs in Drosophila neuroblasts, where centrosomes exhibit distinct microtubule-organizing center (MTOC) activity profiles, particularly during interphase. Centrosomes comprise two centrioles encased within a pericentriolar matrix (PCM), which is essential for MTOC function. During each cell cycle, centrioles undergo replication, whereby a “daughter” centriole forms orthogonally adjacent to the older “mother” centriole. As the cell cycle progresses, the centrioles disengage, forming two mature MTOCs that establish the bipolar mitotic spindle (Conduit et al., 2015). This replication cycle inherently introduces an age asymmetry between centrioles, which has been corroborated by molecular markers (Jakobsen et al., 2011; Januschke et al., 2011). In neuroblasts, the daughter centriole-containing centrosome maintains active microtubule nucleation throughout interphase, whereas the mother centriole-containing centrosome suppresses MTOC activity upon neuroblast entry into interphase. This differential MTOC activity helps align the mitotic spindle along the neuroblast’s apical-basal polarity axis, as the active MTOC remains anchored to the apical cortex. The mother centriole-containing centrosome is inactivated through PCM shedding, leading to its displacement from the apical cortex. By prophase, both centrosomes reaccumulate PCM components and regain microtubule nucleation capacity (Lerit and Rusan, 2013). This stereotyped MTOC behavior results in biased centrosome segregation, where the apical centrosome, containing the younger daughter centriole, is retained in the self-renewing neuroblast, while the mother centriole is inherited by the differentiating GMC.</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t xml:space="preserve">Similar biased centrosome inheritance patterns have been observed in Drosophila germline stem cells (Salzmann et al., 2014), mouse neural stem cells (Wang et al., 2009), and budding yeast (Pereira et al., 2001).</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In male germline stem cells (GSCs) of Drosophila, the differential activity of the microtubule-organizing center (MTOC) is strongly associated with the maturity of the centrosome. Specifically, the older centrosome, which contains the maternal centriole, maintains the pericentriolar material (PCM) and MTOC activity, ensuring that it remains anchored near the stem cell niche (Yamashita et al., 2007). This asymmetric behavior of the centrosome plays a critical role in the maintenance of stem cell identity and division orientation. However, in Drosophila neuroblasts, cortical signaling pathways, particularly those mediated through the polarity protein Partner of inscuteable (Pins; known as LGN (Gpsm2) and AGS3 (Gpsm1) in vertebrates), significantly influence the asymmetric regulation of MTOC activity (Rebollo et al., 2007).</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t xml:space="preserve">Similarly, in yeast, studies have shown that spatial signaling mechanisms, rather than the kinetic process of spindle pole body (SPB) maturation, are responsible for controlling the asymmetry in astral microtubule organization between pre-existing and newly formed SPBs (Lengefeld et al., 2017). The precise mechanisms by which such spatial signals exert control over differential MTOC activity remain unclear. However, research on Drosophila neuroblasts suggests that MTOC asymmetry can be regulated by the mitotic kinase Polo (Plk1 in vertebrates). Polo has been found to phosphorylate various PCM proteins, an essential step for sustaining MTOC activity (Feng et al., 2017). Furthermore, the maintenance of Polo/Plk1 at the daughter centriole is crucial for ensuring the integrity of PCM and its associated MTOC function (Conduit and Raff, 2010).</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While the apically positioned daughter centriole retains Polo/Plk1, thereby preserving MTOC activity, the maternal centriole acts oppositely by suppressing Polo/Plk1 and depleting its associated PCM components, resulting in the loss of MTOC activity. Consequently, this causes the maternal centriole to detach from the apical cortex of the neuroblast (Ramdas Nair et al., 2016). Interestingly, Polo-like kinase 4 (Plk4; also referred to as SAK), a pivotal regulator of centriole duplication, has also been implicated in establishing centriole asymmetry and the associated differential MTOC activity. Plk4 phosphorylates Spd-2, a process that triggers basal-like centriole behavior (Gambarotto et al., 2019). Notably, this asymmetric MTOC activity in neuroblasts is transient and disappears during mitosis, when the centrosome containing the maternal centriole initiates maturation, thereby re-establishing a second functional MTOC.</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t xml:space="preserve">In yeast, the differential dynamics of microtubule growth have been attributed to the kinesin Kip2, which is selectively recruited to the older SPB (Chen et al., 2019). Kip2 plays a crucial role in preventing microtubule catastrophe and promoting microtubule extension (Hibbel et al., 2015). Phosphorylation of Kip2 is critical in ensuring that microtubules do not bind randomly, initially restricting its activity to the minus-end. Thus, the recruitment of Kip2, which is regulated by Bub2 and Bfa (Bfa1), may account for the generation of longer astral microtubules emanating from the older SPB, owing to Kip2’s ability to prevent microtubule catastrophe and support their elongation.</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As MTOCs are fundamental to the formation of bipolar spindles, the asymmetric activity of MTOCs may also contribute to spindle asymmetry, which could have significant implications for the shape and size of sibling cells. The kinesin Klp10A, which acts as a microtubule-depolymerizing enzyme, is specifically localized to the centrosome of male GSCs in Drosophila. Loss of Klp10A results in abnormal elongation of the maternal centrosome in GSCs, leading to an abnormally large MTOC and an associated half-spindle, which, in turn, gives rise to an asymmetric mitotic spindle. Ultimately, this results in the division of GSCs into daughter cells of unequal size (Chen et al., 2016). Thus, Klp10A actively counteracts spindle asymmetry by preventing unequal formation of sibling cells.</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t xml:space="preserve">Mutations in cell polarity proteins can also affect spindle asymmetry (Cai et al., 2003), though the underlying molecular mechanisms remain largely unexplored. Evidence for the role of centrosomal proteins in maintaining spindle symmetry has also been observed in human cells. For instance, the centrosomal coiled-coil domain-containing protein 61 (CCDC61) is essential for spindle assembly and chromosome alignment in cultured human cells; depletion of CCDC61 results in a loss of internal symmetry within spindle-associated microtubule tracks (Bärenz et al., 2018).</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t xml:space="preserve">Spindle morphology must also be tightly regulated in acentrosomal cells, such as oocytes. In Drosophila oocytes, acentrosomal spindles are generally symmetrical, but loss of the kinesin-5 motor protein (Klp61F) leads to asymmetric bipolar spindles, where one half of the spindle contains a greater density of microtubules (Radford et al., 2016). Although the precise role of kinesin-5 in preventing asymmetric spindle formation remains unclear, simultaneous depletion of kinesin-6 (Subito) alongside Klp61F exacerbates the asymmetric spindle phenotype, suggesting that both kinesin-5 and kinesin-6 contribute to spindle symmetry in Drosophila oocytes.</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t xml:space="preserve">Spindle asymmetry has been identified as a crucial regulator of Notch signaling in asymmetrically dividing sensory organ precursor (SOP) cells in Drosophila. In this system, Klp10A and its antagonist Patronin establish spindle asymmetry, which, in turn, directs the polarized mobility of endosomes, thereby mediating biased transport of Sara-containing endosomes into one sibling cell (Derivery et al., 2015). This polarized trafficking of Sara endosomes is an essential mechanism for facilitating asymmetric Notch/Delta signaling during SOP division in Drosophila (Coumailleau et al., 2009). Spindle asymmetry has also been proposed as a mechanism for biased chromosome segregation during meiosis, commonly referred to as meiotic drive (Kursel and Malik, 2018). This phenomenon has been demonstrated in mouse oocytes, which utilize CDC42 signaling from the cell cortex to regulate tubulin tyrosination, thereby establishing spindle asymmetry and promoting non-Mendelian segregation of bivalents (Akera et al., 2017).</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What is the connection between spindle asymmetry and sibling cell size asymmetry? Studies on mutant Drosophila GSCs lacking Klp10A demonstrate that enhanced MTOC activity at the stem cell centrosome leads to asymmetric spindle formation and, consequently, the generation of daughter cells of unequal size, despite the fact that GSCs typically divide symmetrically in terms of size. Likewise, loss of the Drosophila polarity protein Pins, which influences MTOC activity during interphase and spindle asymmetry during mitosis (Yu et al., 2000), causes neuroblasts to divide into equal-sized daughter cells (Cabernard et al., 2010). However, whether size asymmetry is exclusively determined by spindle asymmetry remains uncertain.</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t xml:space="preserve">Recent studies indicate that cortical signaling pathways can override intrinsic spindle asymmetry. For instance, Drosophila neuroblasts lacking Protein kinase N (Pkn; Pkn1-3 in vertebrates) exhibit transient defects in sibling cell size asymmetry during mitosis. Unlike wild-type neuroblasts, which generate a large apical neuroblast and a small ganglion mother cell (GMC), pkn mutant neuroblasts initially show a reduced apical domain and an expanded basal cortex in early anaphase (Tsankova et al., 2017). This transient inversion of asymmetry appears to be linked to altered localization of non-muscle myosin II (myosin). Further studies are required to fully understand these complex mechanisms.</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t xml:space="preserve">A fundamental principle emerging from these studies is that cells employ multiple distinct mechanisms to establish asymmetry in the size of sibling cells (Roubinet and Cabernard, 2014). As previously mentioned, both centrosome-dependent and centrosome-independent mechanisms can result in asymmetric mitotic spindles, which in turn displace the cleavage furrow toward one side of the cell cortex. This displacement of the mitotic spindle under these conditions leads to physical asymmetric cell division (ACD) (Sallé et al., 2018). Similarly, in sea urchin embryos, ACD occurs to generate micromeres—small organizer cells that provide inductive signals to neighboring cells crucial for gastrulation—at the vegetal poles of embryos during the transition from the 8-cell stage to the 16-cell stage. Micromeres are smaller than their macromere sibling cells and inherit the RNA helicase protein Vasa (Juliano et al., 2006). The polarity factor AGS is both necessary and sufficient for establishing this physical and molecular ACD. The AGS of sea urchins contains three GoLoco motifs, whereas the AGS of sea stars lacks GoLoco motif #1. Recent findings demonstrate that the expression of sea urchin AGS in sea star embryos is sufficient to induce physical ACDs (Poon et al., 2019). Additionally, a primary cortical force-generation mechanism responsible for such cortical pulling forces is evolutionarily conserved and comprises the Dynein-Dynactin complex, NuMA (Lin5 in C. elegans; Mud in Drosophila), and the Gαi complex (GOA-1, GPA-16 in C. elegans; Gαi in Drosophila) (Kiyomitsu, 2019). Cell shape, adhesion geometry, intercellular junctions, and mechanical tension are additional factors that dictate spindle orientation and positioning (van Leen et al., 2020). Lastly, as observed in Drosophila and C. elegans neuroblasts, measurable dynamic changes in the cell cortex during anaphase can induce asymmetry in sibling cell sizes. Intriguingly, recent studies in the developing chordate Ciona have revealed that different chordate blastomeres employ a combination of polarized mitotic spindle displacement, maternal cell shape, and post-anaphase mechanisms across various rounds of cell division to establish unequal sibling cell sizes (Winkley et al., 2019).</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pPr>
      <w:r w:rsidDel="00000000" w:rsidR="00000000" w:rsidRPr="00000000">
        <w:rPr>
          <w:rtl w:val="0"/>
        </w:rPr>
        <w:t xml:space="preserve">Another poorly described mechanism for generating sibling cells of unequal size is employed by many mollusks and certain species of annelid worms (Chen et al., 2006). These invertebrates generate two sibling cells of distinct sizes by forming and reintegrating a polar lobe. Polar lobes, also known as antipolar or yolk lobes, are transient vegetal protrusions that form during the first and second embryonic divisions, sequestering vegetal cytoplasm, which is subsequently inherited by CD and D blastomeres (Morgan, 1933). Most studies on polar lobe formation and resorption have been conducted in the snail I. obsoleta, revealing that both actin and myosin are essential for polar lobe formation and resorption (Hejnol and Pfannenstiel, 1998). Research using two closely related scallop species, Chlamys hastada and C. rubida, demonstrated that the region of the cell cortex designated for polar lobe sequestration is marked by enrichment of the Arp2/3 complex. Moreover, inhibition of Arp2/3 disrupts polar lobe formation and cytoplasmic partitioning into sibling cells, suggesting that Arp2/3 plays a functional role in specifying the cortical region that will be sequestered into the polar lobe (Toledo-Jacobo et al., 2019). The molecular mechanisms underpinning polar lobe formation remain largely unknown, but classical microsurgical experiments have shown that polar lobes play a pivotal role in cell fate determination (Render, 1989).</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Much more could be learned about ACD by studying unconventional or emerging model systems such as snails and scallops; however, the current lack of molecular tools for investigating these species remains a limiting factor in understanding these processes.</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pStyle w:val="Heading4"/>
        <w:jc w:val="both"/>
        <w:rPr/>
      </w:pPr>
      <w:bookmarkStart w:colFirst="0" w:colLast="0" w:name="_pqo62j4kaplo" w:id="91"/>
      <w:bookmarkEnd w:id="91"/>
      <w:r w:rsidDel="00000000" w:rsidR="00000000" w:rsidRPr="00000000">
        <w:rPr>
          <w:rtl w:val="0"/>
        </w:rPr>
        <w:t xml:space="preserve">2.1.2.3 Centrosome, Histone, and Chromosome Segregation Asymmetry</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t xml:space="preserve">Epigenetic mechanisms (related to the cell nucleus) play a crucial role in specifying cell fate by modifying chromatin structure and regulating gene expression. Studies have demonstrated that during asymmetric division of male germline stem cells (GSCs) in Drosophila, pre-existing canonical histones H3 and H4 are preferentially retained by the stem cell, whereas newly synthesized H3 and H4 are inherited by the differentiating daughter cell, known as the gonial blast (Wooten et al., 2019). In contrast, H2A and H2B are symmetrically distributed. Loss of H3T3P phosphorylation disrupts asymmetric H3 inheritance, leading to stem cell loss and the formation of early-stage germline tumors (Xie et al., 2015).</w:t>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Spindle asymmetry and centromeric modifications bias chromatid segregation. In male GSCs of Drosophila, the mother centrosome generates an active microtubule-organizing center (MTOC) before the daughter centrosome. Asymmetry in nuclear envelope breakdown subsequently allows microtubules from the mother centrosome to attach to sister chromatids containing larger kinetochores. Sister centromeres are differentially enriched in proteins involved in centromere specification and kinetochore function. This results in preferential recognition and attachment of microtubules to asymmetric sister kinetochores and centromeres, ensuring that epigenetically distinct sister chromatids are asymmetrically partitioned in male GSCs (MT, microtubules).</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t xml:space="preserve">Another form of epigenetic modification occurs at centromeres, which, along with kinetochore proteins, form microtubule attachment sites essential for accurate chromosome segregation. Centromeric chromatin lacks a specific DNA sequence but is epigenetically defined by the histone H3 variant CENP-A (CID in flies) (Allshire and Karpen, 2008). In Drosophila intestinal stem cells, previously synthesized CENP-A is preferentially retained by the stem cell, whereas differentiating progenitor cells are enriched with newly assembled CENP-A (García del Arco et al., 2018). The mechanisms and functional consequences of this biased CENP-A segregation remain to be elucidated. Similarly, CENP-A has been found to be asymmetrically enriched on the sister chromatid segregating into GSCs in male Drosophila testes. How this epigenetic modification influences chromatid segregation and potentially cell fate decisions remains an open question. Data, primarily from Drosophila GSC studies, suggest that the kinetochore protein Ndc80 is also asymmetrically localized, correlating with CENP-A enrichment. As mentioned earlier, the nuclear envelope specifically ruptures first on the presumptive GSC side, creating an opening for microtubules from the more active mother centrosome to penetrate and attach to chromatids exhibiting higher concentrations of Ndc80. This may, in turn, lead to biased chromatid segregation. This mechanism closely resembles the process observed in mouse oocytes, which also exhibit asymmetric microtubule attachment to kinetochore complexes, thereby biasing chromosome segregation (Akera et al., 2019). This "meiotic drive" in oocytes is determined by centromeric differences between homologous chromosomes, whereas "mitotic drive" occurs between genetically identical sister chromatids. Since sister centromeres are theoretically identical in sequence, CENP-A must be asymmetrically assembled via an as-yet-unknown mechanism (Wooten et al., 2019b), necessitating further research to uncover the molecular underpinnings of this event.</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pStyle w:val="Heading4"/>
        <w:jc w:val="both"/>
        <w:rPr/>
      </w:pPr>
      <w:bookmarkStart w:colFirst="0" w:colLast="0" w:name="_gu27ae6kv8pc" w:id="92"/>
      <w:bookmarkEnd w:id="92"/>
      <w:r w:rsidDel="00000000" w:rsidR="00000000" w:rsidRPr="00000000">
        <w:rPr>
          <w:rtl w:val="0"/>
        </w:rPr>
        <w:t xml:space="preserve">2.1.2.4 Asymmetric separation of protein aggregates and organelles</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Protein aggregates arise when hydrophobic regions of multiple unfolded polypeptides adhere to one another, forming stable or semi-stable complexes. This phenomenon occurs when proteins lose their native conformation due to external stress factors, such as elevated temperatures, oxidative stress, or aging-related cellular deterioration. A crucial cellular mechanism for mitigating these potentially harmful protein interactions involves the activity of small heat shock proteins (sHsp), which function as the first line of defense against irreversible protein aggregation. These molecular chaperones play a protective role by stabilizing misfolded or partially denatured proteins and preventing them from forming insoluble toxic aggregates.</w:t>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t xml:space="preserve">For instance, when cells experience a heat shock, proteins that have lost their proper three-dimensional structure expose previously buried hydrophobic regions, which can lead to aberrant intermolecular interactions. Such interactions frequently result in the formation of cytotoxic, insoluble protein aggregates that disrupt normal cellular function. The association of small heat shock proteins with these unfolded or misfolded protein substrates serves to prevent their uncontrolled aggregation and accumulation. Additionally, this interaction facilitates the subsequent refolding and functional restoration of these proteins through the action of ATP-dependent chaperones, such as Hsp104p, which plays a pivotal role in protein disaggregation and reactivation (Liberek et al., 2008).</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t xml:space="preserve">A particularly effective strategy for minimizing the accumulation of protein aggregates within a cellular population is asymmetric division, a process observed in certain unicellular organisms. A prime example of this occurs in budding yeast, where dividing cells restrict protein aggregates to the aging mother cell, ensuring that the newly formed daughter cell remains rejuvenated and free from toxic aggregates. This segregation mechanism contributes to the maintenance of cellular fitness across generations.</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t xml:space="preserve">Hsp26p, a small heat shock chaperone, is specifically involved in the regulation of proteostasis and is known to associate with various aggregation-prone proteins (Cashikar et al., 2005). Under optimal growth conditions, the expression of Hsp26p remains low; however, it is dramatically upregulated in response to oxidative stress, heat shock, or nutrient depletion—conditions that drive cells into a stationary phase (Franzmann et al., 2008). Hsp26p belongs to a specialized class of proteins known as long-lived asymmetrically retained proteins (LARP), which have the ability to form distinct cytoplasmic foci that can be visualized microscopically. These Hsp26p-containing foci emerge when cells enter the stationary phase or following exposure to heat stress. Notably, these localized clusters, which may be directly associated with protein aggregates, are retained almost exclusively within the mother cells upon re-entry into the proliferative state or following recovery to normal physiological temperatures (Thayer et al., 2014).</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This intricate system of protein quality control highlights the essential role of molecular chaperones in cellular homeostasis and demonstrates how asymmetric inheritance of damaged or aggregated proteins serves as a crucial mechanism for maintaining the viability and longevity of progeny cells.</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t xml:space="preserve">The restriction of protein aggregates by an aging mother cell is a complex and tightly regulated process that necessitates the involvement of genes responsible for generating cellular asymmetry (AGG). These genes orchestrate the uneven inheritance of aggregated proteins, ensuring that damaged or misfolded proteins are retained in the mother cell while daughter cells inherit a proteome of higher quality. A recent genome-wide screening for AGG candidates in yeast has highlighted the role of vesicular trafficking, membrane fusion, and myosin-dependent vacuole inheritance in this asymmetric process.</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pPr>
      <w:r w:rsidDel="00000000" w:rsidR="00000000" w:rsidRPr="00000000">
        <w:rPr>
          <w:rtl w:val="0"/>
        </w:rPr>
        <w:t xml:space="preserve">For instance, it has been demonstrated that the vacuole inheritance adapter protein Vac17 and the endocytic vesicle-associated dynamin-like protein Vps1 regulate asymmetry and replicative lifespan through Myo2-dependent effects on endocytosis and spatial protein quality control (Hill et al., 2016). Furthermore, asymmetric segregation of protein aggregates in yeast may also be facilitated through compartmentalization of the endoplasmic reticulum (ER). Specifically, protein deposit precursors, which consist of misfolded proteins and aggregation seeds, are captured by the ER membrane-associated chaperone Ydj1. Subsequently, an ER lateral diffusion barrier—a specialized ER membrane domain located at the bud neck that demarcates the maternal ER from that of the bud (Clay et al., 2014)—further promotes asymmetric partitioning of aggregates (Saarikangas et al., 2017).</w:t>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pPr>
      <w:r w:rsidDel="00000000" w:rsidR="00000000" w:rsidRPr="00000000">
        <w:rPr>
          <w:rtl w:val="0"/>
        </w:rPr>
        <w:t xml:space="preserve">The asymmetric segregation of damaged proteins is not confined to yeast but is involved in various crucial biological processes, including neuroprotection in multicellular organisms and the rejuvenation of newborn microbial cells either during successive divisions or in response to environmental stress recovery (Moore and Jessberger, 2017). Notably, ER diffusion barriers have also been shown to facilitate the asymmetric segregation of damaged proteins between the daughter cells of mammalian neural stem cells (Moore et al., 2015).</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jc w:val="both"/>
        <w:rPr/>
      </w:pPr>
      <w:r w:rsidDel="00000000" w:rsidR="00000000" w:rsidRPr="00000000">
        <w:rPr>
          <w:rtl w:val="0"/>
        </w:rPr>
        <w:t xml:space="preserve">Mitochondria, the powerhouses of the cell, are essential for ATP production and cellular energy metabolism. Their precise segregation is crucial for maintaining cellular health and ensuring the proper fate of sibling cells (Mishra and Chan, 2014). In yeast, the distribution of mitochondria to the buds is tightly regulated, whereas the amount of mitochondria retained in the mother cell progressively declines with age (Rafelski et al., 2012). It is hypothesized that older, less functional mitochondria are preferentially retained in the mother cell, while buds receive highly functional organelles (Pernice et al., 2016). The anterograde (bud-directed) transport of mitochondria is mediated by Myo2 (Chernyakov et al., 2013). A recent genetic screen has uncovered an unexpected interaction between myo2 and genes required for mitochondrial fusion; when Myo2 transport capacity is constrained, mitochondria must be in a fused state to ensure an adequate mitochondrial supply to the bud. Conversely, fused mitochondria support the retention of a critical mitochondrial population in the mother cell when bud-directed transport is enhanced (Böckler et al., 2017). Intriguingly, mechanisms that govern the sequestration of damaged cytosolic proteins and aggregates in the mother cell may also contribute to biased mitochondrial inheritance (Zhou et al., 2014). Based on these findings, it has been proposed that minimal Myo2 activity is required for mitochondrial retention in the mother cell and for aggregate capture, thereby securing aggregate sequestration. In contrast, heightened Myo2 activity promotes the transport of mitochondria-associated aggregates to the bud, disrupting aggregate retention. Thus, finely tuned Myo2-dependent mitochondrial transport is essential for confining cytosolic protein aggregates within the mother cell.</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t xml:space="preserve">Evidence linking asymmetric mitochondrial inheritance to stemness has also emerged. Human mammary epithelial stem-like cells (SLCs) inherit fewer old mitochondria and maintain stem cell properties, as reflected in their capacity to form mammospheres (Katajisto et al., 2015). Stem cells often sequester mitochondria containing aged proteins into distinct subcellular domains through a mechanism involving the dynamin-related protein Drp1, a key mediator of mitochondrial fission and autophagy (Mao et al., 2013). Disrupting mitochondrial fission impairs both age-associated subcellular localization and mitochondrial segregation, leading to the loss of stemness in daughter cells. Notably, SLCs exhibit an elevated mitophagy-to-autophagy ratio, suggesting that mitochondrial quality is critical for SLC identity and for asymmetric mitochondrial inheritance. This implies that any perturbation compromising mitochondrial quality control mechanisms would either act as a signal prompting SLCs to halt asymmetric mitochondrial segregation or, alternatively, overwhelm their ability to efficiently partition aged mitochondria. Remarkably, the stem cell sibling that retains the parental stem-like potential selectively inherits all newly synthesized molecules, structures, and organelles—yet, at the same time, it exclusively inherits the old maternal centriole.</w:t>
      </w:r>
    </w:p>
    <w:p w:rsidR="00000000" w:rsidDel="00000000" w:rsidP="00000000" w:rsidRDefault="00000000" w:rsidRPr="00000000" w14:paraId="00000287">
      <w:pPr>
        <w:jc w:val="both"/>
        <w:rPr/>
      </w:pPr>
      <w:r w:rsidDel="00000000" w:rsidR="00000000" w:rsidRPr="00000000">
        <w:rPr>
          <w:rtl w:val="0"/>
        </w:rPr>
      </w:r>
    </w:p>
    <w:p w:rsidR="00000000" w:rsidDel="00000000" w:rsidP="00000000" w:rsidRDefault="00000000" w:rsidRPr="00000000" w14:paraId="00000288">
      <w:pPr>
        <w:jc w:val="both"/>
        <w:rPr/>
      </w:pPr>
      <w:r w:rsidDel="00000000" w:rsidR="00000000" w:rsidRPr="00000000">
        <w:rPr/>
        <mc:AlternateContent>
          <mc:Choice Requires="wpg">
            <w:drawing>
              <wp:inline distB="114300" distT="114300" distL="114300" distR="114300">
                <wp:extent cx="5943600" cy="4434483"/>
                <wp:effectExtent b="0" l="0" r="0" t="0"/>
                <wp:docPr id="2" name=""/>
                <a:graphic>
                  <a:graphicData uri="http://schemas.microsoft.com/office/word/2010/wordprocessingGroup">
                    <wpg:wgp>
                      <wpg:cNvGrpSpPr/>
                      <wpg:grpSpPr>
                        <a:xfrm>
                          <a:off x="0" y="45250"/>
                          <a:ext cx="5943600" cy="4434483"/>
                          <a:chOff x="0" y="45250"/>
                          <a:chExt cx="9753600" cy="7269950"/>
                        </a:xfrm>
                      </wpg:grpSpPr>
                      <wps:wsp>
                        <wps:cNvSpPr/>
                        <wps:cNvPr id="6" name="Shape 6"/>
                        <wps:spPr>
                          <a:xfrm>
                            <a:off x="-20025" y="50025"/>
                            <a:ext cx="9867000" cy="7265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50025" y="130100"/>
                            <a:ext cx="9703500" cy="420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Figure 2.1.2.1. Selective inheritance of newly formed structures and organelles during the transfer of the old maternal centriole to the sibling that maintains stem-like potential</w:t>
                              </w:r>
                            </w:p>
                          </w:txbxContent>
                        </wps:txbx>
                        <wps:bodyPr anchorCtr="0" anchor="t" bIns="91425" lIns="91425" spcFirstLastPara="1" rIns="91425" wrap="square" tIns="91425">
                          <a:noAutofit/>
                        </wps:bodyPr>
                      </wps:wsp>
                      <pic:pic>
                        <pic:nvPicPr>
                          <pic:cNvPr id="8" name="Shape 8" title="2121.png"/>
                          <pic:cNvPicPr preferRelativeResize="0"/>
                        </pic:nvPicPr>
                        <pic:blipFill>
                          <a:blip r:embed="rId6">
                            <a:alphaModFix/>
                          </a:blip>
                          <a:stretch>
                            <a:fillRect/>
                          </a:stretch>
                        </pic:blipFill>
                        <pic:spPr>
                          <a:xfrm>
                            <a:off x="1738313" y="633413"/>
                            <a:ext cx="6276975" cy="6048375"/>
                          </a:xfrm>
                          <a:prstGeom prst="rect">
                            <a:avLst/>
                          </a:prstGeom>
                          <a:noFill/>
                          <a:ln>
                            <a:noFill/>
                          </a:ln>
                        </pic:spPr>
                      </pic:pic>
                      <wps:wsp>
                        <wps:cNvSpPr txBox="1"/>
                        <wps:cNvPr id="9" name="Shape 9"/>
                        <wps:spPr>
                          <a:xfrm>
                            <a:off x="100075" y="6764800"/>
                            <a:ext cx="9653400" cy="4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434483"/>
                <wp:effectExtent b="0" l="0" r="0" t="0"/>
                <wp:docPr id="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43600" cy="44344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pPr>
      <w:r w:rsidDel="00000000" w:rsidR="00000000" w:rsidRPr="00000000">
        <w:rPr>
          <w:rtl w:val="0"/>
        </w:rPr>
        <w:t xml:space="preserve">A Drp1-dependent mechanism has also been observed in activated lymphocytes, which utilize asymmetric cell division (ACD) to coordinate differentiation and self-renewal (Adams et al., 2016). Here, uneven elimination of aged mitochondria dictates differential sibling cell fates: daughter cells that purge more mitochondria undergo self-renewal, whereas sibling cells that retain more mitochondria proceed toward differentiation. Correspondingly, genetic and pharmacological inhibition of Drp1 enhances differentiation and elevates mitochondrial and cellular reactive oxygen species (ROS) levels. Cells exhibiting higher mitochondrial ROS accumulation exhibit impaired clearance of aged mitochondria. Conversely, ROS scavenging via N-acetyl-L-cysteine (NAC) enhances mitochondrial clearance and promotes self-renewal. Confocal microscopy has revealed that the subcellular distribution of aged mitochondria is largely symmetrical during metaphase and early telophase. However, as cytokinesis progresses, mitochondrial abundance frequently becomes skewed between sibling cells. In summary, ROS signaling plays a pivotal role in facilitating the removal of aged mitochondria in differentiated daughter cells.</w:t>
      </w:r>
    </w:p>
    <w:p w:rsidR="00000000" w:rsidDel="00000000" w:rsidP="00000000" w:rsidRDefault="00000000" w:rsidRPr="00000000" w14:paraId="0000028B">
      <w:pPr>
        <w:jc w:val="both"/>
        <w:rPr/>
      </w:pPr>
      <w:r w:rsidDel="00000000" w:rsidR="00000000" w:rsidRPr="00000000">
        <w:rPr>
          <w:rtl w:val="0"/>
        </w:rPr>
      </w:r>
    </w:p>
    <w:p w:rsidR="00000000" w:rsidDel="00000000" w:rsidP="00000000" w:rsidRDefault="00000000" w:rsidRPr="00000000" w14:paraId="0000028C">
      <w:pPr>
        <w:jc w:val="both"/>
        <w:rPr/>
      </w:pPr>
      <w:r w:rsidDel="00000000" w:rsidR="00000000" w:rsidRPr="00000000">
        <w:rPr>
          <w:rtl w:val="0"/>
        </w:rPr>
        <w:t xml:space="preserve">Mitochondrial asymmetry is also evident during meiosis I in mice, where the majority of mitochondria are retained in the oocyte rather than the polar body, which ultimately degenerates (Dalton and Carroll, 2013). This asymmetric mitochondrial distribution is crucial, as oocytes do not replicate mitochondria until fertilization. Moreover, blocking glycolysis before the blastocyst stage renders mitochondria the sole ATP source during early embryonic development (Dumollard et al., 2007). Biased mitochondrial partitioning during meiosis involves meiotic spindle mechanisms and spindle displacement. Initially, mitochondria accumulate around the spindle but are then transported toward the oocyte side along microtubules in a kinesin- and dynein-dependent manner. Subsequently, the meiotic spindle migrates toward the cortex during polar body extrusion in meiosis I (Ledan et al., 2001). This spindle migration process necessitates the actin cytoskeleton; in its absence, mitochondria remain symmetrically distributed (Mogessie et al., 2018).</w:t>
      </w:r>
    </w:p>
    <w:p w:rsidR="00000000" w:rsidDel="00000000" w:rsidP="00000000" w:rsidRDefault="00000000" w:rsidRPr="00000000" w14:paraId="0000028D">
      <w:pPr>
        <w:jc w:val="both"/>
        <w:rPr/>
      </w:pPr>
      <w:r w:rsidDel="00000000" w:rsidR="00000000" w:rsidRPr="00000000">
        <w:rPr>
          <w:rtl w:val="0"/>
        </w:rPr>
      </w:r>
    </w:p>
    <w:p w:rsidR="00000000" w:rsidDel="00000000" w:rsidP="00000000" w:rsidRDefault="00000000" w:rsidRPr="00000000" w14:paraId="0000028E">
      <w:pPr>
        <w:jc w:val="both"/>
        <w:rPr/>
      </w:pPr>
      <w:r w:rsidDel="00000000" w:rsidR="00000000" w:rsidRPr="00000000">
        <w:rPr>
          <w:rtl w:val="0"/>
        </w:rPr>
        <w:t xml:space="preserve">Similarly, lysosomes segregate asymmetrically in dividing keratinocytes, concentrating near the centrosomal side of the nucleus just before mitosis and subsequently partitioning preferentially into one daughter cell (Lång et al., 2018). Keratinocytes enriched with lysosomes exhibit higher colony turnover rates, a hallmark of human keratinocyte stemness (Nanba et al., 2016), and give rise to colonies expressing the stem cell marker cytokeratin 15 (K15; KRT15).</w:t>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t xml:space="preserve">Hematopoietic stem cells (HSCs) also exhibit biased segregation of the cellular degradation machinery, including lysosomes, autophagosomes, and mitophagosomes, during asymmetric divisions (Loeffler et al., 2019). Furthermore, asymmetric segregation of Numb, a Notch signaling inhibitor (Kovall et al., 2017), has been reported in HSCs, influencing metabolic activation and differentiation potential in daughter cells.</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Since the initial description of asymmetric cell division (ACD) in 1905, significant progress has been made in uncovering the molecular and cellular mechanisms underlying this process. However, numerous fundamental questions remain unresolved, particularly regarding the role of size asymmetry between daughter cells in determining cell fate decisions and the precise mechanisms through which this occurs. Furthermore, the contribution of both intrinsic and extrinsic mechanical forces to cell polarization and the biased segregation of macromolecules is an area that remains largely unexplored. Of particular interest is the paradox of the inheritance of the oldest centriole by the daughter cell that retains the stemness potential of the parental cell—a phenomenon that demands further detailed investigation.</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pStyle w:val="Heading3"/>
        <w:jc w:val="both"/>
        <w:rPr/>
      </w:pPr>
      <w:bookmarkStart w:colFirst="0" w:colLast="0" w:name="_ds9del3vpym3" w:id="93"/>
      <w:bookmarkEnd w:id="93"/>
      <w:r w:rsidDel="00000000" w:rsidR="00000000" w:rsidRPr="00000000">
        <w:rPr>
          <w:rtl w:val="0"/>
        </w:rPr>
        <w:t xml:space="preserve">2.1.3 Is Irreversible Differentiation Regulated by an Intrinsic Signal or an Extrinsic Factor?</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t xml:space="preserve">Waddington's epigenetic landscape remains one of the most profound conceptual frameworks for understanding cell lineage determination and the differentiation of progeny cells (Waddington CH, 1957). Over the past several decades, this insightful metaphor has guided researchers in formulating diverse models of cell fate decision-making (MacArthur, 2023). By integrating various quantitative models and analyzing the multitude of factors that influence fate determination, scientists have progressively refined and expanded upon Waddington’s landscape (Shakiba et al., 2022). Nevertheless, a critical unresolved question remains: is the landscape static and predetermined, or is it dynamically influenced by intrinsic noise or extrinsic signaling factors (Stanoev, A., &amp; Koseska, A., 2022)?</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t xml:space="preserve">On one hand, some researchers argue that cells exist within a stationary epigenetic landscape, where fate decisions occur via discrete transitions between distinct valleys (Desai et al., 2021), driven by a phenomenon known as "regulated noise" in gene expression (Guillemin, A., &amp; Stumpf, M. P. H., 2021). This perspective suggests that stochastic fluctuations in gene expression play a dominant role in cell fate commitment. Conversely, other studies support the idea that the epigenetic landscape is not fixed but dynamically reshaped during cell fate transitions. In this model, modifications to the landscape itself orchestrate fate changes (Hota et al., 2022) and are primarily controlled by external signaling inputs.</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t xml:space="preserve">Within the framework of noise-driven regulation, shifts in cell fate decisions are largely dictated by the spontaneous heterogeneity of gene expression within a given cell population (Wheat et al., 2020). Consequently, the initial cellular state significantly influences the trajectory of fate determination. For instance, Chang et al. (Chang et al., 2008) demonstrated that hematopoietic stem cells (HSCs) exhibit an inherent and stable heterogeneity in the expression levels of Scal-1, also known as Ly-6 (Van De Rijn et al., 1989). Notably, discrete populations characterized by different levels of Scal-1 expression display distinct predispositions toward specific lineage commitments.</w:t>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t xml:space="preserve">In contrast, within the framework of signal-driven regulation, cell fate is dictated primarily by extrinsic factors, including cytokines, chemical cues, mechanical forces, and genetic regulatory elements, all of which dynamically remodel the epigenetic landscape. In this case, the influence of the initial cellular state on fate decisions is relatively negligible. Given the ability to modulate signaling pathways experimentally, the signal-driven model has been extensively utilized in cell fate engineering (Del Vecchio et al., 2017). This has led to the development of in vitro induction systems centered around the generation of induced pluripotent stem cells (iPSCs) for the production of specific, desired cell types (Ng et al., 2021). Collectively, these driving forces provide a foundational framework for decoding the mechanisms governing fate decisions and understanding key aspects of organismal development (Simon et al., 2018). By dissecting the interplay between noise-driven and signal-driven regulatory mechanisms, researchers can refine their understanding of cell differentiation processes in vivo, oncogenic transformation, and the reprogramming potential of cells in vitro.</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t xml:space="preserve">Nevertheless, the fundamental forces that govern the fate decisions of daughter cells during asymmetric division and differentiation remain elusive. The centriole-based differentiation theory proposes a direct link between differentiation inducers and centrioles—suggesting that irreversible differentiation is not primarily governed by nuclear cues but rather by cytoplasmic, intracellular signaling mechanisms that dictate fate commitment. Further investigation is required to elucidate the precise mechanisms by which centrioles influence these critical processes.</w:t>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pStyle w:val="Heading2"/>
        <w:jc w:val="both"/>
        <w:rPr/>
      </w:pPr>
      <w:bookmarkStart w:colFirst="0" w:colLast="0" w:name="_jcthtlunpcu8" w:id="94"/>
      <w:bookmarkEnd w:id="94"/>
      <w:r w:rsidDel="00000000" w:rsidR="00000000" w:rsidRPr="00000000">
        <w:rPr>
          <w:rtl w:val="0"/>
        </w:rPr>
        <w:t xml:space="preserve">2.2 Centriolar Cycle</w:t>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t xml:space="preserve">Centrioles are fundamental organelles that play a critical role in maintaining cellular polarity and regulating cellular signaling. Their structural and functional importance has been recognized for several decades; however, more in-depth studies in recent years have revealed that centrioles also hold significant importance in the differentiation process and in the progression of cell progeny toward the Hayflick limit. Disruptions in their function can lead to a wide range of diseases, including cancerous tumors, and can also accelerate tissue aging.</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t xml:space="preserve">Centrioles play an indispensable role in the differentiation process of cells. Embryos that fail to sustain centriole replication cease development at a very early stage (Stevens, 2007). These organelles are also involved in the formation of cilia, which, in turn, are responsible for perceiving external signals such as molecules that regulate cellular polarity and differentiation. Consequently, any alterations in the structure of centrioles can impact the cell's ability to sense external signals, leading to disruptions in the normal process of differentiation.</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t xml:space="preserve">Cilia, which are organized by centrioles, are pivotal in cellular signaling. One of their key functions is regulating a range of molecules that affect cellular differentiation and tissue development (Schatten et al., 2011). For instance, cilia are involved in regulating signaling pathways such as Wnt and Hedgehog, which are crucial for cell differentiation in various tissues of the body. This discovery is supported by numerous scientific works, including studies such as those by (Pedersen et al., 2012) and others, which underscore the relationship between the function of centrioles and cellular differentiation processes.</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Centrioles also play a critically important role in what is known as replicative cellular aging. During this process, there is selective accumulation of older (and, according to the second law of thermodynamics, more defective) centrioles (Hayflick, 2021), which impair their function during mitosis and other cellular processes. When older centrioles/centrosomes cannot efficiently participate in cell division, it leads to cellular malfunctions, reduced proliferative capacity, and accelerated tissue aging (Schatten, H., &amp; Sun, Q. Y., 2009). Recent studies show that organismal aging is linked to the selective accumulation of defective centrioles and also to the selective segregation of chromosomes in stem cells, which can reduce their ability to differentiate and repair damaged tissues (Charville, G. W., &amp; Rando, T. A., 2011).</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t xml:space="preserve">It is known that replicative cellular aging is accompanied by the inheritance of new centrioles during asymmetric divisions, while the maintenance of replicative age is linked to the inheritance of old centrioles (Reina, J., &amp; Gonzalez, C., 2014). Old centrioles can cause disorganization of the mitotic spindle and other problems in the cell cycle. This is confirmed by research showing that a decrease in the regeneration rate is associated with a decline in stem cell division rate, meaning the accumulation of old (more defective) centrioles leads to disruptions in normal cell division and accelerates the aging process (Lavasani et al., 2012). Such defects in centrioles can have a significant impact on normal cell function, as also demonstrated in studies investigating the effects of centriole dysfunction on stem cells (Wu et al., 2020).</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Stem cells possess the unique ability to undergo asymmetric divisions, leading to the differentiation of one daughter cell and the self-renewal of the stem cell pool by the second daughter cell, which makes them crucial objects for research in tissue regeneration and aging. However, the efficacy of stem cells also depends on the condition of their centrioles. Disruptions in centriole function can result in the loss of stem cells' ability to undergo normal differentiation and regeneration. This discovery is supported by several studies (Cheng et al., 2008) that emphasize the importance of maintaining normal centriole function for stem cell operation.</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Despite the presence of centrioles at the poles of the mitotic spindle, centrioles are often not essential for mitosis, even in species that typically possess them (Debec et al., 2010). Cell cycle progression and cytokinesis can be defective in the absence of centrioles (Mikule et al., 2007), though this may be related to indirect effects. For example, the G1 arrest in mammalian cells after centriole removal is the result of increased sensitivity to stress, rather than an absolute need for centrioles during cell cycle progression (Uetake et al., 2007).</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Although centrioles are not required for spindle assembly, they are crucial for spindle positioning. When centrioles are experimentally removed, spindles drift within the cell (Hinchcliffe et al., 2001). In vertebrates, centriole positioning appears to respond to signals from planar cell polarity (Montcouquiol M. &amp; Kelley MW., 2003), which is consistent with the localization of some planar cell polarity proteins in centrioles (Park et al., 2006). The proper positioning of the spindle by centrioles is believed to be essential for correct tissue development, as defects in spindle orientation caused by mutations in genes related to centrioles can lead to nephronophthisis, a cystic kidney disease associated with abnormally wide ducts (Simons M, &amp; Walz G., 2006).</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An interesting possibility is that the pathway for centriolar positioning may be specific to the mother centriole, which is the oldest of the two centrioles in the G1 centrosome and the only fully mature centriole (i.e., capable of acting as a basal body) in a typical vertebrate cell. This is suggested by the analysis of dividing stem cells in the male germline of Drosophila, where the mitotic spindle is always oriented so that the old centriole is anchored on the side of the cell adjacent to the stem cell niche (Yamashita et al., 2007). A similar shift in the positioning of the mother centriole is observed in radial glial progenitor cells in mice (Wang et al., 2009). Notably, after depletion of ninein, a protein necessary for the stable attachment of microtubules to mother centrioles, this asymmetry in the segregation of mother centrioles is lost, ultimately leading to premature exhaustion of the stem cell pool (Mogensen et al., 2000). In Chlamydomonas mutants, where the connection between the mother and daughter centrioles is disrupted, the mother centrioles move to the correct position, but the daughter centrioles do not, suggesting that the mother centriole uniquely responds to the positioning pathway (Feldman et al., 2007).</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One of the key aspects attracting the attention of researchers is the selective inheritance of old centrioles in stem cells during asymmetric divisions. This leads to the deterioration of cell division quality and a reduction in the ability of stem cells to maintain normal tissue regeneration. Such disruptions may be associated with chronic inflammation and decreased stem cell activity, resulting in age-related diseases and a general decline in organismal health. The phenomenon of inheriting new centrioles by the differentiating daughter cell, which is progressing toward the Hayflick limit, remains an unexplained phenomenon.</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Studying the molecular mechanisms by which centrioles regulate cell differentiation and replicative aging is key to understanding the aging processes of the organism and developing new therapeutic strategies. Disruptions in centriole function can lead to the development of a range of diseases, including cancer, and can also accelerate the aging process of the organism. For example, centriole defects are linked to tumor development as they affect the cell cycle and can lead to uncontrolled cell division (Qi, F., &amp; Zhou, J., 2021).</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Moreover, centrioles can be targeted for therapy in diseases related to dysfunction. For instance, in cases of cancer or other diseases involving the impairment of centriole function, drugs could be developed that restore their function, thereby slowing disease progression and promoting the restoration of normal cell division. It is likely that centrioles will also be a primary target in the therapeutic approach to aging-related diseases.</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t xml:space="preserve">Centrioles/centrosomes play a pivotal role in cellular differentiation and organismal aging—essentially in the vitality of stem cells. Their function has a profound impact on tissue regeneration and the maintenance of cellular homeostasis. Disruptions in centriole function can lead to various diseases, including cancer, and accelerate the aging process of the organism. Therefore, further research into the role of centrioles in these processes may lead to new therapeutic strategies for treating age-related diseases, cancer, tissue and organ regeneration, and organism rejuvenation.</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pStyle w:val="Heading3"/>
        <w:jc w:val="both"/>
        <w:rPr/>
      </w:pPr>
      <w:bookmarkStart w:colFirst="0" w:colLast="0" w:name="_g9am3uw9f3qr" w:id="95"/>
      <w:bookmarkEnd w:id="95"/>
      <w:r w:rsidDel="00000000" w:rsidR="00000000" w:rsidRPr="00000000">
        <w:rPr>
          <w:rtl w:val="0"/>
        </w:rPr>
        <w:t xml:space="preserve">2.2.1 Anatomy of Centrioles</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The centriole represents a magnificent molecular structure, several gigadaltons in size, and is one of the largest organelles in eukaryotic cells, with its atomic structure still remaining elusive (Paintrand et al., 1992). However, numerous studies employing electron microscopy, cryotomography, and super-resolution techniques have allowed for the creation of a comprehensive understanding of its architecture, including its distinct subregions. These investigations expand our knowledge, providing additional insights into cellular and structural biology.</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t xml:space="preserve">Centrioles are among the most distinctive and remarkable cellular organelles due to their beautiful, tenfold symmetrical arrangement of microtubules. Although significant progress has been made in enhancing our understanding of centriole architecture, technical limitations continue to constrain the ability to observe the structural details that characterize it. Moreover, as our knowledge of centriole structure advances, it becomes increasingly apparent that there is no single, uniform structure; rather, each species exhibits unique differences. One of the most striking distinctions is that microscopy reveals variations between canonical centrioles, which unite several species, such as humans, Chlamydomonas, Paramecium, Naegleria, Trichonympha, Teranympha, and the centrioles of Ecdysozoa, including nematodes and arthropods. The latter possess centrioles that are approximately 100 nm in length, composed of single or paired microtubules, whereas canonical centrioles measure around 450 nm in length and are composed of triplet microtubules. With the improvement in resolution of imaging methods, architectural similarities between the so-called canonical centriole have been challenged, revealing anatomical differences between species that were previously invisible (Klena et al., 2020).</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pPr>
      <w:r w:rsidDel="00000000" w:rsidR="00000000" w:rsidRPr="00000000">
        <w:rPr>
          <w:rtl w:val="0"/>
        </w:rPr>
        <w:t xml:space="preserve">A canonical centriole is characterized by a ninefold symmetric organization of microtubules composed of triplets. This formation resembles a polarized cylinder or barrel-shaped structure, approximately 450 nm in length and 250 nm in external diameter, containing various substructures along its axis from the proximal to distal ends. These substructures define three primary regions of the centriole: the proximal, central, and distal regions. The proximal region contains the A-C linkage, which accounts for about 40% of the centriole, the cartwheel structure—important for centriole assembly—as well as additional elements such as the head and base of the triplets. The central core is defined by an internal scaffold that lines the centriole cavity and maintains connections between adjacent microtubules (Le Guennec et al., 2020). At the distal end, two groups of appendages emerge from the outer side of the microtubule wall, forming a radial ninefold arrangement through fibrous connections with each microtubule triplet, which participates in fusing with the plasma membrane (Bowler et al., 2019). Another group of appendages, referred to as subdistal appendages, forms conical structures that do not always follow the ninefold symmetry and are located around the centriole.</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The microtubules of triplets consist of a complete A-microtubule, on which incomplete B- and C-microtubules are formed from the walls of the A-microtubule and B-microtubule, respectively. It is worth noting that in the human centrosome, triplet microtubules become doublets (only A- and B-microtubules) approximately halfway up the centriole, but the boundaries are rather variable. Furthermore, triplet/doublet microtubules are not perfectly straight, with their position varying from the proximal to the distal regions. From the proximal side, the triplet microtubules form an angle of approximately 120° to the center of the centriole, which decreases to 100° at one-third of the centriole’s height, and they exhibit a counterclockwise orientation, which is one of the chiral characteristics of the centriole (Uzbekov, R., &amp; Prigent, C., 2007). Additionally, in the percentage of Chlamydomonas centrioles, a diaphragm-like movement of the triplet microtubules is observed at the proximal end, possibly enabling the centriole to alter its configuration during the assembly of various structural elements.</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t xml:space="preserve">The proximal region of the centriole is composed of several substructures. One of the earliest likely identified structures was the cartwheel (Guichard et al., 2018), which possesses the characteristic ninefold organization within the cavity of the proximal region. On average, the length of the cartwheel is around 100 nm, consisting of an internal tube with a diameter of about 20 nm, known as the central hub, from which nine spokes radiate outward to the microtubule wall. Studies in the green alga Chlamydomonas have demonstrated that the main component of the cartwheel is the protein SAS-6 (van Breugel et al., 2011). SAS-6 proteins have a globular N-terminal domain, followed by a helical region and an unstructured C-terminal segment. Biochemical and crystallographic studies proposed a model in which nine homodimers of SAS-6 proteins form a ring via their N-terminal domains (Kitagawa et al., 2011), and the arrangement of the rings leads to the formation of the cartwheel (Guichard et al., 2017). Cryo-electron tomography studies on the exceptionally long cartwheel of Trichonympha confirmed that the central hub consists of rings but also revealed densities in the middle of the central hub, termed the internal densities of the cartwheel (CID), whose molecular identity remains unknown. Studies with higher resolution in an evolutionarily diverse group of species have shown that the central hub exhibits periodicity of about 4 nm and confirmed the ubiquitous presence of CID, which also exists in a fibrous form (fCID) in Teranympha. Interestingly, although the overall organization of the central hub appears similar across species, the arrangement of the spokes differs somewhat. </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Averaging the tomograms in Paramecium and Chlamydomonas demonstrated that the three pairs of cartwheel rings contain six outgoing spokes, likely consisting of SAS-6 helices, which gradually merge into a single bundle separated by 25 nm, forming one structural unit of the cartwheel. In contrast, a similar analysis in Trichonympha and Teranympha showed that the spokes consist of two pairs of cartwheel rings containing four outgoing spokes, which merge into a single bundle separated by 17 nm. Notably, along the spokes in Chlamydomonas, two densities were identified, called D1 and D2. The D2 density, located approximately 47 nm from the central hub, connects the end of the spokes to a structure called the pinhead. The D2 density represents a rod that connects the ends of the cartwheel spokes along the axis, and this connection is also present below the wall of the microtubules.</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The pinhead extends from the proximal end of the microtubule wall and terminates at or within a few nanometers of the end of the cartwheel. The pinhead, presumably composed of two microtubule-associated proteins, Cep135 (Kraatz et al., 2016) and CPAP (Sharma et al., 2016), is connected to the A-microtubule of each microtubule triplet. The pinhead contacts another proximal structure—the base of the triplet. The base of the triplet is about 35 nm in length and runs parallel to the microtubules of the triplets until it reaches the A-C linkage. The A-C linkage, composed of proteins whose exact identity is not yet known, connects the A-microtubule of one microtubule triplet to the C-tubule of another and spans 270 nm of the centriole in mammalian cells.</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t xml:space="preserve">The central core, located immediately behind the proximal region and extending to the distal end of the triplet microtubules, includes the internal scaffold. This structure was initially described as a "ring of connections," "peripheral fibers," "legs of A-tubules," and later as "Y-shaped" or "L-shaped," but it was not conclusively confirmed whether these elements belong to a single structure. These descriptions suggested a similar arrangement along the length of the centriole, covering about two-thirds of its distal region.</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Cryo-electron tomography has provided the opportunity to study this structure in great detail. In cells of Chlamydomonas and Paramecium, the reconstruction of the central region revealed a spiral internal scaffold covering the wall of the microtubules in the central area. Interestingly, like the A-C linkage, the structure of the internal scaffold varies between species, likely due to molecular differences. However, the overall spiral structure linking the A-B microtubules through a rod remains conserved across species. </w:t>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t xml:space="preserve">Comparing early observations with older technologies to cryo-electron tomography results suggests that the internal scaffold represents a highly conserved structure related to the internal connection of A-B microtubules.</w:t>
      </w:r>
    </w:p>
    <w:p w:rsidR="00000000" w:rsidDel="00000000" w:rsidP="00000000" w:rsidRDefault="00000000" w:rsidRPr="00000000" w14:paraId="000002D1">
      <w:pPr>
        <w:jc w:val="both"/>
        <w:rPr/>
      </w:pPr>
      <w:r w:rsidDel="00000000" w:rsidR="00000000" w:rsidRPr="00000000">
        <w:rPr>
          <w:rtl w:val="0"/>
        </w:rPr>
      </w:r>
    </w:p>
    <w:p w:rsidR="00000000" w:rsidDel="00000000" w:rsidP="00000000" w:rsidRDefault="00000000" w:rsidRPr="00000000" w14:paraId="000002D2">
      <w:pPr>
        <w:pStyle w:val="Heading6"/>
        <w:jc w:val="both"/>
        <w:rPr/>
      </w:pPr>
      <w:bookmarkStart w:colFirst="0" w:colLast="0" w:name="_xf50yyzfzh8r" w:id="96"/>
      <w:bookmarkEnd w:id="96"/>
      <w:r w:rsidDel="00000000" w:rsidR="00000000" w:rsidRPr="00000000">
        <w:rPr>
          <w:rtl w:val="0"/>
        </w:rPr>
        <w:t xml:space="preserve">Picture 2. Structural Model of the Cartwheel (Kitagawa et al., 2011)</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drawing>
          <wp:inline distB="114300" distT="114300" distL="114300" distR="114300">
            <wp:extent cx="5900531" cy="5146969"/>
            <wp:effectExtent b="0" l="0" r="0" t="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00531" cy="5146969"/>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t xml:space="preserve">Cryo-electron tomography has provided a detailed opportunity to explore the structure of the cartwheel. In the cells of Chlamydomonas and Paramecium, the reconstruction of the central region revealed a helical internal scaffold surrounding the wall of microtubules at the core. Interestingly, similar to the A-C link, the structure of the internal scaffold exhibits variability between species, likely due to molecular differences. </w:t>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rtl w:val="0"/>
        </w:rPr>
        <w:t xml:space="preserve">However, the overall helical configuration that connects the A-B microtubules via the central rod remains conserved across species. Comparing the initial observations made with older techniques to the results obtained through cryo-electron tomography, it can be inferred that the internal scaffold is a highly conserved structure involved in the internal connection of the A-B microtubules.</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t xml:space="preserve">Using ultra-structural expansion microscopy (U-ExM), it has been shown that five proteins—FAM161A, POC1B, POC5, Centrin-2, and WDR90—localize in a manner consistent with the positioning of the internal scaffold in human centrioles (Steib et al., 2020). In addition to its central localization, Centrin-2 exhibits a unique “bottle-neck” signal at the distal end of the centriole, reminiscent of previously described immunolocalization in Chlamydomonas cells (Geimer, S., &amp; Melkonian, M., 2005).</w:t>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t xml:space="preserve">Given that the internal scaffold is a massive and intricate structure, it is likely that additional proteins, beyond those already described, are involved in the central core. Furthermore, fibers can be observed in the central lumen of centrioles in both Chlamydomonas and mammals, which may transiently interact with the internal scaffold.</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t xml:space="preserve">Thus, the centriole represents a large supramolecular structure, divided into three primary regions: proximal, core, and distal, each containing specific structural components. The complex is composed of more than 100 distinct proteins (Bauer et al., 2016), many of which are present in multiple copies, with α-β tubulins being the most abundant. The estimated mass of the centriole is approximately 1600 MDa, making it roughly 10 times larger than nuclear pores (Lin, D. H., &amp; Hoelz, A., 2019) and 400 times larger than eukaryotic ribosomes (Ben-Shem et al., 2010).</w:t>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pPr>
      <w:r w:rsidDel="00000000" w:rsidR="00000000" w:rsidRPr="00000000">
        <w:rPr>
          <w:rFonts w:ascii="Arial Unicode MS" w:cs="Arial Unicode MS" w:eastAsia="Arial Unicode MS" w:hAnsi="Arial Unicode MS"/>
          <w:rtl w:val="0"/>
        </w:rPr>
        <w:t xml:space="preserve">Due to its molecular mass and size, cryo-electron tomography remains the primary technique for studying the architecture of the centriole, with a resolution of 15−30 Å. However, this method does not permit atomic-level resolution. To achieve such a resolution, it will be necessary to either isolate substructures of the centriole or reconstruct them in vitro to use cryo-electron microscopy and single-particle analysis. This approach has already yielded impressive results in studying ciliary microtubules, where internal microtubule-associated proteins (MIPs) were localized and identified (Ma et al., 2019). These proteins, which are also present in centriole triplets, likely stabilize the microtubule blades and provide spatial orientation between protofilaments.</w:t>
      </w:r>
    </w:p>
    <w:p w:rsidR="00000000" w:rsidDel="00000000" w:rsidP="00000000" w:rsidRDefault="00000000" w:rsidRPr="00000000" w14:paraId="000002E1">
      <w:pPr>
        <w:jc w:val="both"/>
        <w:rPr/>
      </w:pPr>
      <w:r w:rsidDel="00000000" w:rsidR="00000000" w:rsidRPr="00000000">
        <w:rPr>
          <w:rtl w:val="0"/>
        </w:rPr>
      </w:r>
    </w:p>
    <w:p w:rsidR="00000000" w:rsidDel="00000000" w:rsidP="00000000" w:rsidRDefault="00000000" w:rsidRPr="00000000" w14:paraId="000002E2">
      <w:pPr>
        <w:pStyle w:val="Heading3"/>
        <w:jc w:val="both"/>
        <w:rPr/>
      </w:pPr>
      <w:bookmarkStart w:colFirst="0" w:colLast="0" w:name="_86lxzexh0y2p" w:id="97"/>
      <w:bookmarkEnd w:id="97"/>
      <w:r w:rsidDel="00000000" w:rsidR="00000000" w:rsidRPr="00000000">
        <w:rPr>
          <w:rtl w:val="0"/>
        </w:rPr>
        <w:t xml:space="preserve">2.2.2 Centriolar Biogenesis</w:t>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pStyle w:val="Heading4"/>
        <w:jc w:val="both"/>
        <w:rPr/>
      </w:pPr>
      <w:bookmarkStart w:colFirst="0" w:colLast="0" w:name="_mzx1yqaewxpd" w:id="98"/>
      <w:bookmarkEnd w:id="98"/>
      <w:r w:rsidDel="00000000" w:rsidR="00000000" w:rsidRPr="00000000">
        <w:rPr>
          <w:rtl w:val="0"/>
        </w:rPr>
        <w:t xml:space="preserve">2.2.2.1 Initiation of Assembly</w:t>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both"/>
        <w:rPr/>
      </w:pPr>
      <w:r w:rsidDel="00000000" w:rsidR="00000000" w:rsidRPr="00000000">
        <w:rPr>
          <w:rtl w:val="0"/>
        </w:rPr>
        <w:t xml:space="preserve">The initiation of centriole duplication is tightly regulated to ensure proper control of centriole numbers (Bettencourt-Dias M., &amp; Glover DM., 2007). In mammalian cells, one procentriolar structure begins to form perpendicularly to the wall of each parental centriole around the G1/S transition. Once the assembly of two new procentrioles has been initiated, further duplication is suppressed until the cell progresses through mitosis (Wong C., &amp; Stearns T., 2003). The release of the close association between procentrioles and parental centrioles, termed separation, occurs in late mitosis in animal cells. This separation involves protease separase and Polo-like kinase 1 (Plk1) and is a prerequisite for the subsequent round of centriole duplication (Tsou et al., 2009). When centrioles are absent, new centrioles can form de novo, suggesting that the role of existing centrioles is not to template procentrioles as previously thought, but rather to shift the spatial location where procentrioles self-organize (Peel et al., 2007). When too many centrioles are present, cells can suppress the synthesis of new centrioles—a mechanism that allows for the correction of centriole number errors (Marshall, 2007).</w:t>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mc:AlternateContent>
          <mc:Choice Requires="wpg">
            <w:drawing>
              <wp:inline distB="114300" distT="114300" distL="114300" distR="114300">
                <wp:extent cx="5943600" cy="4434392"/>
                <wp:effectExtent b="0" l="0" r="0" t="0"/>
                <wp:docPr id="1" name=""/>
                <a:graphic>
                  <a:graphicData uri="http://schemas.microsoft.com/office/word/2010/wordprocessingGroup">
                    <wpg:wgp>
                      <wpg:cNvGrpSpPr/>
                      <wpg:grpSpPr>
                        <a:xfrm>
                          <a:off x="45250" y="35250"/>
                          <a:ext cx="5943600" cy="4434392"/>
                          <a:chOff x="45250" y="35250"/>
                          <a:chExt cx="9708350" cy="7234750"/>
                        </a:xfrm>
                      </wpg:grpSpPr>
                      <wps:wsp>
                        <wps:cNvSpPr/>
                        <wps:cNvPr id="2" name="Shape 2"/>
                        <wps:spPr>
                          <a:xfrm>
                            <a:off x="50025" y="40025"/>
                            <a:ext cx="9703500" cy="7225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2. Assembly and maturation of a human centriole in cycling cells requires three consecutive cell cycles. </w:t>
                              </w:r>
                            </w:p>
                          </w:txbxContent>
                        </wps:txbx>
                        <wps:bodyPr anchorCtr="0" anchor="ctr" bIns="91425" lIns="91425" spcFirstLastPara="1" rIns="91425" wrap="square" tIns="91425">
                          <a:noAutofit/>
                        </wps:bodyPr>
                      </wps:wsp>
                      <pic:pic>
                        <pic:nvPicPr>
                          <pic:cNvPr id="3" name="Shape 3" title="2221.png"/>
                          <pic:cNvPicPr preferRelativeResize="0"/>
                        </pic:nvPicPr>
                        <pic:blipFill rotWithShape="1">
                          <a:blip r:embed="rId9">
                            <a:alphaModFix/>
                          </a:blip>
                          <a:srcRect b="0" l="-610" r="610" t="229"/>
                          <a:stretch/>
                        </pic:blipFill>
                        <pic:spPr>
                          <a:xfrm>
                            <a:off x="220150" y="483162"/>
                            <a:ext cx="9228600" cy="5939064"/>
                          </a:xfrm>
                          <a:prstGeom prst="rect">
                            <a:avLst/>
                          </a:prstGeom>
                          <a:noFill/>
                          <a:ln>
                            <a:noFill/>
                          </a:ln>
                        </pic:spPr>
                      </pic:pic>
                      <wps:wsp>
                        <wps:cNvSpPr txBox="1"/>
                        <wps:cNvPr id="4" name="Shape 4"/>
                        <wps:spPr>
                          <a:xfrm>
                            <a:off x="120075" y="100075"/>
                            <a:ext cx="9526800" cy="350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Figure 2.2.2.1.1. Assembly and maturation of a human centriole in cycling cells requires three consecutive cell cycles </w:t>
                              </w:r>
                            </w:p>
                          </w:txbxContent>
                        </wps:txbx>
                        <wps:bodyPr anchorCtr="0" anchor="t" bIns="91425" lIns="91425" spcFirstLastPara="1" rIns="91425" wrap="square" tIns="91425">
                          <a:noAutofit/>
                        </wps:bodyPr>
                      </wps:wsp>
                      <wps:wsp>
                        <wps:cNvSpPr txBox="1"/>
                        <wps:cNvPr id="5" name="Shape 5"/>
                        <wps:spPr>
                          <a:xfrm>
                            <a:off x="110075" y="6427700"/>
                            <a:ext cx="9526800" cy="687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After mitosis, cells inherit one partially mature and one fully mature centriole (with appendages). Both centrioles duplicate at the beginning of S phase. Scheme emphasizes one centriole from its initiation (green) in S phase of cell cycle 1 (S1) through its elongation and progressive maturation, until its final maturation in G1 of cell cycle 3 (G13) (dark red with appendages). Gray boxes indicate the major assembly and maturation events that occur in each cell cycle. New functions acquired by the centriole at different stages of maturation are indicated by blue boxes, including duplication (cell cycle 2), MT nucleation (cell cycle 2), ciliation (cell cycle 3) and MT anchoring (cell cycle 3).</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434392"/>
                <wp:effectExtent b="0" l="0" r="0" t="0"/>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943600" cy="44343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t xml:space="preserve">A key regulator of centriole assembly is a kinase known as Polo-like kinase 4 (Plk4) or SAK in Drosophila. Inhibition of Plk4 prevents centriole duplication in both human cells and Drosophila (Habedanck et al., 2005). In contrast, overexpression of Plk4 and SAK can lead to the assembly of additional centrioles (Bettencourt-Dias et al., 2005). Interestingly, orthologs of Plk4 are not found outside of the Fungi/Metazoa group, indicating that centriole duplication is initiated through different mechanisms in other eukaryotes, possibly involving other Polo-like kinases (Carvalho-Santos et al., 2010). </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rtl w:val="0"/>
        </w:rPr>
        <w:t xml:space="preserve">Furthermore, the Plk4 ortholog is absent in Caenorhabditis elegans, where centriole duplication is initiated by the non-orthologous kinase ZYG-1 (O'Connell et al., 2001). ZYG-1 controls the recruitment of the structural component SAS-6, which serves as a substrate for ZYG-1 (Kitagawa et al., 2009). The recruitment of ZYG-1 itself requires SPD-2, a component of the PCM necessary for centriole duplication in C. elegans embryos (Kemp et al., 2004). Interestingly, SPD-2 family members are found only in the genomes of Unikonts, a branch of the eukaryotic tree that includes Fungi/Metazoa, as well as Amoebozoa, such as the model organism Dictyostelium discoideum (Schulz et al., 2009). Studies of SPD-2 orthologs in humans and flies suggest that the primary function of SPD-2 and related proteins is in recruiting the PCM around centrioles (Zhu et al., 2008). The human SPD-2 ortholog, Cep192, is essential for centriole duplication, while its Drosophila ortholog appears not to be required for this process (Dix CI, &amp; Raff JW., 2007). </w:t>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jc w:val="both"/>
        <w:rPr/>
      </w:pPr>
      <w:r w:rsidDel="00000000" w:rsidR="00000000" w:rsidRPr="00000000">
        <w:rPr>
          <w:rtl w:val="0"/>
        </w:rPr>
        <w:t xml:space="preserve">However, Cep192 may influence centriole duplication indirectly by recruiting PCM and microtubule-nucleating factors, as PCM is known to play a role in centriole duplication (Loncarek et al., 2008). In contrast, Drosophila Asterless (Asl) and related proteins are components of the PCM that are specifically required for centriole assembly (Blachon et al., 2008). </w:t>
      </w:r>
    </w:p>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t xml:space="preserve">In Drosophila, Asl localizes near the wall of the centriole in proliferating cells and in testes, and it is required for centriole duplication in both contexts (Varmark et al., 2007). Cep152, the vertebrate ortholog of Asl, is a component of the PCM in proliferating human cells. Interestingly, Cep152 in zebrafish has also been shown to be necessary for the assembly of basal bodies in multiciliated cells. In these cells, hundreds of basal bodies are assembled simultaneously around structures of unknown composition called deuterosomes as the cells undergo differentiation. A defect found in zebrafish with a Cep152 deficiency supports the idea that the initiation of basal body assembly in multiciliated cells is at least partially based on the same mechanisms as centriole duplication in proliferating cells.</w:t>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pStyle w:val="Heading4"/>
        <w:jc w:val="both"/>
        <w:rPr/>
      </w:pPr>
      <w:bookmarkStart w:colFirst="0" w:colLast="0" w:name="_3sxit88n05d3" w:id="99"/>
      <w:bookmarkEnd w:id="99"/>
      <w:r w:rsidDel="00000000" w:rsidR="00000000" w:rsidRPr="00000000">
        <w:rPr>
          <w:rtl w:val="0"/>
        </w:rPr>
        <w:t xml:space="preserve">2.2.2.2 Establishment of Ninefold Symmetry</w:t>
      </w:r>
    </w:p>
    <w:p w:rsidR="00000000" w:rsidDel="00000000" w:rsidP="00000000" w:rsidRDefault="00000000" w:rsidRPr="00000000" w14:paraId="000002F3">
      <w:pPr>
        <w:jc w:val="both"/>
        <w:rPr/>
      </w:pPr>
      <w:r w:rsidDel="00000000" w:rsidR="00000000" w:rsidRPr="00000000">
        <w:rPr>
          <w:rtl w:val="0"/>
        </w:rPr>
      </w:r>
    </w:p>
    <w:p w:rsidR="00000000" w:rsidDel="00000000" w:rsidP="00000000" w:rsidRDefault="00000000" w:rsidRPr="00000000" w14:paraId="000002F4">
      <w:pPr>
        <w:jc w:val="both"/>
        <w:rPr/>
      </w:pPr>
      <w:r w:rsidDel="00000000" w:rsidR="00000000" w:rsidRPr="00000000">
        <w:rPr>
          <w:rtl w:val="0"/>
        </w:rPr>
        <w:t xml:space="preserve">The initiation of centriole assembly and the establishment of ninefold symmetry require a structure known as the cartwheel. The cartwheel is located at the proximal end of basal bodies across a wide range of species. In vertebrate centrosomes, the cartwheel structure is present at the base of procentrioles but is no longer observed in daughter and mother centrioles (Guichard et al., 2010). The cartwheel structure is best described in unicellular organisms. It consists of a central hub, from which nine evenly spaced spokes radiate, each ending in a knob-like structure to which triplet microtubules attach.</w:t>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jc w:val="both"/>
        <w:rPr/>
      </w:pPr>
      <w:r w:rsidDel="00000000" w:rsidR="00000000" w:rsidRPr="00000000">
        <w:rPr>
          <w:rtl w:val="0"/>
        </w:rPr>
        <w:t xml:space="preserve">In Chlamydomonas, the cartwheel assembles before microtubules are added to the tips of each spoke (Cavalier-Smith, 1974). Two components of the cartwheel structure have been described in this species. CrSAS-6/Bld12p, a homolog of C. elegans SAS-6, has been proposed as part of the internal spokes or hub of the cartwheel (Nakazawa et al., 2007). Bld10p, also a member of a conserved protein family, has been shown to form the outer spoke and the cartwheel-spoke tip structure (Hiraki et al., 2007). Recent studies of mutants with defects in these genes have provided important insights into how the cartwheel assembles and establishes the radial symmetry of centrioles.</w:t>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rtl w:val="0"/>
        </w:rPr>
        <w:t xml:space="preserve">When Chlamydomonas BLD12 is deleted, most cells lack the proper centriolar structure, but about 20% of cells form defective centrioles, which sometimes contain an abnormal number of triplets—7, 8, or 10—or lack triplets entirely. Strikingly, mutant centrioles in bld12 cells lack the cartwheel-spoke (Nakazawa et al., 2007). Similarly, depletion of SAS-6 by RNA interference (RNAi) in Paramecium leads to the formation of centrioles with an altered number of triplets, which retain the cartwheel spokes but lack the central hub (Jerka-Dziadosz et al., 2010).</w:t>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jc w:val="both"/>
        <w:rPr/>
      </w:pPr>
      <w:r w:rsidDel="00000000" w:rsidR="00000000" w:rsidRPr="00000000">
        <w:rPr>
          <w:rtl w:val="0"/>
        </w:rPr>
        <w:t xml:space="preserve">It has also been found that the null mutant SAS-6 in Drosophila exhibits a significant reduction in the number of centrioles and forms centrioles with structural defects, such as missing triplets (Rodrigues-Martins et al., 2007). As in Chlamydomonas, the orthologs of SAS-6 in Paramecium and Drosophila localize to the central hub of the cartwheel (Gopalakrishnan et al., 2010).</w:t>
      </w:r>
    </w:p>
    <w:p w:rsidR="00000000" w:rsidDel="00000000" w:rsidP="00000000" w:rsidRDefault="00000000" w:rsidRPr="00000000" w14:paraId="000002FB">
      <w:pPr>
        <w:jc w:val="both"/>
        <w:rPr/>
      </w:pPr>
      <w:r w:rsidDel="00000000" w:rsidR="00000000" w:rsidRPr="00000000">
        <w:rPr>
          <w:rtl w:val="0"/>
        </w:rPr>
      </w:r>
    </w:p>
    <w:p w:rsidR="00000000" w:rsidDel="00000000" w:rsidP="00000000" w:rsidRDefault="00000000" w:rsidRPr="00000000" w14:paraId="000002FC">
      <w:pPr>
        <w:jc w:val="both"/>
        <w:rPr/>
      </w:pPr>
      <w:r w:rsidDel="00000000" w:rsidR="00000000" w:rsidRPr="00000000">
        <w:rPr>
          <w:rtl w:val="0"/>
        </w:rPr>
        <w:t xml:space="preserve">The collective findings substantiate the hypothesis that the SAS-6 protein family plays an essential role in assembling the central hub, with the hub itself being crucial for establishing the ninefold symmetry of centrioles.</w:t>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jc w:val="both"/>
        <w:rPr/>
      </w:pPr>
      <w:r w:rsidDel="00000000" w:rsidR="00000000" w:rsidRPr="00000000">
        <w:rPr>
          <w:rtl w:val="0"/>
        </w:rPr>
        <w:t xml:space="preserve">The assembly of centrioles initiates towards the end of the G1 phase or at the beginning of the S phase with the formation of the cartwheel structure. This process is reliant on the HsSAS-6 protein for the central hub and Cep135 (the ortholog of Bld10p) for the spokes and/or cartwheel-spoke tip. CPAP (the ortholog of SAS-4) triggers the γ-tubulin-dependent initiation of the A-tubules and their attachment to the cartwheel-spoke tip, likely participating in recruiting the γ-tubulin ring complex (γ-TuRC) at the proximal end of the cartwheel. </w:t>
      </w:r>
    </w:p>
    <w:p w:rsidR="00000000" w:rsidDel="00000000" w:rsidP="00000000" w:rsidRDefault="00000000" w:rsidRPr="00000000" w14:paraId="000002FF">
      <w:pPr>
        <w:jc w:val="both"/>
        <w:rPr/>
      </w:pPr>
      <w:r w:rsidDel="00000000" w:rsidR="00000000" w:rsidRPr="00000000">
        <w:rPr>
          <w:rtl w:val="0"/>
        </w:rPr>
      </w:r>
    </w:p>
    <w:p w:rsidR="00000000" w:rsidDel="00000000" w:rsidP="00000000" w:rsidRDefault="00000000" w:rsidRPr="00000000" w14:paraId="00000300">
      <w:pPr>
        <w:jc w:val="both"/>
        <w:rPr/>
      </w:pPr>
      <w:r w:rsidDel="00000000" w:rsidR="00000000" w:rsidRPr="00000000">
        <w:rPr>
          <w:rtl w:val="0"/>
        </w:rPr>
        <w:t xml:space="preserve">Each A-tubule originates from γ-TuRC and grows unidirectionally from the proximal to the distal end. The A-tubule remains capped by γ-TuRC throughout the assembly process but is lost from both daughter and mother centrioles. At the distal end of the procentrioles, a cap-like structure forms, containing CP110 and Cep97. This cap is crucial for regulating the growth of the microtubules of the procentrioles and likely also plays a role in stabilizing the nascent procentriole. The B- and C-tubules are formed through a mechanism independent of γ-TuRC and grow bidirectionally until they reach the length of the A-tubule. The microtubule triplets are stabilized by ε- and δ-tubulin, marking the commencement of centriole elongation. During the S phase, the procentrioles elongate to approximately 70% of their final length. This process is dependent on hPOC5 and may also involve hPOC1.</w:t>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pStyle w:val="Heading6"/>
        <w:jc w:val="both"/>
        <w:rPr/>
      </w:pPr>
      <w:bookmarkStart w:colFirst="0" w:colLast="0" w:name="_9nob9uagz9os" w:id="100"/>
      <w:bookmarkEnd w:id="100"/>
      <w:r w:rsidDel="00000000" w:rsidR="00000000" w:rsidRPr="00000000">
        <w:rPr>
          <w:rtl w:val="0"/>
        </w:rPr>
        <w:t xml:space="preserve">Picture 3. Structure of the centriole and its biogenesis (Fırat-Karalar et al., 2014)</w:t>
      </w:r>
    </w:p>
    <w:p w:rsidR="00000000" w:rsidDel="00000000" w:rsidP="00000000" w:rsidRDefault="00000000" w:rsidRPr="00000000" w14:paraId="00000303">
      <w:pPr>
        <w:jc w:val="both"/>
        <w:rPr/>
      </w:pPr>
      <w:r w:rsidDel="00000000" w:rsidR="00000000" w:rsidRPr="00000000">
        <w:rPr>
          <w:rtl w:val="0"/>
        </w:rPr>
      </w:r>
    </w:p>
    <w:p w:rsidR="00000000" w:rsidDel="00000000" w:rsidP="00000000" w:rsidRDefault="00000000" w:rsidRPr="00000000" w14:paraId="00000304">
      <w:pPr>
        <w:jc w:val="both"/>
        <w:rPr/>
      </w:pPr>
      <w:r w:rsidDel="00000000" w:rsidR="00000000" w:rsidRPr="00000000">
        <w:rPr/>
        <w:drawing>
          <wp:inline distB="114300" distT="114300" distL="114300" distR="114300">
            <wp:extent cx="5943600" cy="5969000"/>
            <wp:effectExtent b="0" l="0" r="0" t="0"/>
            <wp:docPr id="9"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jc w:val="both"/>
        <w:rPr/>
      </w:pPr>
      <w:r w:rsidDel="00000000" w:rsidR="00000000" w:rsidRPr="00000000">
        <w:rPr>
          <w:rtl w:val="0"/>
        </w:rPr>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jc w:val="both"/>
        <w:rPr/>
      </w:pPr>
      <w:r w:rsidDel="00000000" w:rsidR="00000000" w:rsidRPr="00000000">
        <w:rPr>
          <w:rtl w:val="0"/>
        </w:rPr>
        <w:t xml:space="preserve">The elongation of the procentrioles continues after the transition to the G2 phase. At this stage, centriole length is regulated by two mechanisms: (1) the balance between the activity of CPAP, which promotes the incorporation of α/β-tubulin at the distal end, and the cap structure containing CP110 and Cep97; and (2) a mechanism involving Ofd1.</w:t>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both"/>
        <w:rPr/>
      </w:pPr>
      <w:r w:rsidDel="00000000" w:rsidR="00000000" w:rsidRPr="00000000">
        <w:rPr>
          <w:rtl w:val="0"/>
        </w:rPr>
        <w:t xml:space="preserve">Following mitosis, procentrioles mature into daughter centrioles. At this stage, inclined discs, surrounded by electron-dense material, are observed at the distal end of the centriole. Markers such as centrin and hPOC5 accumulate in the distal lumen as the cell cycle progresses, which likely reflects the gradual maturation of the centriole. HsSAS-6 is no longer associated with the proximal portion of the daughter centrioles, which may correlate with the disassembly of the central hub of the cartwheel. In contrast, the spokes may be partially preserved, as Cep135 remains associated with both the mother and daughter centrioles.</w:t>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jc w:val="both"/>
        <w:rPr/>
      </w:pPr>
      <w:r w:rsidDel="00000000" w:rsidR="00000000" w:rsidRPr="00000000">
        <w:rPr>
          <w:rtl w:val="0"/>
        </w:rPr>
        <w:t xml:space="preserve">After the second mitosis, centriole maturation is completed when distal and subdistal appendages are assembled. The formation of both appendage types depends on ODF2, a maturation-specific marker recruited to the distal end of the daughter centrioles during the previous G2 phase. The assembly of distal appendages also depends on Ofd1 and possibly the Cep164 component of the distal appendage.</w:t>
      </w:r>
    </w:p>
    <w:p w:rsidR="00000000" w:rsidDel="00000000" w:rsidP="00000000" w:rsidRDefault="00000000" w:rsidRPr="00000000" w14:paraId="0000030C">
      <w:pPr>
        <w:jc w:val="both"/>
        <w:rPr/>
      </w:pPr>
      <w:r w:rsidDel="00000000" w:rsidR="00000000" w:rsidRPr="00000000">
        <w:rPr>
          <w:rtl w:val="0"/>
        </w:rPr>
      </w:r>
    </w:p>
    <w:p w:rsidR="00000000" w:rsidDel="00000000" w:rsidP="00000000" w:rsidRDefault="00000000" w:rsidRPr="00000000" w14:paraId="0000030D">
      <w:pPr>
        <w:jc w:val="both"/>
        <w:rPr/>
      </w:pPr>
      <w:r w:rsidDel="00000000" w:rsidR="00000000" w:rsidRPr="00000000">
        <w:rPr>
          <w:rtl w:val="0"/>
        </w:rPr>
        <w:t xml:space="preserve">HsSAS-6, the human homologue of SAS-6, is also required for the early stages of centriole assembly, but unlike its homologs in other species, which remain associated with mature centrioles, it is no longer found bound to daughter and mother centrioles (Kleylein-Sohn et al., 2007). The loss of HsSAS-6 from procentrioles correlates with its proteasomal degradation at the end of mitosis and likely also with the disassembly of the cartwheel structure, which occurs when procentrioles mature into daughter centrioles. </w:t>
      </w:r>
    </w:p>
    <w:p w:rsidR="00000000" w:rsidDel="00000000" w:rsidP="00000000" w:rsidRDefault="00000000" w:rsidRPr="00000000" w14:paraId="0000030E">
      <w:pPr>
        <w:jc w:val="both"/>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rtl w:val="0"/>
        </w:rPr>
        <w:t xml:space="preserve">Interestingly, SAS-6 staining persists at the proximal end of the basal bodies in ciliated rat tracheal cells, suggesting that the cartwheel may not disassemble in this case. Interestingly, SAS-6 is also localized at the proximal region of the axoneme in these cilia, which suggests a potential role in the assembly or functioning of the cilia (Vladar, E. K., &amp; Stearns, T., 2007).</w:t>
      </w:r>
    </w:p>
    <w:p w:rsidR="00000000" w:rsidDel="00000000" w:rsidP="00000000" w:rsidRDefault="00000000" w:rsidRPr="00000000" w14:paraId="00000310">
      <w:pPr>
        <w:jc w:val="both"/>
        <w:rPr/>
      </w:pPr>
      <w:r w:rsidDel="00000000" w:rsidR="00000000" w:rsidRPr="00000000">
        <w:rPr>
          <w:rtl w:val="0"/>
        </w:rPr>
      </w:r>
    </w:p>
    <w:p w:rsidR="00000000" w:rsidDel="00000000" w:rsidP="00000000" w:rsidRDefault="00000000" w:rsidRPr="00000000" w14:paraId="00000311">
      <w:pPr>
        <w:jc w:val="both"/>
        <w:rPr/>
      </w:pPr>
      <w:r w:rsidDel="00000000" w:rsidR="00000000" w:rsidRPr="00000000">
        <w:rPr>
          <w:rtl w:val="0"/>
        </w:rPr>
        <w:t xml:space="preserve">In C. elegans, where SAS-6 was first identified, short centrioles are formed consisting of nine singlet, rather than triplet, microtubules, and no recognizable cartwheel structure is observed. Instead, the singlet microtubules assemble around a structure that appears as a hollow cylinder under electron microscopy. The assembly of this structure, known as the central tube, requires SAS-6. Although they differ at the ultrastructural level, the central tube and cartwheel, therefore, share at least one common component and are likely equally essential for establishing the ninefold symmetry of centrioles.</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rtl w:val="0"/>
        </w:rPr>
        <w:t xml:space="preserve">For the incorporation of SAS-6 into procentrioles in C. elegans, the protein SAS-5 is required, which physically interacts with SAS-6 and, like SAS-6, is essential for centriole duplication in this species (Delattre et al., 2004). Recently, the protein Ana2 was identified as a likely ortholog of SAS-5 in Drosophila (Stevens et al., 2010). While Ana2 is poorly conserved at the amino acid level, it interacts with DSAS-6 and, like its counterpart in C. elegans, is necessary for centriole duplication (Dobbelaere et al., 2008). Interestingly, the human ortholog of Ana2, known as STIL or SIL, has been shown to be required for proper mitotic spindle assembly and is associated with microcephaly, which is reminiscent of the centriole duplication factor CPAP, the human ortholog of SAS-4 in C. elegans (Kumar et al., 2009). Analysis of the dynamic properties of SAS-5 in C. elegans, however, has indicated that SAS-5 may be necessary for recruiting SAS-6 to the sites of procentriole assembly, rather than acting as a structural component of the centrioles themselves.</w:t>
      </w:r>
    </w:p>
    <w:p w:rsidR="00000000" w:rsidDel="00000000" w:rsidP="00000000" w:rsidRDefault="00000000" w:rsidRPr="00000000" w14:paraId="00000314">
      <w:pPr>
        <w:jc w:val="both"/>
        <w:rPr/>
      </w:pPr>
      <w:r w:rsidDel="00000000" w:rsidR="00000000" w:rsidRPr="00000000">
        <w:rPr>
          <w:rtl w:val="0"/>
        </w:rPr>
      </w:r>
    </w:p>
    <w:p w:rsidR="00000000" w:rsidDel="00000000" w:rsidP="00000000" w:rsidRDefault="00000000" w:rsidRPr="00000000" w14:paraId="00000315">
      <w:pPr>
        <w:jc w:val="both"/>
        <w:rPr/>
      </w:pPr>
      <w:r w:rsidDel="00000000" w:rsidR="00000000" w:rsidRPr="00000000">
        <w:rPr>
          <w:rtl w:val="0"/>
        </w:rPr>
        <w:t xml:space="preserve">In addition to the proteins associated with SAS-6, the assembly of the cartwheel also depends on the conserved Bld10p/Cep135 protein family. Bld10p was initially identified as the product of a gene mutated in a Chlamydomonas strain that completely lacks basal bodies, and it has been shown to be a component of the spokes of the cartwheel. When the Chlamydomonas bld10 mutant is complemented with a truncated version of Bld10p, centrioles with eight triplets are often observed. These centrioles assemble around the cartwheel with shorter spokes, leading to the formation of centrioles with a smaller diameter than can accommodate only eight triplets. The cartwheel still forms nine spokes, one of which is not associated with a triplet. Thus, if the central hub plays a decisive role in achieving the correct ultrastructure by establishing radial symmetry in the centrioles, then the radial spokes, whose length depends on Bld10p, perform this function, determining the diameter of the centrioles.</w:t>
      </w:r>
    </w:p>
    <w:p w:rsidR="00000000" w:rsidDel="00000000" w:rsidP="00000000" w:rsidRDefault="00000000" w:rsidRPr="00000000" w14:paraId="00000316">
      <w:pPr>
        <w:jc w:val="both"/>
        <w:rPr/>
      </w:pPr>
      <w:r w:rsidDel="00000000" w:rsidR="00000000" w:rsidRPr="00000000">
        <w:rPr>
          <w:rtl w:val="0"/>
        </w:rPr>
      </w:r>
    </w:p>
    <w:p w:rsidR="00000000" w:rsidDel="00000000" w:rsidP="00000000" w:rsidRDefault="00000000" w:rsidRPr="00000000" w14:paraId="00000317">
      <w:pPr>
        <w:jc w:val="both"/>
        <w:rPr/>
      </w:pPr>
      <w:r w:rsidDel="00000000" w:rsidR="00000000" w:rsidRPr="00000000">
        <w:rPr>
          <w:rtl w:val="0"/>
        </w:rPr>
        <w:t xml:space="preserve">Cep135, the human ortholog of Bld10p, is also localized to the cartwheel and is necessary for centriole assembly (Oht et al., 2002). In contrast, the function of Bld10/Cep135 appears to be nonessential for the initiation of centriole assembly in Drosophila, as centrioles are generally duplicated in mutant flies that lack the Bld10/Cep135 homolog (Blachon et al., 2009). Depletion of Drosophila Bld10 by RNA interference in S2 cells results in partial inhibition of centriole duplication, suggesting that Bld10 may be required under certain conditions. </w:t>
      </w:r>
    </w:p>
    <w:p w:rsidR="00000000" w:rsidDel="00000000" w:rsidP="00000000" w:rsidRDefault="00000000" w:rsidRPr="00000000" w14:paraId="00000318">
      <w:pPr>
        <w:jc w:val="both"/>
        <w:rPr/>
      </w:pPr>
      <w:r w:rsidDel="00000000" w:rsidR="00000000" w:rsidRPr="00000000">
        <w:rPr>
          <w:rtl w:val="0"/>
        </w:rPr>
      </w:r>
    </w:p>
    <w:p w:rsidR="00000000" w:rsidDel="00000000" w:rsidP="00000000" w:rsidRDefault="00000000" w:rsidRPr="00000000" w14:paraId="00000319">
      <w:pPr>
        <w:jc w:val="both"/>
        <w:rPr/>
      </w:pPr>
      <w:r w:rsidDel="00000000" w:rsidR="00000000" w:rsidRPr="00000000">
        <w:rPr>
          <w:rtl w:val="0"/>
        </w:rPr>
        <w:t xml:space="preserve">Ultrastructural analysis shows that the axonemes of sperm in bld10 mutant flies contain nine outer doublet microtubules, indicating that the centrioles from which they are assembled possess the correct ninefold symmetry. However, the sperm centrioles in these mutants are shorter than those in wild-type flies, and most flagella lack the central pair of microtubules, leading to male sterility (Mottier-Pavie, V., &amp; Megraw, T. L., 2009). It is unknown whether the cartwheels assembled in the bld10 mutant are normal.</w:t>
      </w:r>
    </w:p>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The stages preceding the formation of the cartwheel remain poorly studied. In Chlamydomonas and Paramecium, the cartwheel assembles on an amorphous, disk-like structure. Besides serving as the site for the assembly of the cartwheel, this amorphous disk may play a role in establishing the ninefold symmetry by controlling the diameter of the centrioles and, thereby, the number of microtubule triplets they can accommodate. In the Chlamydomonas bld12 mutant, 70% of basal bodies that retain the ring-like assembly of triplet microtubules demonstrate ninefold symmetry, despite the absence of the central hub of the cartwheel. </w:t>
      </w:r>
    </w:p>
    <w:p w:rsidR="00000000" w:rsidDel="00000000" w:rsidP="00000000" w:rsidRDefault="00000000" w:rsidRPr="00000000" w14:paraId="0000031C">
      <w:pPr>
        <w:jc w:val="both"/>
        <w:rPr/>
      </w:pPr>
      <w:r w:rsidDel="00000000" w:rsidR="00000000" w:rsidRPr="00000000">
        <w:rPr>
          <w:rtl w:val="0"/>
        </w:rPr>
      </w:r>
    </w:p>
    <w:p w:rsidR="00000000" w:rsidDel="00000000" w:rsidP="00000000" w:rsidRDefault="00000000" w:rsidRPr="00000000" w14:paraId="0000031D">
      <w:pPr>
        <w:jc w:val="both"/>
        <w:rPr/>
      </w:pPr>
      <w:r w:rsidDel="00000000" w:rsidR="00000000" w:rsidRPr="00000000">
        <w:rPr>
          <w:rtl w:val="0"/>
        </w:rPr>
        <w:t xml:space="preserve">This suggests the presence of additional mechanisms influencing the radial symmetry of centrioles. In Paramecium, depletion of Bld10 by RNA interference leads to the formation of centrioles that lack the spokes of the cartwheel but retain the central hub, suggesting that the hub is connected to the microtubule cylinder by a different structure, likely the amorphous disk. Similar disk-like structures have not been described in animal cells: instead, the procentrioles are seemingly connected to the walls of the parent centrioles via a connective stem.</w:t>
      </w:r>
    </w:p>
    <w:p w:rsidR="00000000" w:rsidDel="00000000" w:rsidP="00000000" w:rsidRDefault="00000000" w:rsidRPr="00000000" w14:paraId="0000031E">
      <w:pPr>
        <w:jc w:val="both"/>
        <w:rPr/>
      </w:pPr>
      <w:r w:rsidDel="00000000" w:rsidR="00000000" w:rsidRPr="00000000">
        <w:rPr>
          <w:rtl w:val="0"/>
        </w:rPr>
      </w:r>
    </w:p>
    <w:p w:rsidR="00000000" w:rsidDel="00000000" w:rsidP="00000000" w:rsidRDefault="00000000" w:rsidRPr="00000000" w14:paraId="0000031F">
      <w:pPr>
        <w:pStyle w:val="Heading4"/>
        <w:jc w:val="both"/>
        <w:rPr/>
      </w:pPr>
      <w:bookmarkStart w:colFirst="0" w:colLast="0" w:name="_8vnrkhvpzrnu" w:id="101"/>
      <w:bookmarkEnd w:id="101"/>
      <w:r w:rsidDel="00000000" w:rsidR="00000000" w:rsidRPr="00000000">
        <w:rPr>
          <w:rtl w:val="0"/>
        </w:rPr>
        <w:t xml:space="preserve">2.2.2.3 Assembly of Microtubules</w:t>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t xml:space="preserve">The assembly process of microtubules in the triplet structure of centrioles appears to occur in a stepwise manner. Initially, the singlet microtubules, or A-tubules, are attached to the spokes of the cartwheel-like structure, followed by the formation of doublets and triplets, which correspond to the incomplete B- and C-tubules, respectively. It is widely accepted that the attachment of singlet microtubules requires the action of a conserved protein family known as SAS-4, which is defined by the C. elegans SAS-4 gene and plays a crucial role in centriole duplication across a variety of organisms (Basto et al., 2006). A likely homolog of SAS-4 in human cells is called CPAP. Although CPAP shows significant amino acid divergence from C. elegans SAS-4, it concentrates in the proximal lumen of centrioles, where the cartwheel structure forms, and is essential for centriole duplication. </w:t>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t xml:space="preserve">This observation confirms that CPAP is a true homolog of SAS-4 in C. elegans (Kohlmaier et al., 2009). In C. elegans embryos, the central tube forms during the S phase and elongates during prophase, while microtubules begin to assemble around it during prometaphase. In embryos lacking SAS-4, the central tube forms and elongates, but the microtubules are unable to attach. The centriole-localized SAS-4 increases in concentration as the S phase progresses, suggesting that SAS-4 interacts with the central tube, and its amount increases as the tube elongates. Interestingly, centriole-localized SAS-4 remains in dynamic exchange with the cytoplasmic pool until prophase/prometaphase, where it becomes stably associated with the centrioles (Dammermann et al., 2008). </w:t>
      </w:r>
    </w:p>
    <w:p w:rsidR="00000000" w:rsidDel="00000000" w:rsidP="00000000" w:rsidRDefault="00000000" w:rsidRPr="00000000" w14:paraId="00000324">
      <w:pPr>
        <w:jc w:val="both"/>
        <w:rPr/>
      </w:pPr>
      <w:r w:rsidDel="00000000" w:rsidR="00000000" w:rsidRPr="00000000">
        <w:rPr>
          <w:rtl w:val="0"/>
        </w:rPr>
      </w:r>
    </w:p>
    <w:p w:rsidR="00000000" w:rsidDel="00000000" w:rsidP="00000000" w:rsidRDefault="00000000" w:rsidRPr="00000000" w14:paraId="00000325">
      <w:pPr>
        <w:jc w:val="both"/>
        <w:rPr/>
      </w:pPr>
      <w:r w:rsidDel="00000000" w:rsidR="00000000" w:rsidRPr="00000000">
        <w:rPr>
          <w:rtl w:val="0"/>
        </w:rPr>
        <w:t xml:space="preserve">This implies that centriole-localized SAS-4 may be stabilized through the assembly of centriole microtubules. This model is further supported by the observation that stabilization of centriole-localized SAS-4 requires γ-tubulin, which is believed to form the core of centriole microtubules, as well as β-tubulin. Additionally, γ-tubulin is necessary for the accumulation of SAS-4 in the pericentriolar matrix, suggesting a potential interaction between these two proteins. In human cells, it has been demonstrated that CPAP co-immunoprecipitates with γ-tubulin (Hung et al., 2000). The role of γ-tubulin in centriole assembly seems to be conserved, as γ-tubulin is required for centriole duplication in a wide range of eukaryotes (Haren et al., 2006). The function of γ-tubulin appears critical for controlling centriole assembly, as introducing specific mutations in γ-tubulin is sufficient to trigger the assembly of additional centrioles in Tetrahymena (Shang et al., 2005).</w:t>
      </w:r>
    </w:p>
    <w:p w:rsidR="00000000" w:rsidDel="00000000" w:rsidP="00000000" w:rsidRDefault="00000000" w:rsidRPr="00000000" w14:paraId="00000326">
      <w:pPr>
        <w:jc w:val="both"/>
        <w:rPr/>
      </w:pPr>
      <w:r w:rsidDel="00000000" w:rsidR="00000000" w:rsidRPr="00000000">
        <w:rPr>
          <w:rtl w:val="0"/>
        </w:rPr>
      </w:r>
    </w:p>
    <w:p w:rsidR="00000000" w:rsidDel="00000000" w:rsidP="00000000" w:rsidRDefault="00000000" w:rsidRPr="00000000" w14:paraId="00000327">
      <w:pPr>
        <w:jc w:val="both"/>
        <w:rPr/>
      </w:pPr>
      <w:r w:rsidDel="00000000" w:rsidR="00000000" w:rsidRPr="00000000">
        <w:rPr>
          <w:rtl w:val="0"/>
        </w:rPr>
        <w:t xml:space="preserve">Recent advances in cryo-electron microscopy have provided important new insights into the mechanism of microtubule assembly in centrioles within human centrosomes. In nascent procentrioles, the proximal or minus-end of the A-tubules is covered by a conical structure resembling the γ-tubulin ring complex (γ-TuRC), a structure known to form the microtubule nucleation core in animal cells. This observation suggests that each A-tubule is formed by a γ-TuRC core, and then it grows unidirectionally from the proximal to the distal end. </w:t>
      </w:r>
    </w:p>
    <w:p w:rsidR="00000000" w:rsidDel="00000000" w:rsidP="00000000" w:rsidRDefault="00000000" w:rsidRPr="00000000" w14:paraId="00000328">
      <w:pPr>
        <w:jc w:val="both"/>
        <w:rPr/>
      </w:pPr>
      <w:r w:rsidDel="00000000" w:rsidR="00000000" w:rsidRPr="00000000">
        <w:rPr>
          <w:rtl w:val="0"/>
        </w:rPr>
      </w:r>
    </w:p>
    <w:p w:rsidR="00000000" w:rsidDel="00000000" w:rsidP="00000000" w:rsidRDefault="00000000" w:rsidRPr="00000000" w14:paraId="00000329">
      <w:pPr>
        <w:jc w:val="both"/>
        <w:rPr/>
      </w:pPr>
      <w:r w:rsidDel="00000000" w:rsidR="00000000" w:rsidRPr="00000000">
        <w:rPr>
          <w:rtl w:val="0"/>
        </w:rPr>
        <w:t xml:space="preserve">Confirming this hypothesis, the distal or plus-end of the A-tubules in assembling procentrioles displays outward-curved extensions typical of growing microtubule ends. In contrast, the incomplete B- and C-tubules never close at their proximal ends, implying that their assembly is initiated by a different mechanism. The B- and C-tubules seem to begin assembly at various positions along the A- or B-tubules, respectively, and undergo bidirectional growth, as evidenced by the presence of curved extensions at both proximal and distal ends of the B- and C-tubules before they reach their final length. The proximal ends of B- and C-tubules become blunt when they reach the proximal end of the A-tubules, suggesting that a stabilization mechanism occurs at this point.</w:t>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t xml:space="preserve">Studies on Chlamydomonas and Paramecium have revealed the role of the δ- and ε-tubulin families in the formation or stabilization of B- and C-tubules (Dupuis-Williams et al., 2002). In the Chlamydomonas bld2-1 mutant, which expresses a truncated form of ε-tubulin, doublet and triplet microtubules are absent. In Chlamydomonas and Paramecium cells defective in δ-tubulin, the C-tubule is often missing, and most centrioles consist of only doublet microtubules. The requirement for δ-tubulin in the formation of C-tubules may be bypassed by suppressor mutations in α-tubulin, suggesting that δ-tubulin may be necessary for stabilizing the triplet rather than for the assembly of C-tubules (Fromherz et al., 2004). </w:t>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jc w:val="both"/>
        <w:rPr/>
      </w:pPr>
      <w:r w:rsidDel="00000000" w:rsidR="00000000" w:rsidRPr="00000000">
        <w:rPr>
          <w:rtl w:val="0"/>
        </w:rPr>
        <w:t xml:space="preserve">Additionally, the genes encoding ε- and δ-tubulins are absent from the Drosophila genome, despite the fact that this species forms centrioles containing triplet microtubules (Callaini et al., 1997). To date, the precise mechanism underlying the formation of incomplete B- and C-tubules remains unclear.</w:t>
      </w:r>
    </w:p>
    <w:p w:rsidR="00000000" w:rsidDel="00000000" w:rsidP="00000000" w:rsidRDefault="00000000" w:rsidRPr="00000000" w14:paraId="0000032E">
      <w:pPr>
        <w:jc w:val="both"/>
        <w:rPr/>
      </w:pPr>
      <w:r w:rsidDel="00000000" w:rsidR="00000000" w:rsidRPr="00000000">
        <w:rPr>
          <w:rtl w:val="0"/>
        </w:rPr>
      </w:r>
    </w:p>
    <w:p w:rsidR="00000000" w:rsidDel="00000000" w:rsidP="00000000" w:rsidRDefault="00000000" w:rsidRPr="00000000" w14:paraId="0000032F">
      <w:pPr>
        <w:pStyle w:val="Heading3"/>
        <w:jc w:val="both"/>
        <w:rPr/>
      </w:pPr>
      <w:bookmarkStart w:colFirst="0" w:colLast="0" w:name="_249588bajwe6" w:id="102"/>
      <w:bookmarkEnd w:id="102"/>
      <w:r w:rsidDel="00000000" w:rsidR="00000000" w:rsidRPr="00000000">
        <w:rPr>
          <w:rtl w:val="0"/>
        </w:rPr>
        <w:t xml:space="preserve">2.2.3 Elongation of Centrioles</w:t>
      </w:r>
    </w:p>
    <w:p w:rsidR="00000000" w:rsidDel="00000000" w:rsidP="00000000" w:rsidRDefault="00000000" w:rsidRPr="00000000" w14:paraId="00000330">
      <w:pPr>
        <w:jc w:val="both"/>
        <w:rPr/>
      </w:pPr>
      <w:r w:rsidDel="00000000" w:rsidR="00000000" w:rsidRPr="00000000">
        <w:rPr>
          <w:rtl w:val="0"/>
        </w:rPr>
      </w:r>
    </w:p>
    <w:p w:rsidR="00000000" w:rsidDel="00000000" w:rsidP="00000000" w:rsidRDefault="00000000" w:rsidRPr="00000000" w14:paraId="00000331">
      <w:pPr>
        <w:pStyle w:val="Heading4"/>
        <w:jc w:val="both"/>
        <w:rPr/>
      </w:pPr>
      <w:bookmarkStart w:colFirst="0" w:colLast="0" w:name="_k4knk45k4f0o" w:id="103"/>
      <w:bookmarkEnd w:id="103"/>
      <w:r w:rsidDel="00000000" w:rsidR="00000000" w:rsidRPr="00000000">
        <w:rPr>
          <w:rtl w:val="0"/>
        </w:rPr>
        <w:t xml:space="preserve">2.2.3.1 Temporal Regulation</w:t>
      </w:r>
    </w:p>
    <w:p w:rsidR="00000000" w:rsidDel="00000000" w:rsidP="00000000" w:rsidRDefault="00000000" w:rsidRPr="00000000" w14:paraId="00000332">
      <w:pPr>
        <w:jc w:val="both"/>
        <w:rPr/>
      </w:pPr>
      <w:r w:rsidDel="00000000" w:rsidR="00000000" w:rsidRPr="00000000">
        <w:rPr>
          <w:rtl w:val="0"/>
        </w:rPr>
      </w:r>
    </w:p>
    <w:p w:rsidR="00000000" w:rsidDel="00000000" w:rsidP="00000000" w:rsidRDefault="00000000" w:rsidRPr="00000000" w14:paraId="00000333">
      <w:pPr>
        <w:jc w:val="both"/>
        <w:rPr/>
      </w:pPr>
      <w:r w:rsidDel="00000000" w:rsidR="00000000" w:rsidRPr="00000000">
        <w:rPr>
          <w:rtl w:val="0"/>
        </w:rPr>
        <w:t xml:space="preserve">At the stage where the assembly of B- and C-tubules begins, the procentrioles are short, with their length slightly exceeding that of the cartwheel structure (approximately 70–100 nm). During subsequent stages of procentriole assembly, the centrioles undergo elongation, eventually reaching their full length (400–500 nm in most species). </w:t>
      </w:r>
    </w:p>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The length of the centriole appears to be under active control, not only due to the limited length change observed in any given cell type but also because the length undergoes dynamic changes at specific stages of the assembly process. For example, in Chlamydomonas, procentrioles assemble during mitosis and elongate during the subsequent G2 phase. In proliferating mammalian cells, procentrioles that assemble during the G1/S transition or early S-phase begin elongating during the S-phase, with elongation continuing into G2 and mitosis (Chrétien et al., 1997). </w:t>
      </w:r>
    </w:p>
    <w:p w:rsidR="00000000" w:rsidDel="00000000" w:rsidP="00000000" w:rsidRDefault="00000000" w:rsidRPr="00000000" w14:paraId="00000336">
      <w:pPr>
        <w:jc w:val="both"/>
        <w:rPr/>
      </w:pPr>
      <w:r w:rsidDel="00000000" w:rsidR="00000000" w:rsidRPr="00000000">
        <w:rPr>
          <w:rtl w:val="0"/>
        </w:rPr>
      </w:r>
    </w:p>
    <w:p w:rsidR="00000000" w:rsidDel="00000000" w:rsidP="00000000" w:rsidRDefault="00000000" w:rsidRPr="00000000" w14:paraId="00000337">
      <w:pPr>
        <w:jc w:val="both"/>
        <w:rPr/>
      </w:pPr>
      <w:r w:rsidDel="00000000" w:rsidR="00000000" w:rsidRPr="00000000">
        <w:rPr>
          <w:rtl w:val="0"/>
        </w:rPr>
        <w:t xml:space="preserve">Centriole elongation appears to be associated with cell cycle progression. In mammalian cells arrested in the S-phase by DNA replication inhibitors, procentrioles elongate to approximately 70% of their full length, which corresponds to the length of procentrioles in late S-phase of untreated cells, but do not elongate further. This suggests that the completion of centriole elongation requires progression into G2 (Azimzadeh et al., 2009). Moreover, studies of the conserved centriole component hPOC5 suggest that centriole elongation and cell cycle progression are also linked earlier in S-phase. In human cells depleted of hPOC5, centriole elongation is suppressed, and procentrioles remain roughly the same length as those in early S-phase. Furthermore, cell cycle progression is impaired, with cells accumulating in the S-phase. It is not clear whether these two events are linked or if hPOC5 independently regulates centriole elongation and cell cycle progression.</w:t>
      </w:r>
    </w:p>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jc w:val="both"/>
        <w:rPr/>
      </w:pPr>
      <w:r w:rsidDel="00000000" w:rsidR="00000000" w:rsidRPr="00000000">
        <w:rPr>
          <w:rtl w:val="0"/>
        </w:rPr>
        <w:t xml:space="preserve">The elongation of centrioles may also be restricted in certain cell types or specific stages of development, as observed in Drosophila and Apicomplexans (Morrissette et al., 2002). In these species, centriole elongation primarily occurs before the formation of cilia and flagella. In the uncoordinated Drosophila mutant (unc), centrioles do not elongate in ciliated sensory neurons and sperm cells, leading to the inhibition of ciliogenesis and, consequently, sensory dysfunction and male sterility. Interestingly, the product of the unc gene, which specifically localizes to basal bodies in these two cell types, has no orthologs outside of Dipteran insects (Baker et al., 2004), suggesting that centriole elongation in these organisms may depend on somewhat distinct molecular mechanisms.</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pStyle w:val="Heading4"/>
        <w:jc w:val="both"/>
        <w:rPr/>
      </w:pPr>
      <w:bookmarkStart w:colFirst="0" w:colLast="0" w:name="_ppmhpr7g7p23" w:id="104"/>
      <w:bookmarkEnd w:id="104"/>
      <w:r w:rsidDel="00000000" w:rsidR="00000000" w:rsidRPr="00000000">
        <w:rPr>
          <w:rtl w:val="0"/>
        </w:rPr>
        <w:t xml:space="preserve">2.2.3.2 Centriole Length Control</w:t>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t xml:space="preserve">How do the triplet microtubules elongate, and what molecular mechanisms regulate their final size? In animal cells, the incorporation of tubulin dimers into centriolar microtubules likely occurs under the distal cap, which contains the protein CP110. CP110 is highly conserved across animals and is essential for centriole duplication (Chen et al., 2002). In addition to its role in centriole duplication, CP110, along with another centriolar protein known as Cep97, also participates in controlling the formation of primary cilia in mammalian cells. </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t xml:space="preserve">Depletion of these proteins in the ciliated cell line RPE1 increases the fraction of cells that form a primary cilium. Conversely, overexpression of CP110 prevents primary cilium assembly under conditions that typically induce ciliogenesis (Spektor et al., 2007). Interestingly, in non-ciliated cell lines such as U2OS or HeLa, inhibition of either CP110 or Cep97 results in the formation of elongated structures initially believed to be primary cilia. However, recent findings have revealed that these structures actually correspond to abnormally elongated centrioles (Schmidt et al., 2009). Three recent reports have shown that similar structures form upon overexpression of CPAP, the human homolog of SAS-4 (Tang et al., 2009).</w:t>
      </w:r>
    </w:p>
    <w:p w:rsidR="00000000" w:rsidDel="00000000" w:rsidP="00000000" w:rsidRDefault="00000000" w:rsidRPr="00000000" w14:paraId="00000340">
      <w:pPr>
        <w:jc w:val="both"/>
        <w:rPr/>
      </w:pPr>
      <w:r w:rsidDel="00000000" w:rsidR="00000000" w:rsidRPr="00000000">
        <w:rPr>
          <w:rtl w:val="0"/>
        </w:rPr>
        <w:t xml:space="preserve">These centriole-like structures, which can grow several micrometers in length, result from excessive elongation of the centriole microtubules, originating both from the parental centrioles and from procentrioles. Ultrastructural analysis demonstrated that, despite their abnormal size, the elongated centrioles induced by CPAP overexpression or CP110 depletion often resemble authentic centrioles. This observation is further supported by immunofluorescence data showing that markers for specific substructures of the centriole are properly localized in the elongated centrioles. Taken together, these findings led the authors of these studies to propose a model in which both CPAP and CP110 are necessary for centriole length control. CPAP likely promotes elongation, possibly by facilitating the incorporation of tubulin dimers at the plus end of the centriole microtubules, while the CP110 cap activity would limit microtubule growth. </w:t>
      </w:r>
    </w:p>
    <w:p w:rsidR="00000000" w:rsidDel="00000000" w:rsidP="00000000" w:rsidRDefault="00000000" w:rsidRPr="00000000" w14:paraId="00000341">
      <w:pPr>
        <w:jc w:val="both"/>
        <w:rPr/>
      </w:pPr>
      <w:r w:rsidDel="00000000" w:rsidR="00000000" w:rsidRPr="00000000">
        <w:rPr>
          <w:rtl w:val="0"/>
        </w:rPr>
      </w:r>
    </w:p>
    <w:p w:rsidR="00000000" w:rsidDel="00000000" w:rsidP="00000000" w:rsidRDefault="00000000" w:rsidRPr="00000000" w14:paraId="00000342">
      <w:pPr>
        <w:jc w:val="both"/>
        <w:rPr/>
      </w:pPr>
      <w:r w:rsidDel="00000000" w:rsidR="00000000" w:rsidRPr="00000000">
        <w:rPr>
          <w:rtl w:val="0"/>
        </w:rPr>
        <w:t xml:space="preserve">In accordance with this hypothesis, members of the CPAP/SAS-4 family contain a domain that can bind tubulin dimers and induce microtubule depolymerization, a process that is essential for CPAP to aid in centriole elongation (Cormier et al., 2009). Notably, elevated CPAP expression induces high rates of centriole elongation during the G2 phase and mitosis, but not in cells arrested in S-phase. This may reflect differences in the mechanisms underlying centriole elongation in S-phase versus G2 or M-phase.</w:t>
      </w:r>
    </w:p>
    <w:p w:rsidR="00000000" w:rsidDel="00000000" w:rsidP="00000000" w:rsidRDefault="00000000" w:rsidRPr="00000000" w14:paraId="00000343">
      <w:pPr>
        <w:jc w:val="both"/>
        <w:rPr/>
      </w:pPr>
      <w:r w:rsidDel="00000000" w:rsidR="00000000" w:rsidRPr="00000000">
        <w:rPr>
          <w:rtl w:val="0"/>
        </w:rPr>
      </w:r>
    </w:p>
    <w:p w:rsidR="00000000" w:rsidDel="00000000" w:rsidP="00000000" w:rsidRDefault="00000000" w:rsidRPr="00000000" w14:paraId="00000344">
      <w:pPr>
        <w:jc w:val="both"/>
        <w:rPr/>
      </w:pPr>
      <w:r w:rsidDel="00000000" w:rsidR="00000000" w:rsidRPr="00000000">
        <w:rPr>
          <w:rtl w:val="0"/>
        </w:rPr>
        <w:t xml:space="preserve">Another centriolar component, Ofd1, plays a role in regulating centriole length in mammals (Singla et al., 2010). Ofd1 is a conserved centriolar protein that is known to mutate in various types of ciliopathies (Coene et al., 2009). Studies of knockout mice lacking the Ofd1 gene show that Ofd1 is essential for the formation of primary cilia in the embryonic node and kidneys (Ferrante et al., 2006). This phenotype is recapitulated in the embryonic stem cell line of mice deficient in Ofd1. </w:t>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jc w:val="both"/>
        <w:rPr/>
      </w:pPr>
      <w:r w:rsidDel="00000000" w:rsidR="00000000" w:rsidRPr="00000000">
        <w:rPr>
          <w:rtl w:val="0"/>
        </w:rPr>
        <w:t xml:space="preserve">Moreover, approximately one-third of these cells exhibit elongated centrioles, similar to those observed after depletion of either CP110 or Cep97 or after CPAP overexpression. In most cases, only the mother centriole elongates in Ofd1-deficient cells, although in control cells, Ofd1 localizes at the distal ends of both the mother and daughter centrioles, as well as procentrioles. Interestingly, the localization of CP110 and Cep97 at the distal ends of centrioles does not depend on the depletion of Ofd1, suggesting that these proteins act through a separate pathway for controlling centriole length. However, abnormal elongation of the mother centriole occurs during the G2 phase, but not in S-phase, in Ofd1-deficient cells, similar to the context of CP110 depletion and CPAP overexpression.</w:t>
      </w:r>
    </w:p>
    <w:p w:rsidR="00000000" w:rsidDel="00000000" w:rsidP="00000000" w:rsidRDefault="00000000" w:rsidRPr="00000000" w14:paraId="00000347">
      <w:pPr>
        <w:jc w:val="both"/>
        <w:rPr/>
      </w:pPr>
      <w:r w:rsidDel="00000000" w:rsidR="00000000" w:rsidRPr="00000000">
        <w:rPr>
          <w:rtl w:val="0"/>
        </w:rPr>
      </w:r>
    </w:p>
    <w:p w:rsidR="00000000" w:rsidDel="00000000" w:rsidP="00000000" w:rsidRDefault="00000000" w:rsidRPr="00000000" w14:paraId="00000348">
      <w:pPr>
        <w:jc w:val="both"/>
        <w:rPr/>
      </w:pPr>
      <w:r w:rsidDel="00000000" w:rsidR="00000000" w:rsidRPr="00000000">
        <w:rPr>
          <w:rtl w:val="0"/>
        </w:rPr>
        <w:t xml:space="preserve">Finally, centriole elongation may require another conserved protein family known as POC1 proteins. When human POC1 is overexpressed in U2OS cells arrested in S-phase, a stage at which centriole elongation is typically initiated, POC1-containing filaments are observed. These filaments resemble those induced by CPAP overexpression. These filaments contain centrin and γ-tubulin, suggesting that they may also correspond to abnormally elongated centrioles, although further ultrastructural analyses are needed to determine how closely they resemble true centrioles. </w:t>
      </w:r>
    </w:p>
    <w:p w:rsidR="00000000" w:rsidDel="00000000" w:rsidP="00000000" w:rsidRDefault="00000000" w:rsidRPr="00000000" w14:paraId="00000349">
      <w:pPr>
        <w:jc w:val="both"/>
        <w:rPr/>
      </w:pPr>
      <w:r w:rsidDel="00000000" w:rsidR="00000000" w:rsidRPr="00000000">
        <w:rPr>
          <w:rtl w:val="0"/>
        </w:rPr>
      </w:r>
    </w:p>
    <w:p w:rsidR="00000000" w:rsidDel="00000000" w:rsidP="00000000" w:rsidRDefault="00000000" w:rsidRPr="00000000" w14:paraId="0000034A">
      <w:pPr>
        <w:jc w:val="both"/>
        <w:rPr/>
      </w:pPr>
      <w:r w:rsidDel="00000000" w:rsidR="00000000" w:rsidRPr="00000000">
        <w:rPr>
          <w:rtl w:val="0"/>
        </w:rPr>
        <w:t xml:space="preserve">The role of POC1 proteins in centriole elongation is also supported by the study of two mutant lines deficient in the Drosophila POC1 homolog. In these mutants, spermatid centrioles are shorter than those in wild-type animals, suggesting a partial disruption of centriole elongation. In contrast, centriole length does not change upon POC1 depletion in Tetrahymena (Pearson et al., 2009). In Tetrahymena strains with a POC1 deletion, basal bodies show breaks in the microtubule blades, and these defects are exacerbated when mutant cells are grown at higher temperatures, leading to the loss of most basal bodies. Additionally, basal bodies in poc1 Δ cells are more sensitive to nocodazole, suggesting that Tetrahymena POC1 may play a role in stabilizing centrioles rather than directly controlling their length.</w:t>
      </w:r>
    </w:p>
    <w:p w:rsidR="00000000" w:rsidDel="00000000" w:rsidP="00000000" w:rsidRDefault="00000000" w:rsidRPr="00000000" w14:paraId="0000034B">
      <w:pPr>
        <w:jc w:val="both"/>
        <w:rPr/>
      </w:pPr>
      <w:r w:rsidDel="00000000" w:rsidR="00000000" w:rsidRPr="00000000">
        <w:rPr>
          <w:rtl w:val="0"/>
        </w:rPr>
      </w:r>
    </w:p>
    <w:p w:rsidR="00000000" w:rsidDel="00000000" w:rsidP="00000000" w:rsidRDefault="00000000" w:rsidRPr="00000000" w14:paraId="0000034C">
      <w:pPr>
        <w:pStyle w:val="Heading4"/>
        <w:jc w:val="both"/>
        <w:rPr/>
      </w:pPr>
      <w:bookmarkStart w:colFirst="0" w:colLast="0" w:name="_79vthem31qsv" w:id="105"/>
      <w:bookmarkEnd w:id="105"/>
      <w:r w:rsidDel="00000000" w:rsidR="00000000" w:rsidRPr="00000000">
        <w:rPr>
          <w:rtl w:val="0"/>
        </w:rPr>
        <w:t xml:space="preserve">2.2.3.3 Formation of the Distal End</w:t>
      </w:r>
    </w:p>
    <w:p w:rsidR="00000000" w:rsidDel="00000000" w:rsidP="00000000" w:rsidRDefault="00000000" w:rsidRPr="00000000" w14:paraId="0000034D">
      <w:pPr>
        <w:jc w:val="both"/>
        <w:rPr/>
      </w:pPr>
      <w:r w:rsidDel="00000000" w:rsidR="00000000" w:rsidRPr="00000000">
        <w:rPr>
          <w:rtl w:val="0"/>
        </w:rPr>
      </w:r>
    </w:p>
    <w:p w:rsidR="00000000" w:rsidDel="00000000" w:rsidP="00000000" w:rsidRDefault="00000000" w:rsidRPr="00000000" w14:paraId="0000034E">
      <w:pPr>
        <w:jc w:val="both"/>
        <w:rPr/>
      </w:pPr>
      <w:r w:rsidDel="00000000" w:rsidR="00000000" w:rsidRPr="00000000">
        <w:rPr>
          <w:rtl w:val="0"/>
        </w:rPr>
        <w:t xml:space="preserve">In addition to the elongation of the triplet microtubules, centriole elongation involves the assembly of intraluminal structures at the distal end of centrioles. Little is known about the function and molecular composition of these structures, which exhibit remarkable ultrastructural diversity among species. In mammalian cells, the distal lumen of centrioles is filled with a periodic stack of rings (Ibrahim et al., 2009). In Paramecium, the lumen contains a spiral structure, while in Tetrahymena, another ciliate, a cylindrical electron-dense structure is observed. The lumen of the basal bodies in Chlamydomonas appears to be filled with fibers that connect the microtubule triplets to each other (Geimer &amp; Melkonian, 2004). </w:t>
      </w:r>
    </w:p>
    <w:p w:rsidR="00000000" w:rsidDel="00000000" w:rsidP="00000000" w:rsidRDefault="00000000" w:rsidRPr="00000000" w14:paraId="0000034F">
      <w:pPr>
        <w:jc w:val="both"/>
        <w:rPr/>
      </w:pPr>
      <w:r w:rsidDel="00000000" w:rsidR="00000000" w:rsidRPr="00000000">
        <w:rPr>
          <w:rtl w:val="0"/>
        </w:rPr>
      </w:r>
    </w:p>
    <w:p w:rsidR="00000000" w:rsidDel="00000000" w:rsidP="00000000" w:rsidRDefault="00000000" w:rsidRPr="00000000" w14:paraId="00000350">
      <w:pPr>
        <w:jc w:val="both"/>
        <w:rPr/>
      </w:pPr>
      <w:r w:rsidDel="00000000" w:rsidR="00000000" w:rsidRPr="00000000">
        <w:rPr>
          <w:rtl w:val="0"/>
        </w:rPr>
        <w:t xml:space="preserve">Despite this variability in architecture, intraluminal structures in different eukaryotes seem to share common properties. Specifically, the distal lumen of centrioles in mammalian cells, ciliates, and Chlamydomonas contains centrin proteins (Paoletti et al., 1996). Centrin proteins are calcium-binding proteins related to calmodulin, and they are found associated with centrioles in most species and present in the genomes of all species that assemble motile cilia (Salisbury et al., 2002). However, their precise role remains unclear, possibly because they bind to several different partners within the centrioles. For instance, human centrin proteins directly bind to hPOC5 and the related centriolar component hSFI1 and co-immunoprecipitate with CP110 (Kilmartin, 2003).</w:t>
      </w:r>
    </w:p>
    <w:p w:rsidR="00000000" w:rsidDel="00000000" w:rsidP="00000000" w:rsidRDefault="00000000" w:rsidRPr="00000000" w14:paraId="00000351">
      <w:pPr>
        <w:jc w:val="both"/>
        <w:rPr/>
      </w:pPr>
      <w:r w:rsidDel="00000000" w:rsidR="00000000" w:rsidRPr="00000000">
        <w:rPr>
          <w:rtl w:val="0"/>
        </w:rPr>
      </w:r>
    </w:p>
    <w:p w:rsidR="00000000" w:rsidDel="00000000" w:rsidP="00000000" w:rsidRDefault="00000000" w:rsidRPr="00000000" w14:paraId="00000352">
      <w:pPr>
        <w:pStyle w:val="Heading3"/>
        <w:jc w:val="both"/>
        <w:rPr/>
      </w:pPr>
      <w:bookmarkStart w:colFirst="0" w:colLast="0" w:name="_w2icjawz7y0r" w:id="106"/>
      <w:bookmarkEnd w:id="106"/>
      <w:r w:rsidDel="00000000" w:rsidR="00000000" w:rsidRPr="00000000">
        <w:rPr>
          <w:rtl w:val="0"/>
        </w:rPr>
        <w:t xml:space="preserve">2.2.4 Maturation</w:t>
      </w:r>
    </w:p>
    <w:p w:rsidR="00000000" w:rsidDel="00000000" w:rsidP="00000000" w:rsidRDefault="00000000" w:rsidRPr="00000000" w14:paraId="00000353">
      <w:pPr>
        <w:jc w:val="both"/>
        <w:rPr/>
      </w:pPr>
      <w:r w:rsidDel="00000000" w:rsidR="00000000" w:rsidRPr="00000000">
        <w:rPr>
          <w:rtl w:val="0"/>
        </w:rPr>
      </w:r>
    </w:p>
    <w:p w:rsidR="00000000" w:rsidDel="00000000" w:rsidP="00000000" w:rsidRDefault="00000000" w:rsidRPr="00000000" w14:paraId="00000354">
      <w:pPr>
        <w:jc w:val="both"/>
        <w:rPr/>
      </w:pPr>
      <w:r w:rsidDel="00000000" w:rsidR="00000000" w:rsidRPr="00000000">
        <w:rPr>
          <w:rtl w:val="0"/>
        </w:rPr>
        <w:t xml:space="preserve">A centriole is considered mature when it is capable of nucleating a cilium or flagellum. Vertebrate centrosomes contain only one mature centriole, which carries two sets of ninefold symmetric appendages. Only the mother centriole can anchor to the plasma membrane and initiate primary cilium formation. In mice with defects in the central protein ODF2, these appendages fail to assemble, mother centrioles cannot anchor to the plasma membrane, and ciliogenesis is suppressed (Ishikawa et al., 2005). The most distal set of appendages likely participates in anchoring the centrioles. Similar structures, often referred to as transitional fibers, adorn the distal end of mature centrioles in most eukaryotic species that assemble cilia. In human cells, a protein named Cep164 has been identified, which specifically localizes to the distal appendages. Although it is unclear whether Cep164 is required for the assembly of distal appendages, ciliogenesis is suppressed in RPE1 cells lacking Cep164 (Graser et al., 2007). Cep164 is found in the genomes of most ciliating species, suggesting that distal appendages and transitional fibers are likely connected at the molecular level. Recently, it has been shown that the assembly of distal appendages depends on Ofd1, as Ofd1-deficient cells lack distal appendages and do not show Cep164 staining. Notably, by studying the effects of five disease-associated mutations in Ofd1 in Ofd1-deficient cells, Singla and colleagues identified mutations that affect centriole length but not distal appendage assembly, suggesting that these two processes are independently regulated by Ofd1.</w:t>
      </w:r>
    </w:p>
    <w:p w:rsidR="00000000" w:rsidDel="00000000" w:rsidP="00000000" w:rsidRDefault="00000000" w:rsidRPr="00000000" w14:paraId="00000355">
      <w:pPr>
        <w:jc w:val="both"/>
        <w:rPr/>
      </w:pPr>
      <w:r w:rsidDel="00000000" w:rsidR="00000000" w:rsidRPr="00000000">
        <w:rPr>
          <w:rtl w:val="0"/>
        </w:rPr>
      </w:r>
    </w:p>
    <w:p w:rsidR="00000000" w:rsidDel="00000000" w:rsidP="00000000" w:rsidRDefault="00000000" w:rsidRPr="00000000" w14:paraId="00000356">
      <w:pPr>
        <w:jc w:val="both"/>
        <w:rPr/>
      </w:pPr>
      <w:r w:rsidDel="00000000" w:rsidR="00000000" w:rsidRPr="00000000">
        <w:rPr>
          <w:rtl w:val="0"/>
        </w:rPr>
        <w:t xml:space="preserve">In addition to distal appendages, the mother centriole in vertebrate cells is adorned with ninefold symmetric subdistal appendages. These subdistal appendages are thought to play a role in stabilizing microtubules (Piel et al., 2000), and, like distal appendages, their assembly requires the protein ODF2.</w:t>
      </w:r>
    </w:p>
    <w:p w:rsidR="00000000" w:rsidDel="00000000" w:rsidP="00000000" w:rsidRDefault="00000000" w:rsidRPr="00000000" w14:paraId="00000357">
      <w:pPr>
        <w:jc w:val="both"/>
        <w:rPr/>
      </w:pPr>
      <w:r w:rsidDel="00000000" w:rsidR="00000000" w:rsidRPr="00000000">
        <w:rPr>
          <w:rtl w:val="0"/>
        </w:rPr>
      </w:r>
    </w:p>
    <w:p w:rsidR="00000000" w:rsidDel="00000000" w:rsidP="00000000" w:rsidRDefault="00000000" w:rsidRPr="00000000" w14:paraId="00000358">
      <w:pPr>
        <w:jc w:val="both"/>
        <w:rPr/>
      </w:pPr>
      <w:r w:rsidDel="00000000" w:rsidR="00000000" w:rsidRPr="00000000">
        <w:rPr>
          <w:rtl w:val="0"/>
        </w:rPr>
        <w:t xml:space="preserve">The maturation of centrioles is intricately linked with the progression of the cell cycle. In vertebrate cells, the full maturation of centrioles requires one and a half cell cycles. Centrioles formed during the previous cell cycle remain immature until mitosis, at which point two sets of appendages assemble at their distal ends (Vorobjev, I. A., &amp; Chentsov YuS, 1982). </w:t>
      </w:r>
    </w:p>
    <w:p w:rsidR="00000000" w:rsidDel="00000000" w:rsidP="00000000" w:rsidRDefault="00000000" w:rsidRPr="00000000" w14:paraId="00000359">
      <w:pPr>
        <w:jc w:val="both"/>
        <w:rPr/>
      </w:pPr>
      <w:r w:rsidDel="00000000" w:rsidR="00000000" w:rsidRPr="00000000">
        <w:rPr>
          <w:rtl w:val="0"/>
        </w:rPr>
      </w:r>
    </w:p>
    <w:p w:rsidR="00000000" w:rsidDel="00000000" w:rsidP="00000000" w:rsidRDefault="00000000" w:rsidRPr="00000000" w14:paraId="0000035A">
      <w:pPr>
        <w:jc w:val="both"/>
        <w:rPr/>
      </w:pPr>
      <w:r w:rsidDel="00000000" w:rsidR="00000000" w:rsidRPr="00000000">
        <w:rPr>
          <w:rtl w:val="0"/>
        </w:rPr>
        <w:t xml:space="preserve">In cells that are arrested in the S-phase for prolonged periods, the daughter centrioles fail to acquire appendages, suggesting that passage through the G2 phase or mitosis is essential for the maturation of centrioles (Guarguaglini et al., 2005). The maturation of centrioles in vertebrate cells may be regulated in such a way that each cell contains only one mature centriole at any given time, a condition that appears to be crucial for proper differentiation, tissue development, and organ formation in multicellular organisms. In contrast, unicellular organisms, such as Chlamydomonas, possess two mature centrioles, each bearing appendages. Interestingly, studies of cells deficient in δ-tubulin suggest that the two mature centrioles are not strictly equivalent. In these cells, centriole maturation occurs more slowly, and many cells only possess a single flagellum, which originates from the older centriole (Dutcher, S. K., &amp; Trabuco, E. C., 1998). </w:t>
      </w:r>
    </w:p>
    <w:p w:rsidR="00000000" w:rsidDel="00000000" w:rsidP="00000000" w:rsidRDefault="00000000" w:rsidRPr="00000000" w14:paraId="0000035B">
      <w:pPr>
        <w:jc w:val="both"/>
        <w:rPr/>
      </w:pPr>
      <w:r w:rsidDel="00000000" w:rsidR="00000000" w:rsidRPr="00000000">
        <w:rPr>
          <w:rtl w:val="0"/>
        </w:rPr>
      </w:r>
    </w:p>
    <w:p w:rsidR="00000000" w:rsidDel="00000000" w:rsidP="00000000" w:rsidRDefault="00000000" w:rsidRPr="00000000" w14:paraId="0000035C">
      <w:pPr>
        <w:jc w:val="both"/>
        <w:rPr/>
      </w:pPr>
      <w:r w:rsidDel="00000000" w:rsidR="00000000" w:rsidRPr="00000000">
        <w:rPr>
          <w:rtl w:val="0"/>
        </w:rPr>
        <w:t xml:space="preserve">Some algae species exhibit a series of functional transitions in their centrioles, passing through as many as three distinct states, so that daughter, mother, and grandmother centrioles give rise to flagella with different structures and motility (Melkonian et al., 1991). These studies indicate that centrioles can have at least three generations, though the mechanisms by which this occurs remain entirely unknown. </w:t>
      </w:r>
    </w:p>
    <w:p w:rsidR="00000000" w:rsidDel="00000000" w:rsidP="00000000" w:rsidRDefault="00000000" w:rsidRPr="00000000" w14:paraId="0000035D">
      <w:pPr>
        <w:jc w:val="both"/>
        <w:rPr/>
      </w:pPr>
      <w:r w:rsidDel="00000000" w:rsidR="00000000" w:rsidRPr="00000000">
        <w:rPr>
          <w:rtl w:val="0"/>
        </w:rPr>
      </w:r>
    </w:p>
    <w:p w:rsidR="00000000" w:rsidDel="00000000" w:rsidP="00000000" w:rsidRDefault="00000000" w:rsidRPr="00000000" w14:paraId="0000035E">
      <w:pPr>
        <w:jc w:val="both"/>
        <w:rPr/>
      </w:pPr>
      <w:r w:rsidDel="00000000" w:rsidR="00000000" w:rsidRPr="00000000">
        <w:rPr>
          <w:rtl w:val="0"/>
        </w:rPr>
        <w:t xml:space="preserve">In vertebrate cells, several proteins, including centrin and hPOC5, appear to associate with daughter centrioles in increasing amounts as the cell cycle progresses. Additionally, centriole pools of centrin and hPOC5 are highly phosphorylated (Paoletti et al., 2003). These changes in the composition of centrioles may be part of the maturation process.</w:t>
      </w:r>
    </w:p>
    <w:p w:rsidR="00000000" w:rsidDel="00000000" w:rsidP="00000000" w:rsidRDefault="00000000" w:rsidRPr="00000000" w14:paraId="0000035F">
      <w:pPr>
        <w:jc w:val="both"/>
        <w:rPr/>
      </w:pPr>
      <w:r w:rsidDel="00000000" w:rsidR="00000000" w:rsidRPr="00000000">
        <w:rPr>
          <w:rtl w:val="0"/>
        </w:rPr>
      </w:r>
    </w:p>
    <w:p w:rsidR="00000000" w:rsidDel="00000000" w:rsidP="00000000" w:rsidRDefault="00000000" w:rsidRPr="00000000" w14:paraId="00000360">
      <w:pPr>
        <w:pStyle w:val="Heading1"/>
        <w:jc w:val="both"/>
        <w:rPr/>
      </w:pPr>
      <w:bookmarkStart w:colFirst="0" w:colLast="0" w:name="_nv32regqry2y" w:id="107"/>
      <w:bookmarkEnd w:id="107"/>
      <w:r w:rsidDel="00000000" w:rsidR="00000000" w:rsidRPr="00000000">
        <w:rPr>
          <w:rtl w:val="0"/>
        </w:rPr>
        <w:t xml:space="preserve">Chapter 3: Hipotesis </w:t>
      </w:r>
    </w:p>
    <w:p w:rsidR="00000000" w:rsidDel="00000000" w:rsidP="00000000" w:rsidRDefault="00000000" w:rsidRPr="00000000" w14:paraId="00000361">
      <w:pPr>
        <w:jc w:val="both"/>
        <w:rPr/>
      </w:pPr>
      <w:r w:rsidDel="00000000" w:rsidR="00000000" w:rsidRPr="00000000">
        <w:rPr>
          <w:rtl w:val="0"/>
        </w:rPr>
      </w:r>
    </w:p>
    <w:p w:rsidR="00000000" w:rsidDel="00000000" w:rsidP="00000000" w:rsidRDefault="00000000" w:rsidRPr="00000000" w14:paraId="00000362">
      <w:pPr>
        <w:pStyle w:val="Heading2"/>
        <w:jc w:val="both"/>
        <w:rPr/>
      </w:pPr>
      <w:bookmarkStart w:colFirst="0" w:colLast="0" w:name="_jbbng3rikaub" w:id="108"/>
      <w:bookmarkEnd w:id="108"/>
      <w:r w:rsidDel="00000000" w:rsidR="00000000" w:rsidRPr="00000000">
        <w:rPr>
          <w:rtl w:val="0"/>
        </w:rPr>
        <w:t xml:space="preserve">3.1 Is selective accumulation of oldest centrioles in stem cells the main cause of aging?</w:t>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jc w:val="both"/>
        <w:rPr/>
      </w:pPr>
      <w:r w:rsidDel="00000000" w:rsidR="00000000" w:rsidRPr="00000000">
        <w:rPr>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&gt;3,72 × 10 </w:t>
      </w:r>
      <w:r w:rsidDel="00000000" w:rsidR="00000000" w:rsidRPr="00000000">
        <w:rPr>
          <w:vertAlign w:val="superscript"/>
          <w:rtl w:val="0"/>
        </w:rPr>
        <w:t xml:space="preserve">13</w:t>
      </w:r>
      <w:r w:rsidDel="00000000" w:rsidR="00000000" w:rsidRPr="00000000">
        <w:rPr>
          <w:rtl w:val="0"/>
        </w:rPr>
        <w:t xml:space="preserve">(Bianconi, 2013) cells of a fully grown human stem from a single cell – fertilized egg (Vaillancourt, 2009). Among tens of trillions of cells, there are under 200 types of them (Khan, 2022). This implies that the development of an organism is accompanied by 2 processes in the least: firstly, by extremely intensive cell proliferation that requires many trillions of mitoses; secondly, by emergence of differentiation among cells with an increase of cell amount (Boulan, 2021). </w:t>
      </w:r>
    </w:p>
    <w:p w:rsidR="00000000" w:rsidDel="00000000" w:rsidP="00000000" w:rsidRDefault="00000000" w:rsidRPr="00000000" w14:paraId="00000365">
      <w:pPr>
        <w:jc w:val="both"/>
        <w:rPr/>
      </w:pPr>
      <w:r w:rsidDel="00000000" w:rsidR="00000000" w:rsidRPr="00000000">
        <w:rPr>
          <w:rtl w:val="0"/>
        </w:rPr>
      </w:r>
    </w:p>
    <w:p w:rsidR="00000000" w:rsidDel="00000000" w:rsidP="00000000" w:rsidRDefault="00000000" w:rsidRPr="00000000" w14:paraId="00000366">
      <w:pPr>
        <w:jc w:val="both"/>
        <w:rPr/>
      </w:pPr>
      <w:r w:rsidDel="00000000" w:rsidR="00000000" w:rsidRPr="00000000">
        <w:rPr>
          <w:rtl w:val="0"/>
        </w:rPr>
        <w:t xml:space="preserve">There is a constant replacement of old cells with the new – regeneration process goes on unceasingly. In theory, regeneration tempo should remain steady as stem cells – source of cell and tissue regeneration – must not decrease in quantity. The stem cells divide asymmetrically: as the mother stem cell divides, one of its daughter cells takes the path of differentiation. While the other daughter cell preserves a potency of a stem cell, thus remaining identical to the mother stem cell. Thus, the ‘depleted’ mother stem cell is replaced by the daughter cell with preserved stemness potency – the stem cells quantity is kept intact, accordingly. </w:t>
      </w:r>
    </w:p>
    <w:p w:rsidR="00000000" w:rsidDel="00000000" w:rsidP="00000000" w:rsidRDefault="00000000" w:rsidRPr="00000000" w14:paraId="00000367">
      <w:pPr>
        <w:jc w:val="both"/>
        <w:rPr/>
      </w:pPr>
      <w:r w:rsidDel="00000000" w:rsidR="00000000" w:rsidRPr="00000000">
        <w:rPr>
          <w:rtl w:val="0"/>
        </w:rPr>
      </w:r>
    </w:p>
    <w:p w:rsidR="00000000" w:rsidDel="00000000" w:rsidP="00000000" w:rsidRDefault="00000000" w:rsidRPr="00000000" w14:paraId="00000368">
      <w:pPr>
        <w:jc w:val="both"/>
        <w:rPr/>
      </w:pPr>
      <w:r w:rsidDel="00000000" w:rsidR="00000000" w:rsidRPr="00000000">
        <w:rPr>
          <w:rtl w:val="0"/>
        </w:rPr>
        <w:t xml:space="preserve">On that basis, organisms of animals and humans must not age. But prevailing conditions are reversed, one generation of people after another ages and so far not a single mutation has taken place that might turn things around and put a halt to aging. Our current understanding of stem cells, their potency, and cell differentiation are still insufficient to understand the aging mechanisms.</w:t>
      </w:r>
    </w:p>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pStyle w:val="Heading3"/>
        <w:jc w:val="both"/>
        <w:rPr/>
      </w:pPr>
      <w:bookmarkStart w:colFirst="0" w:colLast="0" w:name="_th81o1b03mh9" w:id="109"/>
      <w:bookmarkEnd w:id="109"/>
      <w:r w:rsidDel="00000000" w:rsidR="00000000" w:rsidRPr="00000000">
        <w:rPr>
          <w:rtl w:val="0"/>
        </w:rPr>
        <w:t xml:space="preserve">3.1.1 Potency and differentiation</w:t>
      </w:r>
    </w:p>
    <w:p w:rsidR="00000000" w:rsidDel="00000000" w:rsidP="00000000" w:rsidRDefault="00000000" w:rsidRPr="00000000" w14:paraId="0000036B">
      <w:pPr>
        <w:jc w:val="both"/>
        <w:rPr/>
      </w:pPr>
      <w:r w:rsidDel="00000000" w:rsidR="00000000" w:rsidRPr="00000000">
        <w:rPr>
          <w:rtl w:val="0"/>
        </w:rPr>
      </w:r>
    </w:p>
    <w:p w:rsidR="00000000" w:rsidDel="00000000" w:rsidP="00000000" w:rsidRDefault="00000000" w:rsidRPr="00000000" w14:paraId="0000036C">
      <w:pPr>
        <w:jc w:val="both"/>
        <w:rPr/>
      </w:pPr>
      <w:r w:rsidDel="00000000" w:rsidR="00000000" w:rsidRPr="00000000">
        <w:rPr>
          <w:rtl w:val="0"/>
        </w:rPr>
        <w:t xml:space="preserve">The word ‘potency’ usually defines the ability or capacity, however not necessarily realized; in its reference to a cell,  the term ‘cellular potency’ is usually exercised to determine to what extent the given cell is able to become an ancestral cell to cells of various kinds (irrespective of  their amount) (Binder, 2009). As a fertilized egg serves as an ancestral cell to all the cell types in the organism, it is called a totipotent cell (Hansis, 2006). For how many generations is totipotency preserved in progeny cells? Ordinarily when a fertilized egg (zygote) divides as a result of first mitosis it leads to the formation of the daughter cells of an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(Silva, 2011). Thus, it proves that after the first (and possibly after second and even third) division, both daughter cells maintain totipotency (Galan, 2013). Interestingly, MZ twinning is closely associated with a stable DNA methylation signature in adult somatic tissues. This signature spans regions near telomeres and centromeres, Polycomb-repressed regions and heterochromatin, genes involved in cell-adhesion, WNT signaling and cell fate. </w:t>
      </w:r>
    </w:p>
    <w:p w:rsidR="00000000" w:rsidDel="00000000" w:rsidP="00000000" w:rsidRDefault="00000000" w:rsidRPr="00000000" w14:paraId="0000036D">
      <w:pPr>
        <w:jc w:val="both"/>
        <w:rPr/>
      </w:pPr>
      <w:r w:rsidDel="00000000" w:rsidR="00000000" w:rsidRPr="00000000">
        <w:rPr>
          <w:rtl w:val="0"/>
        </w:rPr>
      </w:r>
    </w:p>
    <w:p w:rsidR="00000000" w:rsidDel="00000000" w:rsidP="00000000" w:rsidRDefault="00000000" w:rsidRPr="00000000" w14:paraId="0000036E">
      <w:pPr>
        <w:pStyle w:val="Heading4"/>
        <w:jc w:val="both"/>
        <w:rPr/>
      </w:pPr>
      <w:bookmarkStart w:colFirst="0" w:colLast="0" w:name="_jbwfazo0bjo4" w:id="110"/>
      <w:bookmarkEnd w:id="110"/>
      <w:r w:rsidDel="00000000" w:rsidR="00000000" w:rsidRPr="00000000">
        <w:rPr>
          <w:rtl w:val="0"/>
        </w:rPr>
        <w:t xml:space="preserve">3.1.1.2 Differentiation and modulation</w:t>
      </w:r>
    </w:p>
    <w:p w:rsidR="00000000" w:rsidDel="00000000" w:rsidP="00000000" w:rsidRDefault="00000000" w:rsidRPr="00000000" w14:paraId="0000036F">
      <w:pPr>
        <w:jc w:val="both"/>
        <w:rPr/>
      </w:pPr>
      <w:r w:rsidDel="00000000" w:rsidR="00000000" w:rsidRPr="00000000">
        <w:rPr>
          <w:rtl w:val="0"/>
        </w:rPr>
      </w:r>
    </w:p>
    <w:p w:rsidR="00000000" w:rsidDel="00000000" w:rsidP="00000000" w:rsidRDefault="00000000" w:rsidRPr="00000000" w14:paraId="00000370">
      <w:pPr>
        <w:jc w:val="both"/>
        <w:rPr/>
      </w:pPr>
      <w:r w:rsidDel="00000000" w:rsidR="00000000" w:rsidRPr="00000000">
        <w:rPr>
          <w:rtl w:val="0"/>
        </w:rPr>
        <w:t xml:space="preserve">There are many somatic cells similar to further differentiated cells of other types. When these cells find themselves in different mediums, without division (an indispensable condition for differentiation) they revert to the early stage of differentiation. As they start to proliferate they are able, for instance, to regenerate a lost limb with the help of a wearable bioreactor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pStyle w:val="Heading4"/>
        <w:jc w:val="both"/>
        <w:rPr/>
      </w:pPr>
      <w:bookmarkStart w:colFirst="0" w:colLast="0" w:name="_bv70v62nrej4" w:id="111"/>
      <w:bookmarkEnd w:id="111"/>
      <w:r w:rsidDel="00000000" w:rsidR="00000000" w:rsidRPr="00000000">
        <w:rPr>
          <w:rtl w:val="0"/>
        </w:rPr>
        <w:t xml:space="preserve">3.1.1.3. Cells’ classifications according to the level of differentiation</w:t>
      </w:r>
    </w:p>
    <w:p w:rsidR="00000000" w:rsidDel="00000000" w:rsidP="00000000" w:rsidRDefault="00000000" w:rsidRPr="00000000" w14:paraId="00000373">
      <w:pPr>
        <w:jc w:val="both"/>
        <w:rPr/>
      </w:pPr>
      <w:r w:rsidDel="00000000" w:rsidR="00000000" w:rsidRPr="00000000">
        <w:rPr>
          <w:rtl w:val="0"/>
        </w:rPr>
      </w:r>
    </w:p>
    <w:p w:rsidR="00000000" w:rsidDel="00000000" w:rsidP="00000000" w:rsidRDefault="00000000" w:rsidRPr="00000000" w14:paraId="00000374">
      <w:pPr>
        <w:jc w:val="both"/>
        <w:rPr/>
      </w:pPr>
      <w:r w:rsidDel="00000000" w:rsidR="00000000" w:rsidRPr="00000000">
        <w:rPr>
          <w:rtl w:val="0"/>
        </w:rPr>
        <w:t xml:space="preserve">In a developing embryo, the differentiation usually takes place gradually, and it is related to formation of various cell lines (Shankar, 2021). Due to the gradualness of differentiation in generations, cells of embryo/adult organisms may be of different lines and different generations – namely to be at various levels of differentiation with different morphogenetic status (Tkemaladze J., 2022). Thereupon, the cells have various potencies (Han, 2020). From a point of morphogenetic status, they can be classified into following categories:</w:t>
      </w:r>
    </w:p>
    <w:p w:rsidR="00000000" w:rsidDel="00000000" w:rsidP="00000000" w:rsidRDefault="00000000" w:rsidRPr="00000000" w14:paraId="00000375">
      <w:pPr>
        <w:jc w:val="both"/>
        <w:rPr/>
      </w:pPr>
      <w:r w:rsidDel="00000000" w:rsidR="00000000" w:rsidRPr="00000000">
        <w:rPr>
          <w:rtl w:val="0"/>
        </w:rPr>
      </w:r>
    </w:p>
    <w:p w:rsidR="00000000" w:rsidDel="00000000" w:rsidP="00000000" w:rsidRDefault="00000000" w:rsidRPr="00000000" w14:paraId="00000376">
      <w:pPr>
        <w:numPr>
          <w:ilvl w:val="0"/>
          <w:numId w:val="21"/>
        </w:numPr>
        <w:jc w:val="both"/>
      </w:pPr>
      <w:r w:rsidDel="00000000" w:rsidR="00000000" w:rsidRPr="00000000">
        <w:rPr>
          <w:rtl w:val="0"/>
        </w:rPr>
        <w:t xml:space="preserve">Totipotent cells of the first 2 (possibly more) divisions of a zygote.</w:t>
      </w:r>
    </w:p>
    <w:p w:rsidR="00000000" w:rsidDel="00000000" w:rsidP="00000000" w:rsidRDefault="00000000" w:rsidRPr="00000000" w14:paraId="00000377">
      <w:pPr>
        <w:numPr>
          <w:ilvl w:val="0"/>
          <w:numId w:val="21"/>
        </w:numPr>
        <w:jc w:val="both"/>
      </w:pPr>
      <w:r w:rsidDel="00000000" w:rsidR="00000000" w:rsidRPr="00000000">
        <w:rPr>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(Gönczy, 2005). Differentiation-inducing division in the niche of stem cells (Venkei, 2018) – one of the daughter cells is no different from the mother cell (Chen, 2016) – is an individual case of the concerned category.</w:t>
      </w:r>
    </w:p>
    <w:p w:rsidR="00000000" w:rsidDel="00000000" w:rsidP="00000000" w:rsidRDefault="00000000" w:rsidRPr="00000000" w14:paraId="00000378">
      <w:pPr>
        <w:numPr>
          <w:ilvl w:val="0"/>
          <w:numId w:val="21"/>
        </w:numPr>
        <w:jc w:val="both"/>
      </w:pPr>
      <w:r w:rsidDel="00000000" w:rsidR="00000000" w:rsidRPr="00000000">
        <w:rPr>
          <w:rtl w:val="0"/>
        </w:rPr>
        <w:t xml:space="preserve">The end cells of the last generations are the end result of the differentiation, they possess no potency (Giehl, 2007). </w:t>
      </w:r>
    </w:p>
    <w:p w:rsidR="00000000" w:rsidDel="00000000" w:rsidP="00000000" w:rsidRDefault="00000000" w:rsidRPr="00000000" w14:paraId="00000379">
      <w:pPr>
        <w:numPr>
          <w:ilvl w:val="0"/>
          <w:numId w:val="21"/>
        </w:numPr>
        <w:jc w:val="both"/>
      </w:pPr>
      <w:r w:rsidDel="00000000" w:rsidR="00000000" w:rsidRPr="00000000">
        <w:rPr>
          <w:rtl w:val="0"/>
        </w:rPr>
        <w:t xml:space="preserve">Sex cells of humans and animals. Despite their radical differences from somatic cells, specification of germ line in the course of embryogenesis is conceptually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37A">
      <w:pPr>
        <w:jc w:val="both"/>
        <w:rPr/>
      </w:pPr>
      <w:r w:rsidDel="00000000" w:rsidR="00000000" w:rsidRPr="00000000">
        <w:rPr>
          <w:rtl w:val="0"/>
        </w:rPr>
      </w:r>
    </w:p>
    <w:p w:rsidR="00000000" w:rsidDel="00000000" w:rsidP="00000000" w:rsidRDefault="00000000" w:rsidRPr="00000000" w14:paraId="0000037B">
      <w:pPr>
        <w:pStyle w:val="Heading4"/>
        <w:jc w:val="both"/>
        <w:rPr/>
      </w:pPr>
      <w:bookmarkStart w:colFirst="0" w:colLast="0" w:name="_3m7sviqnigbu" w:id="112"/>
      <w:bookmarkEnd w:id="112"/>
      <w:r w:rsidDel="00000000" w:rsidR="00000000" w:rsidRPr="00000000">
        <w:rPr>
          <w:rtl w:val="0"/>
        </w:rPr>
        <w:t xml:space="preserve">3.1.1.4 Differentiation and proliferation rate decreases with aging alongside with the reduction of stem cells</w:t>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both"/>
        <w:rPr/>
      </w:pPr>
      <w:r w:rsidDel="00000000" w:rsidR="00000000" w:rsidRPr="00000000">
        <w:rPr>
          <w:rtl w:val="0"/>
        </w:rPr>
        <w:t xml:space="preserve">In a fully-developed organism of multicellular animals, regeneration takes place – replacement of old somatic cells with the new. Different cell types have different regeneration periods (Spalding, 2005). Even cells that were earlier considered to be unrestorable are subjected to replacement – neurons (Boldrini, 2018) If the regeneration process is constantly active and does not diminish, in theory the organism must not age—affected / mutated cells will be constantly substituted with healthy and new cells. But regeneration tempo declines with aging (Pechersky, 2016). Most probably, it is due to the fact that stem cell quantity decreases with geometric sequence that accelerates aging (Encinas, 2012). Establishing the reason for reduction of stem cells can be, possibly, determined  through in-depth examination of molecular mechanisms of differentiation of somatic cells and their impact on stem cells (Eckfeldt, 2005). </w:t>
      </w:r>
    </w:p>
    <w:p w:rsidR="00000000" w:rsidDel="00000000" w:rsidP="00000000" w:rsidRDefault="00000000" w:rsidRPr="00000000" w14:paraId="0000037E">
      <w:pPr>
        <w:jc w:val="both"/>
        <w:rPr/>
      </w:pPr>
      <w:r w:rsidDel="00000000" w:rsidR="00000000" w:rsidRPr="00000000">
        <w:rPr>
          <w:rtl w:val="0"/>
        </w:rPr>
      </w:r>
    </w:p>
    <w:p w:rsidR="00000000" w:rsidDel="00000000" w:rsidP="00000000" w:rsidRDefault="00000000" w:rsidRPr="00000000" w14:paraId="0000037F">
      <w:pPr>
        <w:pStyle w:val="Heading3"/>
        <w:jc w:val="both"/>
        <w:rPr/>
      </w:pPr>
      <w:bookmarkStart w:colFirst="0" w:colLast="0" w:name="_gtb2rykugeb9" w:id="113"/>
      <w:bookmarkEnd w:id="113"/>
      <w:r w:rsidDel="00000000" w:rsidR="00000000" w:rsidRPr="00000000">
        <w:rPr>
          <w:rtl w:val="0"/>
        </w:rPr>
        <w:t xml:space="preserve">3.1.2 Creation and improvement of differentiation mechanisms’ concepts</w:t>
      </w:r>
    </w:p>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jc w:val="both"/>
        <w:rPr/>
      </w:pPr>
      <w:r w:rsidDel="00000000" w:rsidR="00000000" w:rsidRPr="00000000">
        <w:rPr>
          <w:rtl w:val="0"/>
        </w:rPr>
        <w:t xml:space="preserve">Since the concept of gene was put forth at the end of XIX century, the assumption of genetic mutations, elimination, and deletions without exertion of lethal action was put forward. Such a mutant cell can continue division and pass on its alterations of DNA to its progenies. It was assumed that different cells lose different genes, therefore cells, belonging to different families, must possess different physical and functional characteristics (Weisann, 1890). After the development of methods of chromosomal analysis it turned out that the majority of animal cell types have the same chromosome set, and DNA composition in all somatic cells is also the same (Batty, 2019). It became necessary to find inducers that switch morphogenetic status of the mother cell to different morphogenetic statuses in daughter cells through divisions that cause differentiation.</w:t>
      </w:r>
    </w:p>
    <w:p w:rsidR="00000000" w:rsidDel="00000000" w:rsidP="00000000" w:rsidRDefault="00000000" w:rsidRPr="00000000" w14:paraId="00000382">
      <w:pPr>
        <w:jc w:val="both"/>
        <w:rPr/>
      </w:pPr>
      <w:r w:rsidDel="00000000" w:rsidR="00000000" w:rsidRPr="00000000">
        <w:rPr>
          <w:rtl w:val="0"/>
        </w:rPr>
      </w:r>
    </w:p>
    <w:p w:rsidR="00000000" w:rsidDel="00000000" w:rsidP="00000000" w:rsidRDefault="00000000" w:rsidRPr="00000000" w14:paraId="00000383">
      <w:pPr>
        <w:pStyle w:val="Heading4"/>
        <w:jc w:val="both"/>
        <w:rPr/>
      </w:pPr>
      <w:bookmarkStart w:colFirst="0" w:colLast="0" w:name="_3pg2thxtnrvb" w:id="114"/>
      <w:bookmarkEnd w:id="114"/>
      <w:r w:rsidDel="00000000" w:rsidR="00000000" w:rsidRPr="00000000">
        <w:rPr>
          <w:rtl w:val="0"/>
        </w:rPr>
        <w:t xml:space="preserve">3.1.2.1. There are no differentiation inducers in the nucleus of somatic cells</w:t>
      </w:r>
    </w:p>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jc w:val="both"/>
        <w:rPr/>
      </w:pPr>
      <w:r w:rsidDel="00000000" w:rsidR="00000000" w:rsidRPr="00000000">
        <w:rPr>
          <w:rtl w:val="0"/>
        </w:rPr>
        <w:t xml:space="preserve">The differences of somatic cells with different morphogenetic statuses were supposed to be due to the fact that different genes were repressed in them, and also different genes were available for expression (Brown, 2003).  The removal of the nucleus from the ovum and its replacement with the nucleus of a somatic cell that was subjected to certain differentiation (Campbell, 2001) has proved once more that (Briggs, 1960) there are no factors inducing differentiation in nuclei of somatic cells – fully developed clones  are the best proof of it starting from 1960.</w:t>
      </w:r>
    </w:p>
    <w:p w:rsidR="00000000" w:rsidDel="00000000" w:rsidP="00000000" w:rsidRDefault="00000000" w:rsidRPr="00000000" w14:paraId="00000386">
      <w:pPr>
        <w:jc w:val="both"/>
        <w:rPr/>
      </w:pPr>
      <w:r w:rsidDel="00000000" w:rsidR="00000000" w:rsidRPr="00000000">
        <w:rPr>
          <w:rtl w:val="0"/>
        </w:rPr>
      </w:r>
    </w:p>
    <w:p w:rsidR="00000000" w:rsidDel="00000000" w:rsidP="00000000" w:rsidRDefault="00000000" w:rsidRPr="00000000" w14:paraId="00000387">
      <w:pPr>
        <w:pStyle w:val="Heading4"/>
        <w:jc w:val="both"/>
        <w:rPr/>
      </w:pPr>
      <w:bookmarkStart w:colFirst="0" w:colLast="0" w:name="_fr92m68pr1qw" w:id="115"/>
      <w:bookmarkEnd w:id="115"/>
      <w:r w:rsidDel="00000000" w:rsidR="00000000" w:rsidRPr="00000000">
        <w:rPr>
          <w:rtl w:val="0"/>
        </w:rPr>
        <w:t xml:space="preserve">3.1.2.2. Differentiation inducers in cytoplasm of somatic cells</w:t>
      </w:r>
    </w:p>
    <w:p w:rsidR="00000000" w:rsidDel="00000000" w:rsidP="00000000" w:rsidRDefault="00000000" w:rsidRPr="00000000" w14:paraId="00000388">
      <w:pPr>
        <w:jc w:val="both"/>
        <w:rPr/>
      </w:pPr>
      <w:r w:rsidDel="00000000" w:rsidR="00000000" w:rsidRPr="00000000">
        <w:rPr>
          <w:rtl w:val="0"/>
        </w:rPr>
      </w:r>
    </w:p>
    <w:p w:rsidR="00000000" w:rsidDel="00000000" w:rsidP="00000000" w:rsidRDefault="00000000" w:rsidRPr="00000000" w14:paraId="00000389">
      <w:pPr>
        <w:jc w:val="both"/>
        <w:rPr/>
      </w:pPr>
      <w:r w:rsidDel="00000000" w:rsidR="00000000" w:rsidRPr="00000000">
        <w:rPr>
          <w:rtl w:val="0"/>
        </w:rPr>
        <w:t xml:space="preserve">If nuclear transplantation from somatic cell into enucleated zygote takes place within the same species, i.e., nuclear donor cells and oocytes belong to the same species, this is called interspecies nuclear transplantation (Gurdon, 2011). If oocytes and nuclear donor cells are of different species, such nuclear transplantation is defined as cross-species nuclear transplantation (CSNT). (Moore, 1960). Since efficacy of somatic cell CSNT remains low, it points to a decisive point of cytoplasmic medium of oocyte. (Narbonne, 2012). Nevertheless, when it same to cloning of some endangered mammals, such as the gaur (Lanza, 2000), the mouflon (Loi, 2001), the African wild cat (Gómez, 2004), the sand cat (Gómez, 2008) and the coyote (Hwang, 2013), CSNT has proven to be of essence – the oocytes were obtained from their closely related species. Increased probability of CSNT between closely-related species and practically zero probability of CSNT between distantly related species indicate that the regulation system of differentiation and inducers themselves must be highly related, compatible. </w:t>
      </w:r>
    </w:p>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jc w:val="both"/>
        <w:rPr/>
      </w:pPr>
      <w:r w:rsidDel="00000000" w:rsidR="00000000" w:rsidRPr="00000000">
        <w:rPr>
          <w:rtl w:val="0"/>
        </w:rPr>
        <w:t xml:space="preserve">Though cloning experiments eliminated the possibilities of finding differentiation inducers in nuclei of somatic cells, there is every likelihood that they are produced by nuclear DNA (RNA/protein) and taken beyond the nuclear membrane before the onset of differentiation. Unlike the chromosomes that are distributed between daughter cells evenly in the course of mitosis, the cytoplasm is not distributed to daughter cells equally either by its quantity, or quality (Wen, 2020). Therefore, it is plausible to search for differentiation inducers in stable and self-replicating structures of cytoplasm—mitochondria and centrioles. (Chichinadze, 2008).</w:t>
      </w:r>
    </w:p>
    <w:p w:rsidR="00000000" w:rsidDel="00000000" w:rsidP="00000000" w:rsidRDefault="00000000" w:rsidRPr="00000000" w14:paraId="0000038C">
      <w:pPr>
        <w:jc w:val="both"/>
        <w:rPr/>
      </w:pPr>
      <w:r w:rsidDel="00000000" w:rsidR="00000000" w:rsidRPr="00000000">
        <w:rPr>
          <w:rtl w:val="0"/>
        </w:rPr>
      </w:r>
    </w:p>
    <w:p w:rsidR="00000000" w:rsidDel="00000000" w:rsidP="00000000" w:rsidRDefault="00000000" w:rsidRPr="00000000" w14:paraId="0000038D">
      <w:pPr>
        <w:pStyle w:val="Heading3"/>
        <w:jc w:val="both"/>
        <w:rPr/>
      </w:pPr>
      <w:bookmarkStart w:colFirst="0" w:colLast="0" w:name="_2nc2m1d0si8x" w:id="116"/>
      <w:bookmarkEnd w:id="116"/>
      <w:r w:rsidDel="00000000" w:rsidR="00000000" w:rsidRPr="00000000">
        <w:rPr>
          <w:rtl w:val="0"/>
        </w:rPr>
        <w:t xml:space="preserve">3.1.3 Are differentiation inducers associated with centrioles?</w:t>
      </w:r>
    </w:p>
    <w:p w:rsidR="00000000" w:rsidDel="00000000" w:rsidP="00000000" w:rsidRDefault="00000000" w:rsidRPr="00000000" w14:paraId="0000038E">
      <w:pPr>
        <w:jc w:val="both"/>
        <w:rPr/>
      </w:pPr>
      <w:r w:rsidDel="00000000" w:rsidR="00000000" w:rsidRPr="00000000">
        <w:rPr>
          <w:rtl w:val="0"/>
        </w:rPr>
      </w:r>
    </w:p>
    <w:p w:rsidR="00000000" w:rsidDel="00000000" w:rsidP="00000000" w:rsidRDefault="00000000" w:rsidRPr="00000000" w14:paraId="0000038F">
      <w:pPr>
        <w:jc w:val="both"/>
        <w:rPr/>
      </w:pPr>
      <w:r w:rsidDel="00000000" w:rsidR="00000000" w:rsidRPr="00000000">
        <w:rPr>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pStyle w:val="Heading4"/>
        <w:jc w:val="both"/>
        <w:rPr/>
      </w:pPr>
      <w:bookmarkStart w:colFirst="0" w:colLast="0" w:name="_agsskch7jtsx" w:id="117"/>
      <w:bookmarkEnd w:id="117"/>
      <w:r w:rsidDel="00000000" w:rsidR="00000000" w:rsidRPr="00000000">
        <w:rPr>
          <w:rtl w:val="0"/>
        </w:rPr>
        <w:t xml:space="preserve">3.1.3.1 Centrioles in somatic cells </w:t>
      </w:r>
    </w:p>
    <w:p w:rsidR="00000000" w:rsidDel="00000000" w:rsidP="00000000" w:rsidRDefault="00000000" w:rsidRPr="00000000" w14:paraId="00000392">
      <w:pPr>
        <w:jc w:val="both"/>
        <w:rPr/>
      </w:pPr>
      <w:r w:rsidDel="00000000" w:rsidR="00000000" w:rsidRPr="00000000">
        <w:rPr>
          <w:rtl w:val="0"/>
        </w:rPr>
      </w:r>
    </w:p>
    <w:p w:rsidR="00000000" w:rsidDel="00000000" w:rsidP="00000000" w:rsidRDefault="00000000" w:rsidRPr="00000000" w14:paraId="00000393">
      <w:pPr>
        <w:pStyle w:val="Heading6"/>
        <w:jc w:val="both"/>
        <w:rPr/>
      </w:pPr>
      <w:bookmarkStart w:colFirst="0" w:colLast="0" w:name="_vgnlqch3pzun" w:id="118"/>
      <w:bookmarkEnd w:id="118"/>
      <w:r w:rsidDel="00000000" w:rsidR="00000000" w:rsidRPr="00000000">
        <w:rPr>
          <w:rtl w:val="0"/>
        </w:rPr>
        <w:t xml:space="preserve">Picture 4. Model of the centriolar architecture. (Le Guennec et al., 2021)</w:t>
      </w:r>
      <w:r w:rsidDel="00000000" w:rsidR="00000000" w:rsidRPr="00000000">
        <w:rPr/>
        <w:drawing>
          <wp:inline distB="114300" distT="114300" distL="114300" distR="114300">
            <wp:extent cx="5943600" cy="5562600"/>
            <wp:effectExtent b="0" l="0" r="0" t="0"/>
            <wp:docPr id="3"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jc w:val="both"/>
        <w:rPr/>
      </w:pPr>
      <w:r w:rsidDel="00000000" w:rsidR="00000000" w:rsidRPr="00000000">
        <w:rPr>
          <w:rtl w:val="0"/>
        </w:rPr>
      </w:r>
    </w:p>
    <w:p w:rsidR="00000000" w:rsidDel="00000000" w:rsidP="00000000" w:rsidRDefault="00000000" w:rsidRPr="00000000" w14:paraId="00000395">
      <w:pPr>
        <w:jc w:val="both"/>
        <w:rPr/>
      </w:pPr>
      <w:r w:rsidDel="00000000" w:rsidR="00000000" w:rsidRPr="00000000">
        <w:rPr>
          <w:rtl w:val="0"/>
        </w:rPr>
        <w:t xml:space="preserve">(a) Model of the distinct structural regions of the centriole. (1) Complete view of the centriole, (2) Centriole view without microtubule blades highlighting non-microtubule structural features, (3) Longitudinal cross-section highlighting luminal structural elements. (b) Centriole seen from the proximal side. (c) Zoomed view of microtubule triplet with labeled protofilaments. Cartwheel, blue; CID, red; D2 density, orange; pinhead, magenta; triplet base, green; A-C linker, cyan; inner scaffold, orange; subdistal appendage, dark red; distal appendages; yellow; tubulin, gray. </w:t>
      </w:r>
    </w:p>
    <w:p w:rsidR="00000000" w:rsidDel="00000000" w:rsidP="00000000" w:rsidRDefault="00000000" w:rsidRPr="00000000" w14:paraId="00000396">
      <w:pPr>
        <w:jc w:val="both"/>
        <w:rPr/>
      </w:pPr>
      <w:r w:rsidDel="00000000" w:rsidR="00000000" w:rsidRPr="00000000">
        <w:rPr>
          <w:rtl w:val="0"/>
        </w:rPr>
        <w:t xml:space="preserve">The proximal region of the centriole is composed by several substructures. One of the first identified was probably the cartwheel. The pinhead runs from the proximal end of the microtubule wall, and terminates at, or within a few nanometers from the end of the cartwheel.</w:t>
      </w:r>
    </w:p>
    <w:p w:rsidR="00000000" w:rsidDel="00000000" w:rsidP="00000000" w:rsidRDefault="00000000" w:rsidRPr="00000000" w14:paraId="00000397">
      <w:pPr>
        <w:jc w:val="both"/>
        <w:rPr/>
      </w:pPr>
      <w:r w:rsidDel="00000000" w:rsidR="00000000" w:rsidRPr="00000000">
        <w:rPr>
          <w:rtl w:val="0"/>
        </w:rPr>
      </w:r>
    </w:p>
    <w:p w:rsidR="00000000" w:rsidDel="00000000" w:rsidP="00000000" w:rsidRDefault="00000000" w:rsidRPr="00000000" w14:paraId="00000398">
      <w:pPr>
        <w:pStyle w:val="Heading6"/>
        <w:jc w:val="both"/>
        <w:rPr/>
      </w:pPr>
      <w:bookmarkStart w:colFirst="0" w:colLast="0" w:name="_lz24onb8g4gk" w:id="119"/>
      <w:bookmarkEnd w:id="119"/>
      <w:r w:rsidDel="00000000" w:rsidR="00000000" w:rsidRPr="00000000">
        <w:rPr>
          <w:rtl w:val="0"/>
        </w:rPr>
        <w:t xml:space="preserve">Picture 5. The proximal organization of the centriole (Le Guennec et al., 2021)</w:t>
      </w:r>
    </w:p>
    <w:p w:rsidR="00000000" w:rsidDel="00000000" w:rsidP="00000000" w:rsidRDefault="00000000" w:rsidRPr="00000000" w14:paraId="00000399">
      <w:pPr>
        <w:jc w:val="both"/>
        <w:rPr/>
      </w:pPr>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t xml:space="preserve"> </w:t>
      </w:r>
      <w:r w:rsidDel="00000000" w:rsidR="00000000" w:rsidRPr="00000000">
        <w:rPr/>
        <w:drawing>
          <wp:inline distB="114300" distT="114300" distL="114300" distR="114300">
            <wp:extent cx="5943600" cy="6578600"/>
            <wp:effectExtent b="0" l="0" r="0" t="0"/>
            <wp:docPr id="8"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jc w:val="both"/>
        <w:rPr/>
      </w:pPr>
      <w:r w:rsidDel="00000000" w:rsidR="00000000" w:rsidRPr="00000000">
        <w:rPr>
          <w:rtl w:val="0"/>
        </w:rPr>
        <w:t xml:space="preserve">(a) Longitudinal cross-section (left) and top (right) views of the proximal part of the centriole. The inset (bottom right) highlights the periodicity observed for the A-C linker structure. (b)Transversal (top) and lateral (bottom) cross-sections of cartwheels from Trichonympha (left), Paramecium (middle), and Chlamydomonas (right). </w:t>
      </w:r>
    </w:p>
    <w:p w:rsidR="00000000" w:rsidDel="00000000" w:rsidP="00000000" w:rsidRDefault="00000000" w:rsidRPr="00000000" w14:paraId="0000039D">
      <w:pPr>
        <w:jc w:val="both"/>
        <w:rPr/>
      </w:pP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t xml:space="preserve">Occupying the region immediately distal to the proximal region, and extending towards the distal end of the microtubule triplets, lies the inner scaffold.</w:t>
      </w:r>
    </w:p>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pStyle w:val="Heading6"/>
        <w:jc w:val="both"/>
        <w:rPr/>
      </w:pPr>
      <w:bookmarkStart w:colFirst="0" w:colLast="0" w:name="_omthb7ylc6mf" w:id="120"/>
      <w:bookmarkEnd w:id="120"/>
      <w:r w:rsidDel="00000000" w:rsidR="00000000" w:rsidRPr="00000000">
        <w:rPr>
          <w:rtl w:val="0"/>
        </w:rPr>
        <w:t xml:space="preserve">Picture 6. The central core and inner scaffold (Le Guennec et al., 2021)</w:t>
      </w:r>
    </w:p>
    <w:p w:rsidR="00000000" w:rsidDel="00000000" w:rsidP="00000000" w:rsidRDefault="00000000" w:rsidRPr="00000000" w14:paraId="000003A1">
      <w:pPr>
        <w:pStyle w:val="Heading6"/>
        <w:jc w:val="both"/>
        <w:rPr/>
      </w:pPr>
      <w:bookmarkStart w:colFirst="0" w:colLast="0" w:name="_1n4aeqm691og" w:id="121"/>
      <w:bookmarkEnd w:id="121"/>
      <w:r w:rsidDel="00000000" w:rsidR="00000000" w:rsidRPr="00000000">
        <w:rPr/>
        <w:drawing>
          <wp:inline distB="114300" distT="114300" distL="114300" distR="114300">
            <wp:extent cx="5943600" cy="7429500"/>
            <wp:effectExtent b="0" l="0" r="0" t="0"/>
            <wp:docPr id="11"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jc w:val="both"/>
        <w:rPr/>
      </w:pPr>
      <w:r w:rsidDel="00000000" w:rsidR="00000000" w:rsidRPr="00000000">
        <w:rPr>
          <w:rtl w:val="0"/>
        </w:rPr>
        <w:t xml:space="preserve">(a) Longitudinal cross section of the central core Paramecium centriole. (b) Graphical representation of the helical pattern of Paramecium inner scaffold. (c) Graphical representation of transversal cross sections of the central core of Chlamydomonas, Paramecium, and human centriole, with zoomed inset of inner scaffold connection with the microtubule triplets/doublets. The asterisks indicate the conserved position of the stem.</w:t>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pStyle w:val="Heading6"/>
        <w:jc w:val="both"/>
        <w:rPr/>
      </w:pPr>
      <w:bookmarkStart w:colFirst="0" w:colLast="0" w:name="_lch8irdod1h0" w:id="122"/>
      <w:bookmarkEnd w:id="122"/>
      <w:r w:rsidDel="00000000" w:rsidR="00000000" w:rsidRPr="00000000">
        <w:rPr>
          <w:rtl w:val="0"/>
        </w:rPr>
        <w:t xml:space="preserve">Picture 7. The centriolar appendages and MIPs (Le Guennec et al., 2021)</w:t>
      </w:r>
    </w:p>
    <w:p w:rsidR="00000000" w:rsidDel="00000000" w:rsidP="00000000" w:rsidRDefault="00000000" w:rsidRPr="00000000" w14:paraId="000003A6">
      <w:pPr>
        <w:jc w:val="both"/>
        <w:rPr/>
      </w:pPr>
      <w:r w:rsidDel="00000000" w:rsidR="00000000" w:rsidRPr="00000000">
        <w:rPr>
          <w:rtl w:val="0"/>
        </w:rPr>
      </w:r>
    </w:p>
    <w:p w:rsidR="00000000" w:rsidDel="00000000" w:rsidP="00000000" w:rsidRDefault="00000000" w:rsidRPr="00000000" w14:paraId="000003A7">
      <w:pPr>
        <w:jc w:val="both"/>
        <w:rPr/>
      </w:pPr>
      <w:r w:rsidDel="00000000" w:rsidR="00000000" w:rsidRPr="00000000">
        <w:rPr/>
        <w:drawing>
          <wp:inline distB="114300" distT="114300" distL="114300" distR="114300">
            <wp:extent cx="5943600" cy="6032500"/>
            <wp:effectExtent b="0" l="0" r="0" t="0"/>
            <wp:docPr id="10"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jc w:val="both"/>
        <w:rPr/>
      </w:pPr>
      <w:r w:rsidDel="00000000" w:rsidR="00000000" w:rsidRPr="00000000">
        <w:rPr>
          <w:rtl w:val="0"/>
        </w:rPr>
      </w:r>
    </w:p>
    <w:p w:rsidR="00000000" w:rsidDel="00000000" w:rsidP="00000000" w:rsidRDefault="00000000" w:rsidRPr="00000000" w14:paraId="000003A9">
      <w:pPr>
        <w:jc w:val="both"/>
        <w:rPr/>
      </w:pPr>
      <w:r w:rsidDel="00000000" w:rsidR="00000000" w:rsidRPr="00000000">
        <w:rPr>
          <w:rtl w:val="0"/>
        </w:rPr>
        <w:t xml:space="preserve">(a) Distal end of the centriole containing distal appendages DA (yellow, left) and subdistal appendage SDA (dark red, right). Asterisk indicates the putative localization of FBF1. (b) MIPs organization in Paramecium and Chlamydomonas proximal and central core regions. (c) Table describing MIPs occupying the same position in Chlamydomonas axonemal doublets, with known human homologs.</w:t>
      </w:r>
    </w:p>
    <w:p w:rsidR="00000000" w:rsidDel="00000000" w:rsidP="00000000" w:rsidRDefault="00000000" w:rsidRPr="00000000" w14:paraId="000003AA">
      <w:pPr>
        <w:jc w:val="both"/>
        <w:rPr/>
      </w:pPr>
      <w:r w:rsidDel="00000000" w:rsidR="00000000" w:rsidRPr="00000000">
        <w:rPr>
          <w:rtl w:val="0"/>
        </w:rPr>
      </w:r>
    </w:p>
    <w:p w:rsidR="00000000" w:rsidDel="00000000" w:rsidP="00000000" w:rsidRDefault="00000000" w:rsidRPr="00000000" w14:paraId="000003AB">
      <w:pPr>
        <w:jc w:val="both"/>
        <w:rPr/>
      </w:pPr>
      <w:r w:rsidDel="00000000" w:rsidR="00000000" w:rsidRPr="00000000">
        <w:rPr>
          <w:rtl w:val="0"/>
        </w:rPr>
        <w:t xml:space="preserve">Despite the breakthrough in research of the structure of centriole, its role within the cell is still shrouded with mystery. Distribution of chromosomes between daughter cells, other functions during mitosis were attributed to centrioles – all the assumptions turned out to be wrong. Moreover, distortion of ratio of centriole number and chromosome number in  transformed cells and tumor cells most likely indicates centriole as a structure involved in differentiation, but not as a regulator of mitosis (acentriolar somatic cells perfectly divide and perfectly distribute genetic material between daughter cells). Currently, it is known that centrioles organize pericentriolar components in a discrete focus functioning as a biochemical center (Woodruff, 2014).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w:t>
      </w:r>
    </w:p>
    <w:p w:rsidR="00000000" w:rsidDel="00000000" w:rsidP="00000000" w:rsidRDefault="00000000" w:rsidRPr="00000000" w14:paraId="000003AC">
      <w:pPr>
        <w:jc w:val="both"/>
        <w:rPr/>
      </w:pPr>
      <w:r w:rsidDel="00000000" w:rsidR="00000000" w:rsidRPr="00000000">
        <w:rPr>
          <w:rtl w:val="0"/>
        </w:rPr>
        <w:t xml:space="preserve"> </w:t>
      </w:r>
    </w:p>
    <w:p w:rsidR="00000000" w:rsidDel="00000000" w:rsidP="00000000" w:rsidRDefault="00000000" w:rsidRPr="00000000" w14:paraId="000003AD">
      <w:pPr>
        <w:jc w:val="both"/>
        <w:rPr/>
      </w:pPr>
      <w:r w:rsidDel="00000000" w:rsidR="00000000" w:rsidRPr="00000000">
        <w:rPr>
          <w:rtl w:val="0"/>
        </w:rPr>
        <w:t xml:space="preserve">Centrioles gather by the proximal end of a preexisting centriole that was constituted at an earlier cell cycle and was passed down through mitosis and cell division. (Gönczy, 2019). The concept of a preliminary-formed matrix of microtubules or genome localized in centrioles that govern centrioles’ assembly was discarded due to the absence of experimental support. (Marshall, 2000).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karyoplasts containing nucleus, however, devoid of centrioles. Karyoplast maintained its vitality, but new centrioles were not produced (Maniotis, 1991). If centrioles are not produced de novo (Nabais, 2021) this suggests that preexisting centrioles might be necessary for assembly of new centrioles. The consecutive research examined cell fragments under continuous microscopic monitoring and brought to three important results (Hinchcliffe, 2001). First, acentriolar karyoplasts entered mitosis and completed it, it proved in vitro studies correct that indicate that centrosomes are not essential for the formation of  bipolar spindles (Wadsworth, 2004).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w:t>
      </w:r>
    </w:p>
    <w:p w:rsidR="00000000" w:rsidDel="00000000" w:rsidP="00000000" w:rsidRDefault="00000000" w:rsidRPr="00000000" w14:paraId="000003AE">
      <w:pPr>
        <w:jc w:val="both"/>
        <w:rPr/>
      </w:pPr>
      <w:r w:rsidDel="00000000" w:rsidR="00000000" w:rsidRPr="00000000">
        <w:rPr>
          <w:rtl w:val="0"/>
        </w:rPr>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pPr>
      <w:r w:rsidDel="00000000" w:rsidR="00000000" w:rsidRPr="00000000">
        <w:rPr>
          <w:rtl w:val="0"/>
        </w:rPr>
      </w:r>
    </w:p>
    <w:p w:rsidR="00000000" w:rsidDel="00000000" w:rsidP="00000000" w:rsidRDefault="00000000" w:rsidRPr="00000000" w14:paraId="000003B1">
      <w:pPr>
        <w:pStyle w:val="Heading2"/>
        <w:jc w:val="both"/>
        <w:rPr/>
      </w:pPr>
      <w:bookmarkStart w:colFirst="0" w:colLast="0" w:name="_s6ktuqfzqfxn" w:id="123"/>
      <w:bookmarkEnd w:id="123"/>
      <w:r w:rsidDel="00000000" w:rsidR="00000000" w:rsidRPr="00000000">
        <w:rPr>
          <w:rtl w:val="0"/>
        </w:rPr>
        <w:t xml:space="preserve">3.2 Is cnRNA a differentiation inductor?</w:t>
      </w:r>
    </w:p>
    <w:p w:rsidR="00000000" w:rsidDel="00000000" w:rsidP="00000000" w:rsidRDefault="00000000" w:rsidRPr="00000000" w14:paraId="000003B2">
      <w:pPr>
        <w:jc w:val="both"/>
        <w:rPr/>
      </w:pPr>
      <w:r w:rsidDel="00000000" w:rsidR="00000000" w:rsidRPr="00000000">
        <w:rPr>
          <w:rtl w:val="0"/>
        </w:rPr>
      </w:r>
    </w:p>
    <w:p w:rsidR="00000000" w:rsidDel="00000000" w:rsidP="00000000" w:rsidRDefault="00000000" w:rsidRPr="00000000" w14:paraId="000003B3">
      <w:pPr>
        <w:jc w:val="both"/>
        <w:rPr/>
      </w:pPr>
      <w:r w:rsidDel="00000000" w:rsidR="00000000" w:rsidRPr="00000000">
        <w:rPr>
          <w:rtl w:val="0"/>
        </w:rPr>
        <w:t xml:space="preserve">The possible presence of centrosomal RNA as one of the mechanisms of centrosomal influence on a cell and as a mechanism for information storage and reproduction has previously been discussed (Chichinadze and Tkemaladze 2008; Tkemaladze and Chichinadze 2005a). The assumption that there exists a centrosome-specific RNA was based on the following consideration: of the four self-duplicating cellular organelles, nucleus, mitochondria, plastids, and centrosome (Alliegro 2008), only the first three have their own DNA; therefore, it would be logical to assume the presence of DNA/RNA in the centrosome.However,asearlyas1970, the consensus was that centrosomes do not contain DNA (Wheatley 1982). Consequently, one might assume that there is only RNA present in centrosomes.</w:t>
      </w:r>
    </w:p>
    <w:p w:rsidR="00000000" w:rsidDel="00000000" w:rsidP="00000000" w:rsidRDefault="00000000" w:rsidRPr="00000000" w14:paraId="000003B4">
      <w:pPr>
        <w:jc w:val="both"/>
        <w:rPr/>
      </w:pPr>
      <w:r w:rsidDel="00000000" w:rsidR="00000000" w:rsidRPr="00000000">
        <w:rPr>
          <w:rtl w:val="0"/>
        </w:rPr>
      </w:r>
    </w:p>
    <w:p w:rsidR="00000000" w:rsidDel="00000000" w:rsidP="00000000" w:rsidRDefault="00000000" w:rsidRPr="00000000" w14:paraId="000003B5">
      <w:pPr>
        <w:pStyle w:val="Heading3"/>
        <w:jc w:val="both"/>
        <w:rPr/>
      </w:pPr>
      <w:bookmarkStart w:colFirst="0" w:colLast="0" w:name="_2et92p0" w:id="124"/>
      <w:bookmarkEnd w:id="124"/>
      <w:r w:rsidDel="00000000" w:rsidR="00000000" w:rsidRPr="00000000">
        <w:rPr>
          <w:rtl w:val="0"/>
        </w:rPr>
        <w:t xml:space="preserve">3.2.1 History of the search for nucleic acids in centrosome and cnRNA</w:t>
      </w:r>
    </w:p>
    <w:p w:rsidR="00000000" w:rsidDel="00000000" w:rsidP="00000000" w:rsidRDefault="00000000" w:rsidRPr="00000000" w14:paraId="000003B6">
      <w:pPr>
        <w:jc w:val="both"/>
        <w:rPr/>
      </w:pPr>
      <w:r w:rsidDel="00000000" w:rsidR="00000000" w:rsidRPr="00000000">
        <w:rPr>
          <w:rtl w:val="0"/>
        </w:rPr>
      </w:r>
    </w:p>
    <w:p w:rsidR="00000000" w:rsidDel="00000000" w:rsidP="00000000" w:rsidRDefault="00000000" w:rsidRPr="00000000" w14:paraId="000003B7">
      <w:pPr>
        <w:jc w:val="both"/>
        <w:rPr/>
      </w:pPr>
      <w:r w:rsidDel="00000000" w:rsidR="00000000" w:rsidRPr="00000000">
        <w:rPr>
          <w:rtl w:val="0"/>
        </w:rPr>
        <w:t xml:space="preserve">The first data on the presence of nucleic acids in a centrosome were presented in the mid-twentieth century. Although it was impossible to provide reliable evidence of this, the idea maintained its attractiveness because of Margulis's theory, which suggested that the centrosome originated from a spirochete ancestor (cited by Chapman et al. 2000). Therefore, scientists continued to look for nucleic acids in the centrosome in the 1970s and 1980s. Many studies claimed to have found RNA in centrosomes or centrosome-related material (Hiedemann al. 1977), but proof of the presence of centrosomal RNA was lacking because of the low sensitivity of the methods applied during that period.</w:t>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jc w:val="both"/>
        <w:rPr/>
      </w:pPr>
      <w:r w:rsidDel="00000000" w:rsidR="00000000" w:rsidRPr="00000000">
        <w:rPr>
          <w:rtl w:val="0"/>
        </w:rPr>
        <w:t xml:space="preserve">That mRNA localization plays an important role in cellular functions was discovered in 1983 (Palacios and St Johnston 2001), only after the accumulation of a significant volume of experimental material did this become clear (Lecuyer et al. 2007). It was also found that various cytoskeletal structures have critical roles in mRNA anchoring (López de Heredia and Jansen 2004; Palacios and St Johnston 2001; Tekotte and Davis 2002). Microtubules have key functions in the formation of the cytoskeleton (EtienneManneville 2004), and they are regulated by the centrosome, which acts as a major microtubule organization center in animal cells (Debec et al. 2010; Moritz et al. 1995; Luders and Stearns 2007; Sumigray et al. 2011). Because of these findings, interest has arisen regarding the location of mRNA anchoring in microtubular structures and in the centrosome. Many interesting experiments have since been undertaken in this direction; in particular, a study of Ilyanassa obsoleta embryos showed that an asymmetric distribution of many maternal cytoplasmic factors takes place during cell division. These cytoplasmic factors include transcripts of developmental genes, e.g., Even-skipped (Eve), Decapentaplegic, and Tolloid, which participate in embryonic pattern formation. During interphase, these transcripts are transported to the centrosomes by microtubules, ensuring asymmetry in their distribution to sister blastomeres and eventually bringing about differential gene activity (Lambert and Nagy 2002). Kingsley et al. (2007) continued this study and found that a common phenomenon in Ilyanassa embryos is that centrosomes were used as specific “way stations”. They also discovered that many centrosome-related transcripts are unique and are absent from the databases. Based on their results and the experiments of others, these authors concluded that the process of mRNA distribution in the cells means that cell fate was in some part defined by the inheritance of centrosomally localized mRNAs. </w:t>
      </w:r>
    </w:p>
    <w:p w:rsidR="00000000" w:rsidDel="00000000" w:rsidP="00000000" w:rsidRDefault="00000000" w:rsidRPr="00000000" w14:paraId="000003BA">
      <w:pPr>
        <w:jc w:val="both"/>
        <w:rPr/>
      </w:pPr>
      <w:r w:rsidDel="00000000" w:rsidR="00000000" w:rsidRPr="00000000">
        <w:rPr>
          <w:rtl w:val="0"/>
        </w:rPr>
      </w:r>
    </w:p>
    <w:p w:rsidR="00000000" w:rsidDel="00000000" w:rsidP="00000000" w:rsidRDefault="00000000" w:rsidRPr="00000000" w14:paraId="000003BB">
      <w:pPr>
        <w:jc w:val="both"/>
        <w:rPr/>
      </w:pPr>
      <w:r w:rsidDel="00000000" w:rsidR="00000000" w:rsidRPr="00000000">
        <w:rPr>
          <w:rtl w:val="0"/>
        </w:rPr>
        <w:t xml:space="preserve">Lecuyer et al. (2007) identified 6 RNAs that localize to the centrosome in Drosophila embryonic cells and made the assumption that they participated in the assembly of the centrosome. Blower et al. (2007) noted that, in particular, there was a specific and conservative group of mRNAs that are related to the microtubular structures in Xenopus laevis, which they called microtubule-bound mRNA. Previously, Blower et al. (2005) had explained the necessity of such a connection between specific RNAs and the spindle based on three features: (1) interaction with the spindle allows the local translation of specific mitotic regulators; (2) asymmetry of cellular division is ensured by the binding of specific mRNAs to the centrosome, and (3) RNAs play a structural role in the spindle apparatus assembly process. </w:t>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jc w:val="both"/>
        <w:rPr/>
      </w:pPr>
      <w:r w:rsidDel="00000000" w:rsidR="00000000" w:rsidRPr="00000000">
        <w:rPr>
          <w:rtl w:val="0"/>
        </w:rPr>
        <w:t xml:space="preserve">Therefore, the conclusion was reached that local restriction of protein synthesis by means of mRNA localization is the most important mechanism in the establishment of an asymmetric distribution of cytoplasm factors—a phenomenon that is encountered in many cell types (Kloc et al. 2002; López de Heredia and Jansen 2004; Palacios and St Johnston 2001). </w:t>
      </w:r>
    </w:p>
    <w:p w:rsidR="00000000" w:rsidDel="00000000" w:rsidP="00000000" w:rsidRDefault="00000000" w:rsidRPr="00000000" w14:paraId="000003BE">
      <w:pPr>
        <w:jc w:val="both"/>
        <w:rPr/>
      </w:pPr>
      <w:r w:rsidDel="00000000" w:rsidR="00000000" w:rsidRPr="00000000">
        <w:rPr>
          <w:rtl w:val="0"/>
        </w:rPr>
      </w:r>
    </w:p>
    <w:p w:rsidR="00000000" w:rsidDel="00000000" w:rsidP="00000000" w:rsidRDefault="00000000" w:rsidRPr="00000000" w14:paraId="000003BF">
      <w:pPr>
        <w:jc w:val="both"/>
        <w:rPr/>
      </w:pPr>
      <w:r w:rsidDel="00000000" w:rsidR="00000000" w:rsidRPr="00000000">
        <w:rPr>
          <w:rtl w:val="0"/>
        </w:rPr>
        <w:t xml:space="preserve">However, none of the aforementioned authors have claimed to have discovered a unique type of RNA related to microtubules/spindles or division/centrosome; as a rule, these RNAs were considered part of the general cellular mRNAs. Kingsley et al. (2007) provided an exception by indicating that some of the mRNAs they discovered were unique and exclusively, or almost exclusively, connected with the centrosomes.</w:t>
      </w:r>
    </w:p>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t xml:space="preserve">The investigation of centrosomes in Spisula solidissima mollusk oocytes has revealed a specific type of RNA, subsequently called cnRNA (Alliegro et al. 2006). This was discovered by making use of the large centrosomes in oocytes and zygotes of this type of mollusk and by finding a reliable and clean method for their isolation (Palazzo and Vogel 1999). In addition, a clear knowledge of the precise mechanisms of the development of this structure—in particular, its failure to be detected in unfertilized oocytes and its assembly in the fourth minute after activation—also aided the discovery (Chapman and Alliegro 2007). Researchers isolated RNA directly from purified centrosome preparations, amplified the RNA by RT-PCR and then cloned it to create a library of centrosome-related RNAs (cnRNAs). In their first study, they described five different RNAs (cnRNAs 11, 102, 113, 170, and 184) whose sizes varied between 638 and 869 base pairs. These RNAs were unique transcripts and shared the characteristic of being the only RNAs that were exclusively associated with the centrosome. These RNAs are present only in meager amounts in the cell; unlike the transcripts of developmental genes Eve, DPP, and TlD that are found in I. obsoleta snail blastomeres, these cnRNAs could not be detected in whole cell RNA by northern blot analysis, even when amplified using RT PCR. Thus, the amount of this RNA in the cytoplasm must be almost vanishingly small. A comprehensive analysis of the five clones showed that four of them did not have reliable correlations in either DNA or protein databases (Alliegro et al. 2006).</w:t>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pPr>
      <w:r w:rsidDel="00000000" w:rsidR="00000000" w:rsidRPr="00000000">
        <w:rPr>
          <w:rtl w:val="0"/>
        </w:rPr>
        <w:t xml:space="preserve">Researchers continued to isolate and identify RNA from the centrosome and to create a full library of cnRNAs (Alliegro and Alliegro 2008). They described 120 different clones created from RNA associated with the centrosome, with only a third having features similar to sequences described in the databases. In this article, the authors also tried to find DNA corresponding to centrosomal RNA (cnRNAs) in oocytes, spermatozoids, and isolated germinal vesicles. PCR analysis indicated that cnRNA sequences are present in the DNA obtained from these structures, which somewhat contradicts the data from the first article of this group. Similar to the DNA of viruses and bacteria rather than that of Metazoa, these DNA contained almost no introns (Alliegro 2008). </w:t>
      </w:r>
    </w:p>
    <w:p w:rsidR="00000000" w:rsidDel="00000000" w:rsidP="00000000" w:rsidRDefault="00000000" w:rsidRPr="00000000" w14:paraId="000003C4">
      <w:pPr>
        <w:jc w:val="both"/>
        <w:rPr/>
      </w:pPr>
      <w:r w:rsidDel="00000000" w:rsidR="00000000" w:rsidRPr="00000000">
        <w:rPr>
          <w:rtl w:val="0"/>
        </w:rPr>
      </w:r>
    </w:p>
    <w:p w:rsidR="00000000" w:rsidDel="00000000" w:rsidP="00000000" w:rsidRDefault="00000000" w:rsidRPr="00000000" w14:paraId="000003C5">
      <w:pPr>
        <w:jc w:val="both"/>
        <w:rPr/>
      </w:pPr>
      <w:r w:rsidDel="00000000" w:rsidR="00000000" w:rsidRPr="00000000">
        <w:rPr>
          <w:rtl w:val="0"/>
        </w:rPr>
        <w:t xml:space="preserve">The first transcript, cnRNA 11, was found to contain a conserved structure—a reverse transcriptase domain (Alliegro et al. 2006). Two other centrosomal RNAs (cnRNA15 and cnRNA194) were subsequently sequenced (Alliegro and Alliegro 2008); BLAST analysis showed that cnRNA15 also contained a reverse transcriptase domain similar to the endonuclease/reverse transcriptase of the sea urchin, Strongylocentrotus purpuratus. The exact mechanism of cnRNA15 and cnRNA194 translation is unknown. However, there are four possible explanations for the presence of RNA in the centrosome: (1) an artifact related to adhesion of cytoplasmic transcripts to the centrosome during cell fractionation; (2) an artifact related to contamination during separation of the isolated centrosome; (3) an artifact resulting from infection of the oocyte with a virus, during aggregation of the viral particles delivered by means of microtubular transport; (4) cnRNA represents a class or a family of molecules truly related to the centrosome (Alliegro and Alliegro 2008). These first three considerations were refuted by detailed in situ hybridization and BLAST analysis; undertaking such an analysis was important to ensure that the discovery of the new type of RNA was valid. Hence, only the fourth consideration remained: that cnRNA represents a class or a family of molecules truly related to the centrosome (Alliegro and Alliegro 2008).</w:t>
      </w:r>
    </w:p>
    <w:p w:rsidR="00000000" w:rsidDel="00000000" w:rsidP="00000000" w:rsidRDefault="00000000" w:rsidRPr="00000000" w14:paraId="000003C6">
      <w:pPr>
        <w:jc w:val="both"/>
        <w:rPr/>
      </w:pPr>
      <w:r w:rsidDel="00000000" w:rsidR="00000000" w:rsidRPr="00000000">
        <w:rPr>
          <w:rtl w:val="0"/>
        </w:rPr>
      </w:r>
    </w:p>
    <w:p w:rsidR="00000000" w:rsidDel="00000000" w:rsidP="00000000" w:rsidRDefault="00000000" w:rsidRPr="00000000" w14:paraId="000003C7">
      <w:pPr>
        <w:jc w:val="both"/>
        <w:rPr/>
      </w:pPr>
      <w:r w:rsidDel="00000000" w:rsidR="00000000" w:rsidRPr="00000000">
        <w:rPr>
          <w:rtl w:val="0"/>
        </w:rPr>
        <w:t xml:space="preserve">The first response to the Alliegro et al. (2006) report cited above was an article by Pederson (2006) in which the importance of the cnRNA discovery was clearly highlighted. The</w:t>
      </w:r>
    </w:p>
    <w:p w:rsidR="00000000" w:rsidDel="00000000" w:rsidP="00000000" w:rsidRDefault="00000000" w:rsidRPr="00000000" w14:paraId="000003C8">
      <w:pPr>
        <w:jc w:val="both"/>
        <w:rPr/>
      </w:pPr>
      <w:r w:rsidDel="00000000" w:rsidR="00000000" w:rsidRPr="00000000">
        <w:rPr>
          <w:rtl w:val="0"/>
        </w:rPr>
        <w:t xml:space="preserve">publication raised some issues that have remained unaddressed. One of them was the fact that Alliegro et al. did not mention a possible participation of cnRNA in various cellular processes and the formation of a centrosome de novo. However, in general, T. Pederson positively evaluated the aforementioned research.</w:t>
      </w:r>
    </w:p>
    <w:p w:rsidR="00000000" w:rsidDel="00000000" w:rsidP="00000000" w:rsidRDefault="00000000" w:rsidRPr="00000000" w14:paraId="000003C9">
      <w:pPr>
        <w:jc w:val="both"/>
        <w:rPr/>
      </w:pPr>
      <w:r w:rsidDel="00000000" w:rsidR="00000000" w:rsidRPr="00000000">
        <w:rPr>
          <w:rtl w:val="0"/>
        </w:rPr>
      </w:r>
    </w:p>
    <w:p w:rsidR="00000000" w:rsidDel="00000000" w:rsidP="00000000" w:rsidRDefault="00000000" w:rsidRPr="00000000" w14:paraId="000003CA">
      <w:pPr>
        <w:jc w:val="both"/>
        <w:rPr/>
      </w:pPr>
      <w:r w:rsidDel="00000000" w:rsidR="00000000" w:rsidRPr="00000000">
        <w:rPr>
          <w:rtl w:val="0"/>
        </w:rPr>
        <w:t xml:space="preserve">Reflecting on the facts that (1) centrioles are found in divergent eukaryotes, (2) the ultrastructural steps of centriole assembly appear to be largely conserved, and (3) many of the proteins identified in these studies are also conserved, a well-supported assumption about their common ancestral structure was derived (Azimzadeh and Marshhall 2010).</w:t>
      </w:r>
    </w:p>
    <w:p w:rsidR="00000000" w:rsidDel="00000000" w:rsidP="00000000" w:rsidRDefault="00000000" w:rsidRPr="00000000" w14:paraId="000003CB">
      <w:pPr>
        <w:jc w:val="both"/>
        <w:rPr/>
      </w:pPr>
      <w:r w:rsidDel="00000000" w:rsidR="00000000" w:rsidRPr="00000000">
        <w:rPr>
          <w:rtl w:val="0"/>
        </w:rPr>
      </w:r>
    </w:p>
    <w:p w:rsidR="00000000" w:rsidDel="00000000" w:rsidP="00000000" w:rsidRDefault="00000000" w:rsidRPr="00000000" w14:paraId="000003CC">
      <w:pPr>
        <w:jc w:val="both"/>
        <w:rPr/>
      </w:pPr>
      <w:r w:rsidDel="00000000" w:rsidR="00000000" w:rsidRPr="00000000">
        <w:rPr>
          <w:rtl w:val="0"/>
        </w:rPr>
        <w:t xml:space="preserve">Satir et al. (2008) and Alliegro and Satir (2009) suggested the idea of a viral origin of centrosomes. They believe that the notion of a symbiotic origin of centrosomes is corroborated by the following facts: (1) a small amount of cnRNAs have similarities in nucleic acid and protein databases, (2) the presence of a very limited amount of cytoplasmic mRNA among centrosome-related ribonucleic structures, (3) an extremely low content of introns in cnRNAs-related genes of the nucleus, and (4) the majority of sequenced cnRNAs have structures similar to that of reverse transcriptase.</w:t>
      </w:r>
    </w:p>
    <w:p w:rsidR="00000000" w:rsidDel="00000000" w:rsidP="00000000" w:rsidRDefault="00000000" w:rsidRPr="00000000" w14:paraId="000003CD">
      <w:pPr>
        <w:jc w:val="both"/>
        <w:rPr/>
      </w:pPr>
      <w:r w:rsidDel="00000000" w:rsidR="00000000" w:rsidRPr="00000000">
        <w:rPr>
          <w:rtl w:val="0"/>
        </w:rPr>
      </w:r>
    </w:p>
    <w:p w:rsidR="00000000" w:rsidDel="00000000" w:rsidP="00000000" w:rsidRDefault="00000000" w:rsidRPr="00000000" w14:paraId="000003CE">
      <w:pPr>
        <w:jc w:val="both"/>
        <w:rPr/>
      </w:pPr>
      <w:r w:rsidDel="00000000" w:rsidR="00000000" w:rsidRPr="00000000">
        <w:rPr>
          <w:rtl w:val="0"/>
        </w:rPr>
        <w:t xml:space="preserve">Alliegro and Satir (2009) have analyzed the relatedness of cnRNAs with strong centrosomal localization, as well as relatedness of centrosomal proteins to molecules of viruses.</w:t>
      </w:r>
    </w:p>
    <w:p w:rsidR="00000000" w:rsidDel="00000000" w:rsidP="00000000" w:rsidRDefault="00000000" w:rsidRPr="00000000" w14:paraId="000003CF">
      <w:pPr>
        <w:jc w:val="both"/>
        <w:rPr/>
      </w:pPr>
      <w:r w:rsidDel="00000000" w:rsidR="00000000" w:rsidRPr="00000000">
        <w:rPr>
          <w:rtl w:val="0"/>
        </w:rPr>
        <w:t xml:space="preserve">For the evaluation of hits between these structures, they have used stringent E-value (e</w:t>
      </w:r>
      <w:r w:rsidDel="00000000" w:rsidR="00000000" w:rsidRPr="00000000">
        <w:rPr>
          <w:rFonts w:ascii="Arial Unicode MS" w:cs="Arial Unicode MS" w:eastAsia="Arial Unicode MS" w:hAnsi="Arial Unicode MS"/>
          <w:vertAlign w:val="superscript"/>
          <w:rtl w:val="0"/>
        </w:rPr>
        <w:t xml:space="preserve">−5</w:t>
      </w:r>
      <w:r w:rsidDel="00000000" w:rsidR="00000000" w:rsidRPr="00000000">
        <w:rPr>
          <w:rtl w:val="0"/>
        </w:rPr>
        <w:t xml:space="preserve"> to e</w:t>
      </w:r>
      <w:r w:rsidDel="00000000" w:rsidR="00000000" w:rsidRPr="00000000">
        <w:rPr>
          <w:rFonts w:ascii="Arial Unicode MS" w:cs="Arial Unicode MS" w:eastAsia="Arial Unicode MS" w:hAnsi="Arial Unicode MS"/>
          <w:vertAlign w:val="superscript"/>
          <w:rtl w:val="0"/>
        </w:rPr>
        <w:t xml:space="preserve">−64</w:t>
      </w:r>
      <w:r w:rsidDel="00000000" w:rsidR="00000000" w:rsidRPr="00000000">
        <w:rPr>
          <w:rFonts w:ascii="Arial Unicode MS" w:cs="Arial Unicode MS" w:eastAsia="Arial Unicode MS" w:hAnsi="Arial Unicode MS"/>
          <w:rtl w:val="0"/>
        </w:rPr>
        <w:t xml:space="preserve">) criteria. Many unique centrosomal and centriolar proteins had a high level of correspondence with viral proteins (out of an aggregate eight centrosome-associated RNAs, six have similarity to entries in viral databases, all but one with E values of ≤1 </w:t>
      </w:r>
      <w:r w:rsidDel="00000000" w:rsidR="00000000" w:rsidRPr="00000000">
        <w:rPr>
          <w:rFonts w:ascii="Arial Unicode MS" w:cs="Arial Unicode MS" w:eastAsia="Arial Unicode MS" w:hAnsi="Arial Unicode MS"/>
          <w:vertAlign w:val="superscript"/>
          <w:rtl w:val="0"/>
        </w:rPr>
        <w:t xml:space="preserve">e−5 </w:t>
      </w:r>
      <w:r w:rsidDel="00000000" w:rsidR="00000000" w:rsidRPr="00000000">
        <w:rPr>
          <w:rtl w:val="0"/>
        </w:rPr>
        <w:t xml:space="preserve">. It should be noted that there are no clear guidelines for a cutoff E-value to demonstrate relationship by descent. Based on all these facts, Alliegro and Satir assumed that the appearance of the centrosome in cells resulted from a long-standing viral symbiogenesis. It is worth mentioning that an analysis of the cytoskeleton confirms that this structure was not of viral origin (Alliegro and Satir 2009; Wickstead and Gull 2011).</w:t>
      </w:r>
    </w:p>
    <w:p w:rsidR="00000000" w:rsidDel="00000000" w:rsidP="00000000" w:rsidRDefault="00000000" w:rsidRPr="00000000" w14:paraId="000003D0">
      <w:pPr>
        <w:jc w:val="both"/>
        <w:rPr/>
      </w:pPr>
      <w:r w:rsidDel="00000000" w:rsidR="00000000" w:rsidRPr="00000000">
        <w:rPr>
          <w:rtl w:val="0"/>
        </w:rPr>
      </w:r>
    </w:p>
    <w:p w:rsidR="00000000" w:rsidDel="00000000" w:rsidP="00000000" w:rsidRDefault="00000000" w:rsidRPr="00000000" w14:paraId="000003D1">
      <w:pPr>
        <w:pStyle w:val="Heading3"/>
        <w:jc w:val="both"/>
        <w:rPr/>
      </w:pPr>
      <w:bookmarkStart w:colFirst="0" w:colLast="0" w:name="_tyjcwt" w:id="125"/>
      <w:bookmarkEnd w:id="125"/>
      <w:r w:rsidDel="00000000" w:rsidR="00000000" w:rsidRPr="00000000">
        <w:rPr>
          <w:rtl w:val="0"/>
        </w:rPr>
        <w:t xml:space="preserve">3.2.2 Centrosomal hypothesis of cell aging and cnRNA</w:t>
      </w:r>
    </w:p>
    <w:p w:rsidR="00000000" w:rsidDel="00000000" w:rsidP="00000000" w:rsidRDefault="00000000" w:rsidRPr="00000000" w14:paraId="000003D2">
      <w:pPr>
        <w:jc w:val="both"/>
        <w:rPr/>
      </w:pPr>
      <w:r w:rsidDel="00000000" w:rsidR="00000000" w:rsidRPr="00000000">
        <w:rPr>
          <w:rtl w:val="0"/>
        </w:rPr>
      </w:r>
    </w:p>
    <w:p w:rsidR="00000000" w:rsidDel="00000000" w:rsidP="00000000" w:rsidRDefault="00000000" w:rsidRPr="00000000" w14:paraId="000003D3">
      <w:pPr>
        <w:jc w:val="both"/>
        <w:rPr/>
      </w:pPr>
      <w:r w:rsidDel="00000000" w:rsidR="00000000" w:rsidRPr="00000000">
        <w:rPr>
          <w:rtl w:val="0"/>
        </w:rPr>
        <w:t xml:space="preserve">Reviewing studies on the topic of centrosomal structures and RNA, we wished to determine whether previous findings might substantiate our own centrosomal/centriolar hypothesis of cellular aging and differentiation. Here, we give a brief formulation of the main arguments. </w:t>
      </w:r>
    </w:p>
    <w:p w:rsidR="00000000" w:rsidDel="00000000" w:rsidP="00000000" w:rsidRDefault="00000000" w:rsidRPr="00000000" w14:paraId="000003D4">
      <w:pPr>
        <w:jc w:val="both"/>
        <w:rPr/>
      </w:pPr>
      <w:r w:rsidDel="00000000" w:rsidR="00000000" w:rsidRPr="00000000">
        <w:rPr>
          <w:rtl w:val="0"/>
        </w:rPr>
      </w:r>
    </w:p>
    <w:p w:rsidR="00000000" w:rsidDel="00000000" w:rsidP="00000000" w:rsidRDefault="00000000" w:rsidRPr="00000000" w14:paraId="000003D5">
      <w:pPr>
        <w:jc w:val="both"/>
        <w:rPr/>
      </w:pPr>
      <w:r w:rsidDel="00000000" w:rsidR="00000000" w:rsidRPr="00000000">
        <w:rPr>
          <w:rtl w:val="0"/>
        </w:rPr>
        <w:t xml:space="preserve">Our hypothesis concerns replicative aging, one of the forms of cellular aging. Because this type of aging is determined by the number of divisions undergone by the cell, we suggested that a counter of divisions is included in that structure and that it plays a central role in this process (Tkemaladze and Chichinadze 2005a). However, it is known that the cell death by aging is one form of apoptosis (Shen and Tower 2009; Weinberg 1997). Therefore, the “division counter” structure should also play an important role in this type of cell death. This line of thinking also suggests the possibility of this structure being involved in cell differentiation processes (Tkemaladze and Chichinadze 2005a), and therefore, it must also play an important role in gene expression.</w:t>
      </w:r>
    </w:p>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jc w:val="both"/>
        <w:rPr/>
      </w:pPr>
      <w:r w:rsidDel="00000000" w:rsidR="00000000" w:rsidRPr="00000000">
        <w:rPr>
          <w:rtl w:val="0"/>
        </w:rPr>
        <w:t xml:space="preserve">The centrosome (centrioles) and the cytoskeleton—formed with centrosome involvement—are both likely to be structures that determine the histological distribution of all somatic cells and the appearance of age-related changes (Tkemaladze and Chichinadze 2005a, b). </w:t>
      </w:r>
    </w:p>
    <w:p w:rsidR="00000000" w:rsidDel="00000000" w:rsidP="00000000" w:rsidRDefault="00000000" w:rsidRPr="00000000" w14:paraId="000003D8">
      <w:pPr>
        <w:jc w:val="both"/>
        <w:rPr/>
      </w:pPr>
      <w:r w:rsidDel="00000000" w:rsidR="00000000" w:rsidRPr="00000000">
        <w:rPr>
          <w:rtl w:val="0"/>
        </w:rPr>
      </w:r>
    </w:p>
    <w:p w:rsidR="00000000" w:rsidDel="00000000" w:rsidP="00000000" w:rsidRDefault="00000000" w:rsidRPr="00000000" w14:paraId="000003D9">
      <w:pPr>
        <w:jc w:val="both"/>
        <w:rPr/>
      </w:pPr>
      <w:r w:rsidDel="00000000" w:rsidR="00000000" w:rsidRPr="00000000">
        <w:rPr>
          <w:rtl w:val="0"/>
        </w:rPr>
        <w:t xml:space="preserve">We decided to associate replicative aging of dividing cells with the centrosome because the primary role of the centrosome is in the replication process (Doxsey 2005) and because of the dependence of aging, apoptosis (Gourlay and Ayscough 2005) and gene expression (Roskelley et al. 1995) on the cytoskeleton. As we associated the processes of differentiation and replicative aging with centrosomes, it can be suggested that for the types of cells in multicellular organisms that (a) initially lack centrosomes or (b) have centrosomes with a zero status (i.e., the cells just entered mitosis and are still dividing by cleavage), the following should be true: (1) the mechanism of replicative aging should be absent and (2) their potential for differentiation into various types of cells should not be limited.</w:t>
      </w:r>
    </w:p>
    <w:p w:rsidR="00000000" w:rsidDel="00000000" w:rsidP="00000000" w:rsidRDefault="00000000" w:rsidRPr="00000000" w14:paraId="000003DA">
      <w:pPr>
        <w:jc w:val="both"/>
        <w:rPr/>
      </w:pPr>
      <w:r w:rsidDel="00000000" w:rsidR="00000000" w:rsidRPr="00000000">
        <w:rPr>
          <w:rtl w:val="0"/>
        </w:rPr>
      </w:r>
    </w:p>
    <w:p w:rsidR="00000000" w:rsidDel="00000000" w:rsidP="00000000" w:rsidRDefault="00000000" w:rsidRPr="00000000" w14:paraId="000003DB">
      <w:pPr>
        <w:jc w:val="both"/>
        <w:rPr/>
      </w:pPr>
      <w:r w:rsidDel="00000000" w:rsidR="00000000" w:rsidRPr="00000000">
        <w:rPr>
          <w:rtl w:val="0"/>
        </w:rPr>
        <w:t xml:space="preserve">There are only a few types of cells from multicellular organisms that conform to both of these conditions. These cells are both totipotent, their potential is not limited by anything, and immortal, replicative aging is absent; they are plant cells, zygotic cells, and the first cells of zygote division by cleavage (blastomeres) (Mitalipov and Wolf 2009). As suggested in our hypothesis, centrosomes are initially absent in the cells of higher plants (Chan et al. 2005), in oocytes, in zygotes, and in the early blastomeres of some animals (for example, in rodents) (Schatten and Sun 2011b, c; Sun and Schatten 2007). Blastomeres which contain centrosomes (for example, non-rodent mammals including human (Hoyer-Fender 2012)), as well as almost all types of blastomeres are produced as a result of cleavage, which is one of the forms of cell division (Forgacs and Newman 2005). So, these organoids in blastomeres are not completely involved in cell division process, and we can consider that their centrosomes have in fact “zero” morphogenetic status. Such condition of these cells shows us that the mechanism which limits their replicative aging and potential for differentiation, is not “switched on” (Tkemaladze and Chichinadze 2005a). </w:t>
      </w:r>
    </w:p>
    <w:p w:rsidR="00000000" w:rsidDel="00000000" w:rsidP="00000000" w:rsidRDefault="00000000" w:rsidRPr="00000000" w14:paraId="000003DC">
      <w:pPr>
        <w:jc w:val="both"/>
        <w:rPr/>
      </w:pPr>
      <w:r w:rsidDel="00000000" w:rsidR="00000000" w:rsidRPr="00000000">
        <w:rPr>
          <w:rtl w:val="0"/>
        </w:rPr>
      </w:r>
    </w:p>
    <w:p w:rsidR="00000000" w:rsidDel="00000000" w:rsidP="00000000" w:rsidRDefault="00000000" w:rsidRPr="00000000" w14:paraId="000003DD">
      <w:pPr>
        <w:jc w:val="both"/>
        <w:rPr/>
      </w:pPr>
      <w:r w:rsidDel="00000000" w:rsidR="00000000" w:rsidRPr="00000000">
        <w:rPr>
          <w:rtl w:val="0"/>
        </w:rPr>
        <w:t xml:space="preserve">If these important functions are related to the centrosome, they should also have a mechanism for providing memorization, storage, and reproduction of information. In one of our articles, we proposed several possible mechanisms for determining most of the important cellular functions of centrosomal structures. We named one of them the “RNA-dependent mechanism”; it combined two distinct mechanisms that we have provisionally named “cytoskeleton/centrosome-mRNA” and “centrosome-small RNA” (Tkemaladze and Chichinadze 2005a).</w:t>
      </w:r>
    </w:p>
    <w:p w:rsidR="00000000" w:rsidDel="00000000" w:rsidP="00000000" w:rsidRDefault="00000000" w:rsidRPr="00000000" w14:paraId="000003DE">
      <w:pPr>
        <w:jc w:val="both"/>
        <w:rPr/>
      </w:pPr>
      <w:r w:rsidDel="00000000" w:rsidR="00000000" w:rsidRPr="00000000">
        <w:rPr>
          <w:rtl w:val="0"/>
        </w:rPr>
      </w:r>
    </w:p>
    <w:p w:rsidR="00000000" w:rsidDel="00000000" w:rsidP="00000000" w:rsidRDefault="00000000" w:rsidRPr="00000000" w14:paraId="000003DF">
      <w:pPr>
        <w:pStyle w:val="Heading3"/>
        <w:jc w:val="both"/>
        <w:rPr/>
      </w:pPr>
      <w:bookmarkStart w:colFirst="0" w:colLast="0" w:name="_3dy6vkm" w:id="126"/>
      <w:bookmarkEnd w:id="126"/>
      <w:r w:rsidDel="00000000" w:rsidR="00000000" w:rsidRPr="00000000">
        <w:rPr>
          <w:rtl w:val="0"/>
        </w:rPr>
        <w:t xml:space="preserve">3.2.3 Cytoskeleton/centrosome-mRNA</w:t>
      </w:r>
    </w:p>
    <w:p w:rsidR="00000000" w:rsidDel="00000000" w:rsidP="00000000" w:rsidRDefault="00000000" w:rsidRPr="00000000" w14:paraId="000003E0">
      <w:pPr>
        <w:jc w:val="both"/>
        <w:rPr/>
      </w:pPr>
      <w:r w:rsidDel="00000000" w:rsidR="00000000" w:rsidRPr="00000000">
        <w:rPr>
          <w:rtl w:val="0"/>
        </w:rPr>
      </w:r>
    </w:p>
    <w:p w:rsidR="00000000" w:rsidDel="00000000" w:rsidP="00000000" w:rsidRDefault="00000000" w:rsidRPr="00000000" w14:paraId="000003E1">
      <w:pPr>
        <w:jc w:val="both"/>
        <w:rPr/>
      </w:pPr>
      <w:r w:rsidDel="00000000" w:rsidR="00000000" w:rsidRPr="00000000">
        <w:rPr>
          <w:rtl w:val="0"/>
        </w:rPr>
        <w:t xml:space="preserve">The localized limitation on protein synthesis through asymmetric mRNA localization is known to be crucial for the creation of an effective asymmetric distribution of cytoplasmic factors in the cell, and this is detected in various types of eukaryotic cells (Kloc et al. 2001, 2002; Palacios and St.Johnston 2001). This process is important for establishing and retaining polarity in both somatic and germline cells and for the asymmetric segregation of determinants during development (de Heredia and Jansen 2004). In many animals, normal development depends on the asymmetric distribution of maternal determinants, including various RNAs, within the oocyte (Kloc and Etkin 2005). A fraction of mRNA in animal cells is associated with the cytoskeleton (Jansen 1999; Ruzanov et al. 1999); the importance of the cytoskeleton to the regulation of cell development was shown by many studies. Particularly, this was shown by the discovery that mRNA translation begins only after the termination of mRNA transfer inside the cell and location in a definite region of the cytoplasm (Antic and Keene 1998; de Heredia and Jansen 2004). The cytoskeleton is known to be crucial in mediating cellular responses to both internal and external signals (Gourlay and Ayscough 2005). The centrosome plays a main role in the formation of the cytoskeleton (Etienne-Manneville 2004); therefore, just the centrosome regulates cell development via the cytoskeleton. However, a direct involvement of the centrosome in the localization of RNA is also shown. This was first revealed by the observation that cyclin B1 mRNA is concentrated on spindles and centrosomes in dividing Xenopus eggs (Groisman et al. 2000). RNA sorting also involves centrosomes, as has been described in the embryo of the I. obsoleta. mRNAs encoding embryonic patterning proteins associate with centrosomes during division and are subsequently distributed asymmetrically (Lambert and Nagy 2002). The centrosome-mediated RNA localization seen in Ilyanassa might be homologous to a process observed in oogenesis across the animal kingdom: mRNA localization to the Balbiani body (Lambert 2009). In X. laevis, D. melanogaster, and D. rerio, RNAs and other cargoes localize to this structure during oogenesis before being transported to the cortex, in a similar manner to the centrosomal RNAs in Ilyanassa (Cox and Spradling 2003; Heinrich and Deshler 2009; Kloc et al. 2004b; Marlow and Mullins 2008). At least in frogs, in which the ultrastructure of the developing Balbiani body has been followed, it arises from the oocyte centrosome (Kloc et al. 2004a; Rabinowitz and Lambert 2010). It was also found that centrioles play a crucial role in formation of Balbiani bodies in mice (Kloc et al. 2008). Rabinowitz and Lambert (2010) noted the possibility in their research that all spiralian embryos rely on centrosome mediated RNA segregation to pattern the micromere quartets. Consistent with this, mRNAs of several putative patterning genes have been shown in the snail Crepidula fornicata to be localized to centrosomes and then asymmetrically segregated (Henry et al. 2010). In the Caenorhabditis elegans embryo, PIE-1 protein localizes to the germline blastomeres throughout early development and maintains their totipotency by repressing the somatic state. PIE-1 initially associates with both centrosomes of the mitotic spindle (Mello et al. 1996), then rapidly disappears from the centrosome that is destined for the somatic daughter after spindle rotation and persists in the centrosome of the daughter that becomes the next germline blastomere. A similar centrosome-based asymmetric degradation has been documented in dividing human embryonic stem cells in which the duration of signaling by the Smad1 transcription factor is terminated by proteasomal degradation (Fuentealba et al. 2008). Centrosome-based asymmetric division is widely used in maintaining polarized tissue morphogenesis (Gonzalez et al. 2008) and has been particularly well documented in the developing neocortex (Bornens 2012; Wang et al. 2009). </w:t>
      </w:r>
    </w:p>
    <w:p w:rsidR="00000000" w:rsidDel="00000000" w:rsidP="00000000" w:rsidRDefault="00000000" w:rsidRPr="00000000" w14:paraId="000003E2">
      <w:pPr>
        <w:jc w:val="both"/>
        <w:rPr/>
      </w:pPr>
      <w:r w:rsidDel="00000000" w:rsidR="00000000" w:rsidRPr="00000000">
        <w:rPr>
          <w:rtl w:val="0"/>
        </w:rPr>
      </w:r>
    </w:p>
    <w:p w:rsidR="00000000" w:rsidDel="00000000" w:rsidP="00000000" w:rsidRDefault="00000000" w:rsidRPr="00000000" w14:paraId="000003E3">
      <w:pPr>
        <w:jc w:val="both"/>
        <w:rPr/>
      </w:pPr>
      <w:r w:rsidDel="00000000" w:rsidR="00000000" w:rsidRPr="00000000">
        <w:rPr>
          <w:rtl w:val="0"/>
        </w:rPr>
        <w:t xml:space="preserve">Thus, the importance of centriolar factors in the determination of cell fate was shown by many studies. Based on these findings, Kloc et al. (2008) conclude that the polarity of early oocytes, imposed by the position of centrioles at cytoplasmic bridges, is a fundamental and ancestral feature across the animal kingdom. </w:t>
      </w:r>
    </w:p>
    <w:p w:rsidR="00000000" w:rsidDel="00000000" w:rsidP="00000000" w:rsidRDefault="00000000" w:rsidRPr="00000000" w14:paraId="000003E4">
      <w:pPr>
        <w:jc w:val="both"/>
        <w:rPr/>
      </w:pPr>
      <w:r w:rsidDel="00000000" w:rsidR="00000000" w:rsidRPr="00000000">
        <w:rPr>
          <w:rtl w:val="0"/>
        </w:rPr>
      </w:r>
    </w:p>
    <w:p w:rsidR="00000000" w:rsidDel="00000000" w:rsidP="00000000" w:rsidRDefault="00000000" w:rsidRPr="00000000" w14:paraId="000003E5">
      <w:pPr>
        <w:jc w:val="both"/>
        <w:rPr/>
      </w:pPr>
      <w:r w:rsidDel="00000000" w:rsidR="00000000" w:rsidRPr="00000000">
        <w:rPr>
          <w:rtl w:val="0"/>
        </w:rPr>
        <w:t xml:space="preserve">According to de Heredia and Jansen (2004), “by an as yet unknown mechanism, intrinsic differences between centrosomes are exploited by these localized mRNAs, ensuring asymmetric sorting. During cell division, they dissociate from the centrosome and move by means of actin filaments to one of the presumptive daughter cell cortices. Without centrosomal association, subsequent steps in localization are disturbed, suggesting that the centrosome could serve as an assembly site for the asymmetric delivery of mRNAs to the cortex”. </w:t>
      </w:r>
    </w:p>
    <w:p w:rsidR="00000000" w:rsidDel="00000000" w:rsidP="00000000" w:rsidRDefault="00000000" w:rsidRPr="00000000" w14:paraId="000003E6">
      <w:pPr>
        <w:jc w:val="both"/>
        <w:rPr/>
      </w:pPr>
      <w:r w:rsidDel="00000000" w:rsidR="00000000" w:rsidRPr="00000000">
        <w:rPr>
          <w:rtl w:val="0"/>
        </w:rPr>
      </w:r>
    </w:p>
    <w:p w:rsidR="00000000" w:rsidDel="00000000" w:rsidP="00000000" w:rsidRDefault="00000000" w:rsidRPr="00000000" w14:paraId="000003E7">
      <w:pPr>
        <w:jc w:val="both"/>
        <w:rPr/>
      </w:pPr>
      <w:r w:rsidDel="00000000" w:rsidR="00000000" w:rsidRPr="00000000">
        <w:rPr>
          <w:rtl w:val="0"/>
        </w:rPr>
        <w:t xml:space="preserve">In this article, we do not analyze the mechanisms of asymmetric segregation in stem cells; the role of centrosomes in this process will be studied in our next publication. It is worth mentioning, however, that there are many publications that analyze the role of centrosomes in the development of an embryo (Lin 2008; Schatten and Sun 2011a; Yamashita et al. 2007, 2010).</w:t>
      </w:r>
    </w:p>
    <w:p w:rsidR="00000000" w:rsidDel="00000000" w:rsidP="00000000" w:rsidRDefault="00000000" w:rsidRPr="00000000" w14:paraId="000003E8">
      <w:pPr>
        <w:jc w:val="both"/>
        <w:rPr/>
      </w:pPr>
      <w:r w:rsidDel="00000000" w:rsidR="00000000" w:rsidRPr="00000000">
        <w:rPr>
          <w:rtl w:val="0"/>
        </w:rPr>
      </w:r>
    </w:p>
    <w:p w:rsidR="00000000" w:rsidDel="00000000" w:rsidP="00000000" w:rsidRDefault="00000000" w:rsidRPr="00000000" w14:paraId="000003E9">
      <w:pPr>
        <w:jc w:val="both"/>
        <w:rPr/>
      </w:pPr>
      <w:r w:rsidDel="00000000" w:rsidR="00000000" w:rsidRPr="00000000">
        <w:rPr>
          <w:rtl w:val="0"/>
        </w:rPr>
        <w:t xml:space="preserve">The following fact may demonstrate the importance of certain factor(s) in the centrosomal inner structure. After a stem cell divides, only one daughter cell becomes a stem cell—the cell that contains the maternal (old) centriole. It may be concluded that either the mother (old) centriole contains factor(s) that are not present in a new centrosome, or else they are inactive in the new centrosome. In an article published in 2005 (Tkemaladze and Chichinadze 2005a), we stated that when the “division counter” was not “switched on”, the process of a cell's irreversible differentiation was not started. However, the mechanism, which maintains the first blastomere totipotency and immortality, was not mentioned. Only in 2007, when the research of Yamasita et al. (2007) was published, did it become clear that a “division counter” was “switched on” at the moment that cell division began, but this “division counter” goes to only one centriole, while the other centriole continues to function in a so-called “null morphogenetic state”. The cell containing the latter centriole does not lose its potency and remains as a stem cell. The cell that contains the “division counter” centriole continues to differentiate. It is interesting that such a scheme of “centrosomal inheritance” would lead some authors to hypothesize the “immortal centrosome” (Koledova et al. 2010; Morrison and Spradling 2008; Nigg and Raff 2009). This idea is very close to our hypothesis of cell aging and differentiation, in which the centrosome is also a determining factor of cell fate.</w:t>
      </w:r>
    </w:p>
    <w:p w:rsidR="00000000" w:rsidDel="00000000" w:rsidP="00000000" w:rsidRDefault="00000000" w:rsidRPr="00000000" w14:paraId="000003EA">
      <w:pPr>
        <w:jc w:val="both"/>
        <w:rPr/>
      </w:pPr>
      <w:r w:rsidDel="00000000" w:rsidR="00000000" w:rsidRPr="00000000">
        <w:rPr>
          <w:rtl w:val="0"/>
        </w:rPr>
      </w:r>
    </w:p>
    <w:p w:rsidR="00000000" w:rsidDel="00000000" w:rsidP="00000000" w:rsidRDefault="00000000" w:rsidRPr="00000000" w14:paraId="000003EB">
      <w:pPr>
        <w:jc w:val="both"/>
        <w:rPr/>
      </w:pPr>
      <w:r w:rsidDel="00000000" w:rsidR="00000000" w:rsidRPr="00000000">
        <w:rPr>
          <w:rtl w:val="0"/>
        </w:rPr>
        <w:t xml:space="preserve">It is worth mentioning that in a cell that is in a “resting state”, only the mother centriole may be transformed into a basal body (Bornens 2012). This confirms the fact that mother and daughter centrioles are different. This subject, however, as well as the role of centriole-derived structure—cilia in illness and in the aging processes—is a topic for a special article. In this publication, we may just note that by using cilia (a sensoric structure that responds to environmental signals), centrioles not only determine the replication age of the cells of multicellular organisms (Tkemalaze and Chichinadze 2005a, b , 2010; Chichinadze and Tkemaladze 2008), but participate in the process of environmental factor induced time-dependent aging. This statement is highly speculative at the moment, and its confirmation is out of the scope of the current publication. </w:t>
      </w:r>
    </w:p>
    <w:p w:rsidR="00000000" w:rsidDel="00000000" w:rsidP="00000000" w:rsidRDefault="00000000" w:rsidRPr="00000000" w14:paraId="000003EC">
      <w:pPr>
        <w:jc w:val="both"/>
        <w:rPr/>
      </w:pPr>
      <w:r w:rsidDel="00000000" w:rsidR="00000000" w:rsidRPr="00000000">
        <w:rPr>
          <w:rtl w:val="0"/>
        </w:rPr>
      </w:r>
    </w:p>
    <w:p w:rsidR="00000000" w:rsidDel="00000000" w:rsidP="00000000" w:rsidRDefault="00000000" w:rsidRPr="00000000" w14:paraId="000003ED">
      <w:pPr>
        <w:pStyle w:val="Heading3"/>
        <w:jc w:val="both"/>
        <w:rPr/>
      </w:pPr>
      <w:bookmarkStart w:colFirst="0" w:colLast="0" w:name="_1t3h5sf" w:id="127"/>
      <w:bookmarkEnd w:id="127"/>
      <w:r w:rsidDel="00000000" w:rsidR="00000000" w:rsidRPr="00000000">
        <w:rPr>
          <w:rtl w:val="0"/>
        </w:rPr>
        <w:t xml:space="preserve">3.2.4 Centrosome-small RNA</w:t>
      </w:r>
    </w:p>
    <w:p w:rsidR="00000000" w:rsidDel="00000000" w:rsidP="00000000" w:rsidRDefault="00000000" w:rsidRPr="00000000" w14:paraId="000003EE">
      <w:pPr>
        <w:jc w:val="both"/>
        <w:rPr/>
      </w:pPr>
      <w:r w:rsidDel="00000000" w:rsidR="00000000" w:rsidRPr="00000000">
        <w:rPr>
          <w:rtl w:val="0"/>
        </w:rPr>
      </w:r>
    </w:p>
    <w:p w:rsidR="00000000" w:rsidDel="00000000" w:rsidP="00000000" w:rsidRDefault="00000000" w:rsidRPr="00000000" w14:paraId="000003EF">
      <w:pPr>
        <w:jc w:val="both"/>
        <w:rPr/>
      </w:pPr>
      <w:r w:rsidDel="00000000" w:rsidR="00000000" w:rsidRPr="00000000">
        <w:rPr>
          <w:rtl w:val="0"/>
        </w:rPr>
        <w:t xml:space="preserve">In our article (Tkemaladze and Chichinadze 2005a), we suggested that the inner cavity of somatic cell centrioles appears to contain RNA molecules that are capable of determining the morphogenetic status of the cells. These molecules are capable of inactivating gene expression on the posttranslational level such as small interfering RNAs (siRNAs), microRNAs (miRNAs), and Piwi-interaction RNAs (piRNAs), thus capable of determining the beginning of age-associated changes and cell differentiation processes. The detection of cnRNA has demonstrated that centrosomes may contain RNA and not just bind mRNA.</w:t>
      </w:r>
    </w:p>
    <w:p w:rsidR="00000000" w:rsidDel="00000000" w:rsidP="00000000" w:rsidRDefault="00000000" w:rsidRPr="00000000" w14:paraId="000003F0">
      <w:pPr>
        <w:jc w:val="both"/>
        <w:rPr/>
      </w:pPr>
      <w:r w:rsidDel="00000000" w:rsidR="00000000" w:rsidRPr="00000000">
        <w:rPr>
          <w:rtl w:val="0"/>
        </w:rPr>
      </w:r>
    </w:p>
    <w:p w:rsidR="00000000" w:rsidDel="00000000" w:rsidP="00000000" w:rsidRDefault="00000000" w:rsidRPr="00000000" w14:paraId="000003F1">
      <w:pPr>
        <w:jc w:val="both"/>
        <w:rPr/>
      </w:pPr>
      <w:r w:rsidDel="00000000" w:rsidR="00000000" w:rsidRPr="00000000">
        <w:rPr>
          <w:rtl w:val="0"/>
        </w:rPr>
        <w:t xml:space="preserve">Taking into consideration the previously mentioned hypothesis, we propose that the detection of a unique type of RNA in the centrosomes of mollusks, and possibly other organisms, is indirect proof of our centrosome hypothesis, though the functions of cnRNA are not yet clear. We do not deny that the existence of such a mechanism is hypothetical. Nevertheless, some mechanisms must exist that are responsible for the realization of the centrosome functions. We consider low molecular weight RNA as the best candidate for the role of carrier of information on the morphogenetic status.</w:t>
      </w:r>
    </w:p>
    <w:p w:rsidR="00000000" w:rsidDel="00000000" w:rsidP="00000000" w:rsidRDefault="00000000" w:rsidRPr="00000000" w14:paraId="000003F2">
      <w:pPr>
        <w:jc w:val="both"/>
        <w:rPr/>
      </w:pPr>
      <w:r w:rsidDel="00000000" w:rsidR="00000000" w:rsidRPr="00000000">
        <w:rPr>
          <w:rtl w:val="0"/>
        </w:rPr>
      </w:r>
    </w:p>
    <w:p w:rsidR="00000000" w:rsidDel="00000000" w:rsidP="00000000" w:rsidRDefault="00000000" w:rsidRPr="00000000" w14:paraId="000003F3">
      <w:pPr>
        <w:jc w:val="both"/>
        <w:rPr/>
      </w:pPr>
      <w:r w:rsidDel="00000000" w:rsidR="00000000" w:rsidRPr="00000000">
        <w:rPr>
          <w:rtl w:val="0"/>
        </w:rPr>
        <w:t xml:space="preserve">The theoretical possibility of regulating the gene activity of a cell by RNA molecules can be proved by the recent detection of several classes of small RNAs: siRNAs, miRNAs, and piRNAs. It is known that siRNA and miRNA selectively inactivate the expression of genes at a post-transcription level in the cells of various organisms (McManus and Sharp 2002). Small RNAs participate in almost every process in the cell, including identification of developmental time, cellular differentiation, proliferation, and death (Kim et al. 2009).</w:t>
      </w:r>
    </w:p>
    <w:p w:rsidR="00000000" w:rsidDel="00000000" w:rsidP="00000000" w:rsidRDefault="00000000" w:rsidRPr="00000000" w14:paraId="000003F4">
      <w:pPr>
        <w:jc w:val="both"/>
        <w:rPr/>
      </w:pPr>
      <w:r w:rsidDel="00000000" w:rsidR="00000000" w:rsidRPr="00000000">
        <w:rPr>
          <w:rtl w:val="0"/>
        </w:rPr>
      </w:r>
    </w:p>
    <w:p w:rsidR="00000000" w:rsidDel="00000000" w:rsidP="00000000" w:rsidRDefault="00000000" w:rsidRPr="00000000" w14:paraId="000003F5">
      <w:pPr>
        <w:jc w:val="both"/>
        <w:rPr/>
      </w:pPr>
      <w:r w:rsidDel="00000000" w:rsidR="00000000" w:rsidRPr="00000000">
        <w:rPr>
          <w:rtl w:val="0"/>
        </w:rPr>
        <w:t xml:space="preserve">cnRNA could be attributed to the class of small RNAs though the dimensions of cnRNA exceed the dimensions of currently known siRNA, miRNA, and piRNA quite a bit. The recent discovery of a large number of non-canonical small RNAs demolishes the notion of borders between the small RNA classes (Kim et al. 2009), and creates the possibility of attributing cnRNA to the small RNA class in the future. The hypothesis of centrosomal RNA having a regulatory function is possible, considering that most of the sequenced cnRNAs contain structures similar to reverse transcriptase.</w:t>
      </w:r>
    </w:p>
    <w:p w:rsidR="00000000" w:rsidDel="00000000" w:rsidP="00000000" w:rsidRDefault="00000000" w:rsidRPr="00000000" w14:paraId="000003F6">
      <w:pPr>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rtl w:val="0"/>
        </w:rPr>
        <w:t xml:space="preserve">Another property that makes cnRNAs similar to small RNAs exists. It is known that miRNA sequences are sufficiently conserved in related organisms (Bartel and Chen 2004). Alliegro et al. made an assumption about the cnRNA structure being conserved (Alliegro et al. 2006). It is well recognized that all centriolar structures are also well conserved (Quarmby and Parker 2005).</w:t>
      </w:r>
    </w:p>
    <w:p w:rsidR="00000000" w:rsidDel="00000000" w:rsidP="00000000" w:rsidRDefault="00000000" w:rsidRPr="00000000" w14:paraId="000003F8">
      <w:pPr>
        <w:jc w:val="both"/>
        <w:rPr/>
      </w:pPr>
      <w:r w:rsidDel="00000000" w:rsidR="00000000" w:rsidRPr="00000000">
        <w:rPr>
          <w:rtl w:val="0"/>
        </w:rPr>
      </w:r>
    </w:p>
    <w:p w:rsidR="00000000" w:rsidDel="00000000" w:rsidP="00000000" w:rsidRDefault="00000000" w:rsidRPr="00000000" w14:paraId="000003F9">
      <w:pPr>
        <w:pStyle w:val="Heading3"/>
        <w:jc w:val="both"/>
        <w:rPr/>
      </w:pPr>
      <w:bookmarkStart w:colFirst="0" w:colLast="0" w:name="_4d34og8" w:id="128"/>
      <w:bookmarkEnd w:id="128"/>
      <w:r w:rsidDel="00000000" w:rsidR="00000000" w:rsidRPr="00000000">
        <w:rPr>
          <w:rtl w:val="0"/>
        </w:rPr>
        <w:t xml:space="preserve">3.2.5 Additional remarks</w:t>
      </w:r>
    </w:p>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t xml:space="preserve">According to recent data, centrioles are not needed in vivo for the assembly of a mitotic/meiotic spindle (Basto et al. 2006; Debec et al. 2010; Gadde and Heald 2004; Hatch and Stearns 2011). In cultured monkey kidney cells, laser ablation of the centrosome triggers cell division arrest in the following G1–S transition (Hinchcliffe et al. 2001). In HeLa cells, acentriolar cells possess a de novo centriolar assembly pathway that allows them to continue dividing (La Terra et al. 2005). Drosophila individuals mutant for centrosomin develop normally without any morphological aberrations, although they are sterile (Megraw et al. 2001). These observations were so surprising that it raised some doubts about the non-functional status of centrosomin-depleted centrosomes, since in this case, centrioles were still present (Debec et al. 2010). The aforementioned investigations lead to the prediction that the absence of centrioles should have devastating effects during development (Badano and Katsanis 2006). However, Basto et al. (2006) demonstrate that at least in Drosophila, this is not the case. They show that DSas-4 is intimately associated with centrioles and is required for centriolar replication in flies. Centrioles are progressively lost both in fly embryos injected with a DSas-4 antibody and in DSas-4 S2214 mutant embryos once the maternal protein stock is depleted. The authors show that D-Sas-4 S2214 mutant embryos lack centrioles in more than 90 % of their cells after 1–2 days of development. Importantly, despite not having centrioles, mutant flies can progress through both larval and pupal development in a seemingly normal fashion (Badano and Katsanis 2006). Mutant adults, however, die shortly after birth because they lack cilia in type I sensory neurons. </w:t>
      </w:r>
    </w:p>
    <w:p w:rsidR="00000000" w:rsidDel="00000000" w:rsidP="00000000" w:rsidRDefault="00000000" w:rsidRPr="00000000" w14:paraId="000003FC">
      <w:pPr>
        <w:jc w:val="both"/>
        <w:rPr/>
      </w:pPr>
      <w:r w:rsidDel="00000000" w:rsidR="00000000" w:rsidRPr="00000000">
        <w:rPr>
          <w:rtl w:val="0"/>
        </w:rPr>
      </w:r>
    </w:p>
    <w:p w:rsidR="00000000" w:rsidDel="00000000" w:rsidP="00000000" w:rsidRDefault="00000000" w:rsidRPr="00000000" w14:paraId="000003FD">
      <w:pPr>
        <w:jc w:val="both"/>
        <w:rPr/>
      </w:pPr>
      <w:r w:rsidDel="00000000" w:rsidR="00000000" w:rsidRPr="00000000">
        <w:rPr>
          <w:rtl w:val="0"/>
        </w:rPr>
        <w:t xml:space="preserve">These data reduce to some extent the significance of the centrosome for the cell. We note, however, that such data were obtained only in Drosophila and that centriolar structures in Drosophila and similar species have basic differences from the centriolar structures of most other types of animal cells (Beisson and Wright 2003; Hodges et al. 2010; Hoyer-Fender 2010). This may explain the results produced by Basto and colleagues. Another possibility to explain these discrepancies could be that in the case of centriole replication mutants, maternally provided RNAs or proteins would contribute to late embryonic and larva developmental stages. The fly oocyte is full of mRNA and proteins that are necessary for undergoing all of the rapid cell cycles that occur in the syncitial embryo. This maternal contribution would allow for the complete accomplishment of embryogenesis, even in embryos carrying a mutation for an essential gene. However, this was not the case, at least in DSas-4 mutants, for which by stage 16 of embryogenesis, maternally provided DSas-4 was no longer detected (Gogendeau and Basto 2010). However, these data fail to prove that other mRNAs and proteins from a maternal cell cannot participate in the process of embryonic cell division. It is well-known that at least some interphase cells that have had their centrosomes experimentally removed can reestablish relatively normal polarized microtubule arrays that appear to lack centrosomes (Wadsworth and Khodjakov 2004). How these microtubule arrays are organized in the absence of centrosomes remains to be fully understood, but it seems that certain PCM components can dissociate from centrioles (the centrosome is not limited to membranes; instead, its contents mix freely with the cytoplasm (Mahen and Venkitaraman 2012)) and become concentrated at different organizing centers, such as the plasma membrane or the nuclear envelope. Some authors (Nigg and Raff 2009) believe there is also evidence that centrosomes have functions that are independent of their ability to organize microtubules. For example, the efficient breakdown of the nuclear envelope in C. elegans embryos requires the activity of centrosome-associated Aurora-A in a way that is apparently independent of microtubules (Hachet et al. 2007; Portier et al. 2007). It is also established that PCM components have self-assembly properties (Brito et al. 2012).</w:t>
      </w:r>
    </w:p>
    <w:p w:rsidR="00000000" w:rsidDel="00000000" w:rsidP="00000000" w:rsidRDefault="00000000" w:rsidRPr="00000000" w14:paraId="000003FE">
      <w:pPr>
        <w:jc w:val="both"/>
        <w:rPr/>
      </w:pPr>
      <w:r w:rsidDel="00000000" w:rsidR="00000000" w:rsidRPr="00000000">
        <w:rPr>
          <w:rtl w:val="0"/>
        </w:rPr>
      </w:r>
    </w:p>
    <w:p w:rsidR="00000000" w:rsidDel="00000000" w:rsidP="00000000" w:rsidRDefault="00000000" w:rsidRPr="00000000" w14:paraId="000003FF">
      <w:pPr>
        <w:jc w:val="both"/>
        <w:rPr/>
      </w:pPr>
      <w:r w:rsidDel="00000000" w:rsidR="00000000" w:rsidRPr="00000000">
        <w:rPr>
          <w:rtl w:val="0"/>
        </w:rPr>
        <w:t xml:space="preserve">Some data do not support the centrosomal hypothesis of cellular differentiation and aging, but they are scarce and apply to just some animal species. According to those data, the role of centrosomes in particular cell processes may not be important. However, many studies carried out on the same animal species have found that centrioles are crucially important for the realization of other cell functions. A compelling argument against our hypothesis is the research on DSas-4 mutants. All other arguments challenging a non-mandatory role for centrosomes may be rejected by proper consideration.</w:t>
      </w:r>
    </w:p>
    <w:p w:rsidR="00000000" w:rsidDel="00000000" w:rsidP="00000000" w:rsidRDefault="00000000" w:rsidRPr="00000000" w14:paraId="00000400">
      <w:pPr>
        <w:jc w:val="both"/>
        <w:rPr/>
      </w:pPr>
      <w:r w:rsidDel="00000000" w:rsidR="00000000" w:rsidRPr="00000000">
        <w:rPr>
          <w:rtl w:val="0"/>
        </w:rPr>
      </w:r>
    </w:p>
    <w:p w:rsidR="00000000" w:rsidDel="00000000" w:rsidP="00000000" w:rsidRDefault="00000000" w:rsidRPr="00000000" w14:paraId="00000401">
      <w:pPr>
        <w:jc w:val="both"/>
        <w:rPr/>
      </w:pPr>
      <w:r w:rsidDel="00000000" w:rsidR="00000000" w:rsidRPr="00000000">
        <w:rPr>
          <w:rtl w:val="0"/>
        </w:rPr>
        <w:t xml:space="preserve">Analyzing the reviewers' remarks, we scrutinized the articles on centrosomes published in 2012 and found some interesting research. In one of them, the author shares our idea</w:t>
      </w:r>
    </w:p>
    <w:p w:rsidR="00000000" w:rsidDel="00000000" w:rsidP="00000000" w:rsidRDefault="00000000" w:rsidRPr="00000000" w14:paraId="00000402">
      <w:pPr>
        <w:jc w:val="both"/>
        <w:rPr/>
      </w:pPr>
      <w:r w:rsidDel="00000000" w:rsidR="00000000" w:rsidRPr="00000000">
        <w:rPr>
          <w:rtl w:val="0"/>
        </w:rPr>
        <w:t xml:space="preserve">(Tkemaladze and Chichinadze 2005a) about a close link between centrosomal function and the genesis of multicellular organisms having irreversibly differentiated cells. In particular, Bornens (2012) states: “It is likely that the transition to multicellularity in the animal lineage has preserved cell polarity and cell individuation by internalizing the cortical microtubule network of the unicellular choanoflagellate-like ancestor and by evolving the centrosome”. The second article addresses the subcellular mechanisms of memory. The author makes a quite disputable statement that memory is encoded in microtubule lattices (Craddock et al. 2012). This statement is close to what we suggested earlier: centrosome should have a mechanism for providing the information for memorization, storage, and reproduction. </w:t>
      </w:r>
    </w:p>
    <w:p w:rsidR="00000000" w:rsidDel="00000000" w:rsidP="00000000" w:rsidRDefault="00000000" w:rsidRPr="00000000" w14:paraId="00000403">
      <w:pPr>
        <w:jc w:val="both"/>
        <w:rPr/>
      </w:pPr>
      <w:r w:rsidDel="00000000" w:rsidR="00000000" w:rsidRPr="00000000">
        <w:rPr>
          <w:rtl w:val="0"/>
        </w:rPr>
      </w:r>
    </w:p>
    <w:p w:rsidR="00000000" w:rsidDel="00000000" w:rsidP="00000000" w:rsidRDefault="00000000" w:rsidRPr="00000000" w14:paraId="00000404">
      <w:pPr>
        <w:jc w:val="both"/>
        <w:rPr/>
      </w:pPr>
      <w:r w:rsidDel="00000000" w:rsidR="00000000" w:rsidRPr="00000000">
        <w:rPr>
          <w:rtl w:val="0"/>
        </w:rPr>
        <w:t xml:space="preserve">We are not claiming that the centrosome could not participate in the management of the cellular processes without cnRNA. The centrosome may affect cellular processes through cytoskeletal mechanisms, through the cilium (Marshall 2009), by means of mRNA distribution (López de Heredia and Jansen 2004) and other mechanisms we discuss in our review (Tkemaladze and Chichinadze 2005a). Therefore, it is unlikely that our centrosomal hypothesis of aging relates to “genetic theories” of aging. Despite the fact that more than 200 genes relating to aging have been discovered in various species of animals, many scientists believe that aging is not caused by any special mechanisms. If aging were caused by special mechanisms, a spontaneous malfunction such as mutation, could easily lead to longevity and even immortality, which is not observed; only diseases causing premature aging are known (Galitskii 2009). It appears that at least one form of the aging mechanism, replicative aging, is more or less universal for Animalia, which is a good argument against the majority of aging theories.</w:t>
      </w:r>
    </w:p>
    <w:p w:rsidR="00000000" w:rsidDel="00000000" w:rsidP="00000000" w:rsidRDefault="00000000" w:rsidRPr="00000000" w14:paraId="00000405">
      <w:pPr>
        <w:jc w:val="both"/>
        <w:rPr/>
      </w:pPr>
      <w:r w:rsidDel="00000000" w:rsidR="00000000" w:rsidRPr="00000000">
        <w:rPr>
          <w:rtl w:val="0"/>
        </w:rPr>
      </w:r>
    </w:p>
    <w:p w:rsidR="00000000" w:rsidDel="00000000" w:rsidP="00000000" w:rsidRDefault="00000000" w:rsidRPr="00000000" w14:paraId="00000406">
      <w:pPr>
        <w:pStyle w:val="Heading2"/>
        <w:jc w:val="both"/>
        <w:rPr/>
      </w:pPr>
      <w:bookmarkStart w:colFirst="0" w:colLast="0" w:name="_h473v5243wkb" w:id="129"/>
      <w:bookmarkEnd w:id="129"/>
      <w:r w:rsidDel="00000000" w:rsidR="00000000" w:rsidRPr="00000000">
        <w:rPr>
          <w:rtl w:val="0"/>
        </w:rPr>
        <w:t xml:space="preserve">3.3 Relationship between centrосоме and the replicative limit</w:t>
      </w:r>
    </w:p>
    <w:p w:rsidR="00000000" w:rsidDel="00000000" w:rsidP="00000000" w:rsidRDefault="00000000" w:rsidRPr="00000000" w14:paraId="00000407">
      <w:pPr>
        <w:jc w:val="both"/>
        <w:rPr/>
      </w:pPr>
      <w:r w:rsidDel="00000000" w:rsidR="00000000" w:rsidRPr="00000000">
        <w:rPr>
          <w:rtl w:val="0"/>
        </w:rPr>
      </w:r>
    </w:p>
    <w:p w:rsidR="00000000" w:rsidDel="00000000" w:rsidP="00000000" w:rsidRDefault="00000000" w:rsidRPr="00000000" w14:paraId="00000408">
      <w:pPr>
        <w:pStyle w:val="Heading3"/>
        <w:jc w:val="both"/>
        <w:rPr/>
      </w:pPr>
      <w:bookmarkStart w:colFirst="0" w:colLast="0" w:name="_5qlbwxc1nen2" w:id="130"/>
      <w:bookmarkEnd w:id="130"/>
      <w:r w:rsidDel="00000000" w:rsidR="00000000" w:rsidRPr="00000000">
        <w:rPr>
          <w:rtl w:val="0"/>
        </w:rPr>
        <w:t xml:space="preserve">3.3.1 Introduction</w:t>
      </w:r>
    </w:p>
    <w:p w:rsidR="00000000" w:rsidDel="00000000" w:rsidP="00000000" w:rsidRDefault="00000000" w:rsidRPr="00000000" w14:paraId="00000409">
      <w:pPr>
        <w:jc w:val="both"/>
        <w:rPr/>
      </w:pPr>
      <w:r w:rsidDel="00000000" w:rsidR="00000000" w:rsidRPr="00000000">
        <w:rPr>
          <w:rtl w:val="0"/>
        </w:rPr>
      </w:r>
    </w:p>
    <w:p w:rsidR="00000000" w:rsidDel="00000000" w:rsidP="00000000" w:rsidRDefault="00000000" w:rsidRPr="00000000" w14:paraId="0000040A">
      <w:pPr>
        <w:jc w:val="both"/>
        <w:rPr/>
      </w:pPr>
      <w:r w:rsidDel="00000000" w:rsidR="00000000" w:rsidRPr="00000000">
        <w:rPr>
          <w:rtl w:val="0"/>
        </w:rPr>
        <w:t xml:space="preserve">Death is the fate of all living structures, and this also concerns cells. However, regular age-related changes leading to cell death because of old age occur only in multicellular animals (Metazoa).</w:t>
      </w:r>
    </w:p>
    <w:p w:rsidR="00000000" w:rsidDel="00000000" w:rsidP="00000000" w:rsidRDefault="00000000" w:rsidRPr="00000000" w14:paraId="0000040B">
      <w:pPr>
        <w:jc w:val="both"/>
        <w:rPr/>
      </w:pPr>
      <w:r w:rsidDel="00000000" w:rsidR="00000000" w:rsidRPr="00000000">
        <w:rPr>
          <w:rtl w:val="0"/>
        </w:rPr>
      </w:r>
    </w:p>
    <w:p w:rsidR="00000000" w:rsidDel="00000000" w:rsidP="00000000" w:rsidRDefault="00000000" w:rsidRPr="00000000" w14:paraId="0000040C">
      <w:pPr>
        <w:jc w:val="both"/>
        <w:rPr/>
      </w:pPr>
      <w:r w:rsidDel="00000000" w:rsidR="00000000" w:rsidRPr="00000000">
        <w:rPr>
          <w:rtl w:val="0"/>
        </w:rPr>
        <w:t xml:space="preserve">In addition to the impossibility for dividing cells to produce offspring (replicative aging), the cell aging of nondividing (or virtually incapable of division) cells has another component manifested by a decrease in the cell “working capacity”. In the organism of multicellular animals, the aging of skin and the hemopoietic system is mainly associated with the first mechanism, whereas the second mechanism is the aging pathway of nerve and muscle cells. And aging of the organism in total is a systemic phenomenon mainly contributed by aging of nerve and muscle cells.</w:t>
      </w:r>
    </w:p>
    <w:p w:rsidR="00000000" w:rsidDel="00000000" w:rsidP="00000000" w:rsidRDefault="00000000" w:rsidRPr="00000000" w14:paraId="0000040D">
      <w:pPr>
        <w:jc w:val="both"/>
        <w:rPr/>
      </w:pPr>
      <w:r w:rsidDel="00000000" w:rsidR="00000000" w:rsidRPr="00000000">
        <w:rPr>
          <w:rtl w:val="0"/>
        </w:rPr>
      </w:r>
    </w:p>
    <w:p w:rsidR="00000000" w:rsidDel="00000000" w:rsidP="00000000" w:rsidRDefault="00000000" w:rsidRPr="00000000" w14:paraId="0000040E">
      <w:pPr>
        <w:jc w:val="both"/>
        <w:rPr/>
      </w:pPr>
      <w:r w:rsidDel="00000000" w:rsidR="00000000" w:rsidRPr="00000000">
        <w:rPr>
          <w:rtl w:val="0"/>
        </w:rPr>
        <w:t xml:space="preserve">Somatic animal cells placed into nutrition medium undergo a strictly defined number of divisions (Hayflick's limit) (Hayflick, 1997; Khokhlov, 2003). As noted in (Potapenko et al, 1999), “on reaching the final differentiation, somatic cells lose reproductive potential, and from this moment they are condemned to die”. This thesis was not refuted even under the boom on plasticity of hemopoietic stem cells (HSC) of bone marrow. During the last two years, these cells were shown to be not toti- and pluripotent but only multi- and unipotent (Onishchenko, 2004) (in contrasting to data of the previous three-four years). Therefore, the involvement of these cells in regeneration is caused not by their own plasticity and trans-differentiation, but mainly due to their fusion with cells of the damaged organ (Alvarez-Dolado et al, 2003; Nygren et al, 2004). The potential of HSC is high but not unlimited, and they are incapable of self-differentiation (Chertkov, I. L., and Drize, N. I. (2004). Thus, the idea of Hayflick's limit retains validity for somatic cells.</w:t>
      </w:r>
    </w:p>
    <w:p w:rsidR="00000000" w:rsidDel="00000000" w:rsidP="00000000" w:rsidRDefault="00000000" w:rsidRPr="00000000" w14:paraId="0000040F">
      <w:pPr>
        <w:jc w:val="both"/>
        <w:rPr/>
      </w:pPr>
      <w:r w:rsidDel="00000000" w:rsidR="00000000" w:rsidRPr="00000000">
        <w:rPr>
          <w:rtl w:val="0"/>
        </w:rPr>
      </w:r>
    </w:p>
    <w:p w:rsidR="00000000" w:rsidDel="00000000" w:rsidP="00000000" w:rsidRDefault="00000000" w:rsidRPr="00000000" w14:paraId="00000410">
      <w:pPr>
        <w:jc w:val="both"/>
        <w:rPr/>
      </w:pPr>
      <w:r w:rsidDel="00000000" w:rsidR="00000000" w:rsidRPr="00000000">
        <w:rPr>
          <w:rtl w:val="0"/>
        </w:rPr>
        <w:t xml:space="preserve">What structures precisely determine the onset of Hayflick's limit? Today telomeric shortening of chromosomes seems to be the most likely candidate for the role of a replicative timer (Bodnar et al, 1998).</w:t>
      </w:r>
    </w:p>
    <w:p w:rsidR="00000000" w:rsidDel="00000000" w:rsidP="00000000" w:rsidRDefault="00000000" w:rsidRPr="00000000" w14:paraId="00000411">
      <w:pPr>
        <w:jc w:val="both"/>
        <w:rPr/>
      </w:pPr>
      <w:r w:rsidDel="00000000" w:rsidR="00000000" w:rsidRPr="00000000">
        <w:rPr>
          <w:rtl w:val="0"/>
        </w:rPr>
      </w:r>
    </w:p>
    <w:p w:rsidR="00000000" w:rsidDel="00000000" w:rsidP="00000000" w:rsidRDefault="00000000" w:rsidRPr="00000000" w14:paraId="00000412">
      <w:pPr>
        <w:jc w:val="both"/>
        <w:rPr/>
      </w:pPr>
      <w:r w:rsidDel="00000000" w:rsidR="00000000" w:rsidRPr="00000000">
        <w:rPr>
          <w:rtl w:val="0"/>
        </w:rPr>
        <w:t xml:space="preserve">However, some difficulties described below prevent the replicative aging hypothesis from being considered as sufficient.</w:t>
      </w:r>
    </w:p>
    <w:p w:rsidR="00000000" w:rsidDel="00000000" w:rsidP="00000000" w:rsidRDefault="00000000" w:rsidRPr="00000000" w14:paraId="00000413">
      <w:pPr>
        <w:jc w:val="both"/>
        <w:rPr/>
      </w:pPr>
      <w:r w:rsidDel="00000000" w:rsidR="00000000" w:rsidRPr="00000000">
        <w:rPr>
          <w:rtl w:val="0"/>
        </w:rPr>
      </w:r>
    </w:p>
    <w:p w:rsidR="00000000" w:rsidDel="00000000" w:rsidP="00000000" w:rsidRDefault="00000000" w:rsidRPr="00000000" w14:paraId="00000414">
      <w:pPr>
        <w:jc w:val="both"/>
        <w:rPr/>
      </w:pPr>
      <w:r w:rsidDel="00000000" w:rsidR="00000000" w:rsidRPr="00000000">
        <w:rPr>
          <w:rtl w:val="0"/>
        </w:rPr>
        <w:t xml:space="preserve">1. Blasco et al. (Blasco et al, 1997) obtained mice genetically deprived of telomerase (the enzyme maintaining the length of telomeres). These mice were not only viable, but they could reproduce until the sixth generation, despite the telomere shortening with each successive generation. In other words, each next generation of the mice started their life at the length of telomeric ends of chromosomes equal to those at the death of the preceding generation, but nevertheless developed normally. If telomere shortening was the cause of aging of their cells, these mice would not be able to develop. Only the sixth generation animals displayed disorders associated with the ultimate shortening of telomeres. As the authors reasonably noted, the shortening of telomeres finally resulted in the termination of proliferation, but the “normal” senescence of the cells occurred before the limiting shortening of telomeres.</w:t>
      </w:r>
    </w:p>
    <w:p w:rsidR="00000000" w:rsidDel="00000000" w:rsidP="00000000" w:rsidRDefault="00000000" w:rsidRPr="00000000" w14:paraId="00000415">
      <w:pPr>
        <w:jc w:val="both"/>
        <w:rPr/>
      </w:pPr>
      <w:r w:rsidDel="00000000" w:rsidR="00000000" w:rsidRPr="00000000">
        <w:rPr>
          <w:rtl w:val="0"/>
        </w:rPr>
      </w:r>
    </w:p>
    <w:p w:rsidR="00000000" w:rsidDel="00000000" w:rsidP="00000000" w:rsidRDefault="00000000" w:rsidRPr="00000000" w14:paraId="00000416">
      <w:pPr>
        <w:jc w:val="both"/>
        <w:rPr/>
      </w:pPr>
      <w:r w:rsidDel="00000000" w:rsidR="00000000" w:rsidRPr="00000000">
        <w:rPr>
          <w:rtl w:val="0"/>
        </w:rPr>
        <w:t xml:space="preserve">2. In mice with knocked-out telomerase gene (Rudolph et al, 1999), aging was not accelerated as judged by physiological and biochemical parameters, although the life span of these animals was decreased and the incidence of tumors increased.</w:t>
      </w:r>
    </w:p>
    <w:p w:rsidR="00000000" w:rsidDel="00000000" w:rsidP="00000000" w:rsidRDefault="00000000" w:rsidRPr="00000000" w14:paraId="00000417">
      <w:pPr>
        <w:jc w:val="both"/>
        <w:rPr/>
      </w:pPr>
      <w:r w:rsidDel="00000000" w:rsidR="00000000" w:rsidRPr="00000000">
        <w:rPr>
          <w:rtl w:val="0"/>
        </w:rPr>
      </w:r>
    </w:p>
    <w:p w:rsidR="00000000" w:rsidDel="00000000" w:rsidP="00000000" w:rsidRDefault="00000000" w:rsidRPr="00000000" w14:paraId="00000418">
      <w:pPr>
        <w:jc w:val="both"/>
        <w:rPr/>
      </w:pPr>
      <w:r w:rsidDel="00000000" w:rsidR="00000000" w:rsidRPr="00000000">
        <w:rPr>
          <w:rtl w:val="0"/>
        </w:rPr>
        <w:t xml:space="preserve">3. In the majority of somatic cells of adult humans, the activity of telomerase is very low or immeasurable. But in somatic cells of mice, telomerase activity can also be determined postnatally (Chadeneau et al, 1995). Their telomeres are 5-10 times longer than human telomeres, and the constant expression of telomerase prevents the telomere shortening to the critical size (Todriya et al, 2004). Consequently, the shortening of telomeres cannot be responsible for the replicative aging of cells in mice.</w:t>
      </w:r>
    </w:p>
    <w:p w:rsidR="00000000" w:rsidDel="00000000" w:rsidP="00000000" w:rsidRDefault="00000000" w:rsidRPr="00000000" w14:paraId="00000419">
      <w:pPr>
        <w:jc w:val="both"/>
        <w:rPr/>
      </w:pPr>
      <w:r w:rsidDel="00000000" w:rsidR="00000000" w:rsidRPr="00000000">
        <w:rPr>
          <w:rtl w:val="0"/>
        </w:rPr>
      </w:r>
    </w:p>
    <w:p w:rsidR="00000000" w:rsidDel="00000000" w:rsidP="00000000" w:rsidRDefault="00000000" w:rsidRPr="00000000" w14:paraId="0000041A">
      <w:pPr>
        <w:jc w:val="both"/>
        <w:rPr/>
      </w:pPr>
      <w:r w:rsidDel="00000000" w:rsidR="00000000" w:rsidRPr="00000000">
        <w:rPr>
          <w:rtl w:val="0"/>
        </w:rPr>
        <w:t xml:space="preserve">4. It has been rather recently shown that expression of the telomerase catalytic subunit gene is insufficient for immortalization of human mammary gland normal fibroblasts and endothelial cells (Popov et al, 2004; O’Hare et al, 2001). Similar results were obtained when the gene of the mouse telomerase catalytic component (mTERT) was introduced into mouse embryonic fibroblasts. These cells had longer telomeres than in the control, but this failed to immortalize them (Artandi et al, 2002).</w:t>
      </w:r>
    </w:p>
    <w:p w:rsidR="00000000" w:rsidDel="00000000" w:rsidP="00000000" w:rsidRDefault="00000000" w:rsidRPr="00000000" w14:paraId="0000041B">
      <w:pPr>
        <w:jc w:val="both"/>
        <w:rPr/>
      </w:pPr>
      <w:r w:rsidDel="00000000" w:rsidR="00000000" w:rsidRPr="00000000">
        <w:rPr>
          <w:rtl w:val="0"/>
        </w:rPr>
      </w:r>
    </w:p>
    <w:p w:rsidR="00000000" w:rsidDel="00000000" w:rsidP="00000000" w:rsidRDefault="00000000" w:rsidRPr="00000000" w14:paraId="0000041C">
      <w:pPr>
        <w:jc w:val="both"/>
        <w:rPr/>
      </w:pPr>
      <w:r w:rsidDel="00000000" w:rsidR="00000000" w:rsidRPr="00000000">
        <w:rPr>
          <w:rtl w:val="0"/>
        </w:rPr>
        <w:t xml:space="preserve">5. The telomere hypothesis is also invalidated by data on changes in the length of telomeres in cloned animals. Thus, in Dolly and other cloned sheep, the telomeres were shorter than in normal age-matched sheep, and this seems to characterize the age of the “mother” sheep1 (Sheils et al, 1999) Nature, 399, 316-317. Nevertheless, signs of premature senescence were not and still are not observed in Dolly and other cloned animals2.</w:t>
      </w:r>
    </w:p>
    <w:p w:rsidR="00000000" w:rsidDel="00000000" w:rsidP="00000000" w:rsidRDefault="00000000" w:rsidRPr="00000000" w14:paraId="0000041D">
      <w:pPr>
        <w:jc w:val="both"/>
        <w:rPr/>
      </w:pPr>
      <w:r w:rsidDel="00000000" w:rsidR="00000000" w:rsidRPr="00000000">
        <w:rPr>
          <w:rtl w:val="0"/>
        </w:rPr>
      </w:r>
    </w:p>
    <w:p w:rsidR="00000000" w:rsidDel="00000000" w:rsidP="00000000" w:rsidRDefault="00000000" w:rsidRPr="00000000" w14:paraId="0000041E">
      <w:pPr>
        <w:pStyle w:val="Heading3"/>
        <w:jc w:val="both"/>
        <w:rPr/>
      </w:pPr>
      <w:bookmarkStart w:colFirst="0" w:colLast="0" w:name="_tzu1ik9uaajg" w:id="131"/>
      <w:bookmarkEnd w:id="131"/>
      <w:r w:rsidDel="00000000" w:rsidR="00000000" w:rsidRPr="00000000">
        <w:rPr>
          <w:rtl w:val="0"/>
        </w:rPr>
        <w:t xml:space="preserve">3.3.2 C</w:t>
      </w:r>
      <w:r w:rsidDel="00000000" w:rsidR="00000000" w:rsidRPr="00000000">
        <w:rPr>
          <w:vertAlign w:val="baseline"/>
          <w:rtl w:val="0"/>
        </w:rPr>
        <w:t xml:space="preserve">ytoplasmic factors and cell development</w:t>
      </w:r>
      <w:r w:rsidDel="00000000" w:rsidR="00000000" w:rsidRPr="00000000">
        <w:rPr>
          <w:rtl w:val="0"/>
        </w:rPr>
      </w:r>
    </w:p>
    <w:p w:rsidR="00000000" w:rsidDel="00000000" w:rsidP="00000000" w:rsidRDefault="00000000" w:rsidRPr="00000000" w14:paraId="0000041F">
      <w:pPr>
        <w:jc w:val="both"/>
        <w:rPr/>
      </w:pPr>
      <w:r w:rsidDel="00000000" w:rsidR="00000000" w:rsidRPr="00000000">
        <w:rPr>
          <w:rtl w:val="0"/>
        </w:rPr>
      </w:r>
    </w:p>
    <w:p w:rsidR="00000000" w:rsidDel="00000000" w:rsidP="00000000" w:rsidRDefault="00000000" w:rsidRPr="00000000" w14:paraId="00000420">
      <w:pPr>
        <w:jc w:val="both"/>
        <w:rPr/>
      </w:pPr>
      <w:r w:rsidDel="00000000" w:rsidR="00000000" w:rsidRPr="00000000">
        <w:rPr>
          <w:rtl w:val="0"/>
        </w:rPr>
        <w:t xml:space="preserve">Cytoplasmic factors differentially activate genes, and this underlies differentiation (Chastant et al, 1996). In particular, involvement of the recipient's cytoplasm in reprogramming the nucleus was shown in transgenic mice with a fluorescent marker of the expression of gene HSB 70.1. Virtually the same can be said about the reprogramming of the nucleus on cloning other organisms (Lagutina et al, 2001).</w:t>
      </w:r>
    </w:p>
    <w:p w:rsidR="00000000" w:rsidDel="00000000" w:rsidP="00000000" w:rsidRDefault="00000000" w:rsidRPr="00000000" w14:paraId="00000421">
      <w:pPr>
        <w:jc w:val="both"/>
        <w:rPr/>
      </w:pPr>
      <w:r w:rsidDel="00000000" w:rsidR="00000000" w:rsidRPr="00000000">
        <w:rPr>
          <w:rtl w:val="0"/>
        </w:rPr>
      </w:r>
    </w:p>
    <w:p w:rsidR="00000000" w:rsidDel="00000000" w:rsidP="00000000" w:rsidRDefault="00000000" w:rsidRPr="00000000" w14:paraId="00000422">
      <w:pPr>
        <w:jc w:val="both"/>
        <w:rPr/>
      </w:pPr>
      <w:r w:rsidDel="00000000" w:rsidR="00000000" w:rsidRPr="00000000">
        <w:rPr>
          <w:rtl w:val="0"/>
        </w:rPr>
        <w:t xml:space="preserve">Supporters of exclusively programming function of DNA in development usually argue by the unequivocal determination of all levels of organization by the genome via the primary structure of the encoded proteins and polypeptides. However, data on inheritance during cell reproduction (together with DNA) of the spatial organization of the cell, its locomotor system (Isaeva, V. V., and Presnov, E. V., 1990), and dynamical properties of the microtubular polymers (Nigg, 2001) makes fruitless searches for the origin and initial cause (nucleus versus cytoplasm, egg versus hen). To decide these questions, one has to mentally come back to arising of the cellular forms of life (Isaeva, 1991). At present, this question has no solution. Certainly, information about proteins is coded in the genome, but at the same time many of these proteins (e.g., signaling ones) in their turn control the genome, expressing some genes and suppressing others (Grechkin, A. N., and Tarchevskii, I. A., 2000). The spatial redistribution of macromolecules plays the most important role during ontogenesis, whereas genes, by definition, are unable of doing this (Belousov, 2002). According to (Goodwin, 1994), knowledge of molecular composition is insufficient to determine shape, and the organisms' morphology cannot explain the effects of their genes.</w:t>
      </w:r>
    </w:p>
    <w:p w:rsidR="00000000" w:rsidDel="00000000" w:rsidP="00000000" w:rsidRDefault="00000000" w:rsidRPr="00000000" w14:paraId="00000423">
      <w:pPr>
        <w:jc w:val="both"/>
        <w:rPr/>
      </w:pPr>
      <w:r w:rsidDel="00000000" w:rsidR="00000000" w:rsidRPr="00000000">
        <w:rPr>
          <w:rtl w:val="0"/>
        </w:rPr>
      </w:r>
    </w:p>
    <w:p w:rsidR="00000000" w:rsidDel="00000000" w:rsidP="00000000" w:rsidRDefault="00000000" w:rsidRPr="00000000" w14:paraId="00000424">
      <w:pPr>
        <w:jc w:val="both"/>
        <w:rPr/>
      </w:pPr>
      <w:r w:rsidDel="00000000" w:rsidR="00000000" w:rsidRPr="00000000">
        <w:rPr>
          <w:rtl w:val="0"/>
        </w:rPr>
        <w:t xml:space="preserve">Up to now, DNA itself is not shown to have autonomous programs of changes in gene expression (except some particular cases). Structural rearrangements of the genome during development are not a result of the genetic inheritance but of epigenetic control, i.e., the previous morphofuctional architectonics of the cell. Not all properties of the cell are coded in the genome. The genome only encodes molecules and lays into them the possibility of interactions. Later they behave as self-learning systems and became autonomous, though having feedbacks with the genome (Sverdlov, 2001). Of course, nobody denies that the genome does determine all levels of organization, but the spatial redistribution of macromolecules and time parameters of changes in the gene expression are functions of cytoplasmic factors. Consequently, the phenotypic diversity of cells is a function of epigenetic mechanisms (Latham, 1999; Wolffe, A. P., and Matzke, M. A., 1999), which via repression/derepression of particular genes induce cell differentiation and senescence.</w:t>
      </w:r>
    </w:p>
    <w:p w:rsidR="00000000" w:rsidDel="00000000" w:rsidP="00000000" w:rsidRDefault="00000000" w:rsidRPr="00000000" w14:paraId="00000425">
      <w:pPr>
        <w:jc w:val="both"/>
        <w:rPr/>
      </w:pPr>
      <w:r w:rsidDel="00000000" w:rsidR="00000000" w:rsidRPr="00000000">
        <w:rPr>
          <w:rtl w:val="0"/>
        </w:rPr>
      </w:r>
    </w:p>
    <w:p w:rsidR="00000000" w:rsidDel="00000000" w:rsidP="00000000" w:rsidRDefault="00000000" w:rsidRPr="00000000" w14:paraId="00000426">
      <w:pPr>
        <w:jc w:val="both"/>
        <w:rPr/>
      </w:pPr>
      <w:r w:rsidDel="00000000" w:rsidR="00000000" w:rsidRPr="00000000">
        <w:rPr>
          <w:rtl w:val="0"/>
        </w:rPr>
        <w:t xml:space="preserve">There are some reasons against considering the genome to be an integral and self-sufficient unit of the functional and hereditary information of the organism. If it were so, the totality of cells ingredients could be created completely de novo under conditions of the genome integrity and availability of the biosynthetic apparatus. But neither the nucleus nor the most important cell organelles can be created de novo in the absence of only fragments of these structures. These organelles become fragmented before cell division and then are assembled anew from these fragments (Alberts et al, 1994). In any case, we are still far from understanding how these structures depend on the genome (Sverdlov, 1999; Paoletti, A., and Bornens, M., 1997). The cell is indeed a kind of “symbiosis” of the genome and cellular structures, and the full-value development of the organism needs not only genomic but also cytoplasmic information that is present in germ cells and absent in the genome and nucleus.</w:t>
      </w:r>
    </w:p>
    <w:p w:rsidR="00000000" w:rsidDel="00000000" w:rsidP="00000000" w:rsidRDefault="00000000" w:rsidRPr="00000000" w14:paraId="00000427">
      <w:pPr>
        <w:jc w:val="both"/>
        <w:rPr/>
      </w:pPr>
      <w:r w:rsidDel="00000000" w:rsidR="00000000" w:rsidRPr="00000000">
        <w:rPr>
          <w:rtl w:val="0"/>
        </w:rPr>
      </w:r>
    </w:p>
    <w:p w:rsidR="00000000" w:rsidDel="00000000" w:rsidP="00000000" w:rsidRDefault="00000000" w:rsidRPr="00000000" w14:paraId="00000428">
      <w:pPr>
        <w:jc w:val="both"/>
        <w:rPr/>
      </w:pPr>
      <w:r w:rsidDel="00000000" w:rsidR="00000000" w:rsidRPr="00000000">
        <w:rPr>
          <w:rtl w:val="0"/>
        </w:rPr>
        <w:t xml:space="preserve">These facts have been known for a long time, and they are in favor of the determining role of extranuclear factors. This is especially evident during cell differentiation and division. Thus, it was shown by injection of nuclei of differentiated cells into the cytoplasm of other type cells that the pattern of gene expression changes to correlate with the host's cytoplasm (Hardeman et al, 1986). Other researchers injected the nucleus isolated from kidney carcinoma into an enucleated oocyte, and this nucleus continued its normal development in the new environment resulting in a tadpole and then normal frog (Zengbush, 1982). Note that there are cells that normally do not undergo nuclear influences but do not lose their differentiation, e.g., erythrocytes and the eye lens cells (Tumanishvili, 1977). Cytoplasmic influences on the nucleus are also known to determine the rhythm of mitosis in embryonic cells (Aizenshtadt, 1984). It has also been directly shown that the cell cycle and partially regulation of the morphogenesis program are controlled on the level of cytoplasm (Evsikov, 2000).</w:t>
      </w:r>
    </w:p>
    <w:p w:rsidR="00000000" w:rsidDel="00000000" w:rsidP="00000000" w:rsidRDefault="00000000" w:rsidRPr="00000000" w14:paraId="00000429">
      <w:pPr>
        <w:jc w:val="both"/>
        <w:rPr/>
      </w:pPr>
      <w:r w:rsidDel="00000000" w:rsidR="00000000" w:rsidRPr="00000000">
        <w:rPr>
          <w:rtl w:val="0"/>
        </w:rPr>
      </w:r>
    </w:p>
    <w:p w:rsidR="00000000" w:rsidDel="00000000" w:rsidP="00000000" w:rsidRDefault="00000000" w:rsidRPr="00000000" w14:paraId="0000042A">
      <w:pPr>
        <w:jc w:val="both"/>
        <w:rPr/>
      </w:pPr>
      <w:r w:rsidDel="00000000" w:rsidR="00000000" w:rsidRPr="00000000">
        <w:rPr>
          <w:rtl w:val="0"/>
        </w:rPr>
        <w:t xml:space="preserve">Implantation of the adult cell nucleus into enucleated embryonic stem cells (ESC) resulted in stem cells of any desired type. Thus, just cytoplasmic factors maintain the stem properties of ESC!</w:t>
      </w:r>
    </w:p>
    <w:p w:rsidR="00000000" w:rsidDel="00000000" w:rsidP="00000000" w:rsidRDefault="00000000" w:rsidRPr="00000000" w14:paraId="0000042B">
      <w:pPr>
        <w:jc w:val="both"/>
        <w:rPr/>
      </w:pPr>
      <w:r w:rsidDel="00000000" w:rsidR="00000000" w:rsidRPr="00000000">
        <w:rPr>
          <w:rtl w:val="0"/>
        </w:rPr>
      </w:r>
    </w:p>
    <w:p w:rsidR="00000000" w:rsidDel="00000000" w:rsidP="00000000" w:rsidRDefault="00000000" w:rsidRPr="00000000" w14:paraId="0000042C">
      <w:pPr>
        <w:jc w:val="both"/>
        <w:rPr/>
      </w:pPr>
      <w:r w:rsidDel="00000000" w:rsidR="00000000" w:rsidRPr="00000000">
        <w:rPr>
          <w:rtl w:val="0"/>
        </w:rPr>
        <w:t xml:space="preserve">There are many discrepancies in the “telomeric theory of replicative aging”; however, just introduction of the human telomerase catalytic component gene (hTERT) makes human cells immortal. If aging is a cytoplasmic phenomenon, how can these experiments be explained?</w:t>
      </w:r>
    </w:p>
    <w:p w:rsidR="00000000" w:rsidDel="00000000" w:rsidP="00000000" w:rsidRDefault="00000000" w:rsidRPr="00000000" w14:paraId="0000042D">
      <w:pPr>
        <w:jc w:val="both"/>
        <w:rPr/>
      </w:pPr>
      <w:r w:rsidDel="00000000" w:rsidR="00000000" w:rsidRPr="00000000">
        <w:rPr>
          <w:rtl w:val="0"/>
        </w:rPr>
      </w:r>
    </w:p>
    <w:p w:rsidR="00000000" w:rsidDel="00000000" w:rsidP="00000000" w:rsidRDefault="00000000" w:rsidRPr="00000000" w14:paraId="0000042E">
      <w:pPr>
        <w:jc w:val="both"/>
        <w:rPr/>
      </w:pPr>
      <w:r w:rsidDel="00000000" w:rsidR="00000000" w:rsidRPr="00000000">
        <w:rPr>
          <w:rtl w:val="0"/>
        </w:rPr>
        <w:t xml:space="preserve">The following answer seems reasonable: the length of the telomeric DNA is maintained due not only to the interaction with telomerase and telomere-binding proteins, but also due to other still unknown factors regulating the generation of components of the telomere-producing complex. This can be shown by a number of examples.</w:t>
      </w:r>
    </w:p>
    <w:p w:rsidR="00000000" w:rsidDel="00000000" w:rsidP="00000000" w:rsidRDefault="00000000" w:rsidRPr="00000000" w14:paraId="0000042F">
      <w:pPr>
        <w:jc w:val="both"/>
        <w:rPr/>
      </w:pPr>
      <w:r w:rsidDel="00000000" w:rsidR="00000000" w:rsidRPr="00000000">
        <w:rPr>
          <w:rtl w:val="0"/>
        </w:rPr>
      </w:r>
    </w:p>
    <w:p w:rsidR="00000000" w:rsidDel="00000000" w:rsidP="00000000" w:rsidRDefault="00000000" w:rsidRPr="00000000" w14:paraId="00000430">
      <w:pPr>
        <w:jc w:val="both"/>
        <w:rPr/>
      </w:pPr>
      <w:r w:rsidDel="00000000" w:rsidR="00000000" w:rsidRPr="00000000">
        <w:rPr>
          <w:rtl w:val="0"/>
        </w:rPr>
        <w:t xml:space="preserve">a) In some cloned organisms (in particular, in cattle) telomerase activity appeared anew at the early embryo stage and the chromosome ends recovered to normal length (Betts et al, 2001). What factors were responsible for this? Telomerase expression in somatic cells is low, and this prevents the recovery of the telomere length after mitoses. By contrast, in the line of sex cells, the expression of the telomerase catalytic subunit gene is high (Meeker et al, 1997) ; Egorov et al, 2003), but the oocytes used for the cloning were denucleated. Consequently, the normalization of the telomere length and/or de novo arising of the telomerase activity may be explained only by activation of the genome of the reconstructed cell under the influence of cytoplasmic factors of the oocyte.</w:t>
      </w:r>
    </w:p>
    <w:p w:rsidR="00000000" w:rsidDel="00000000" w:rsidP="00000000" w:rsidRDefault="00000000" w:rsidRPr="00000000" w14:paraId="00000431">
      <w:pPr>
        <w:jc w:val="both"/>
        <w:rPr/>
      </w:pPr>
      <w:r w:rsidDel="00000000" w:rsidR="00000000" w:rsidRPr="00000000">
        <w:rPr>
          <w:rtl w:val="0"/>
        </w:rPr>
      </w:r>
    </w:p>
    <w:p w:rsidR="00000000" w:rsidDel="00000000" w:rsidP="00000000" w:rsidRDefault="00000000" w:rsidRPr="00000000" w14:paraId="00000432">
      <w:pPr>
        <w:jc w:val="both"/>
        <w:rPr/>
      </w:pPr>
      <w:r w:rsidDel="00000000" w:rsidR="00000000" w:rsidRPr="00000000">
        <w:rPr>
          <w:rtl w:val="0"/>
        </w:rPr>
        <w:t xml:space="preserve">b) Embryo maturation is associated with the shutdown of the gene (genes) encoding telomerase (Pal’tsev, 2002). But the differentiated activity of genes leading to the phenotypic diversity of cell types is provided by epigenetic mechanisms (Serov, 2004). Consequently, it is cytoplasmic factors that switch on (as well as switch off) the mechanisms which, being switched on, can immortalize the cell. Thus, the putative pathway of the cell depends on these extranuclear factors.</w:t>
      </w:r>
    </w:p>
    <w:p w:rsidR="00000000" w:rsidDel="00000000" w:rsidP="00000000" w:rsidRDefault="00000000" w:rsidRPr="00000000" w14:paraId="00000433">
      <w:pPr>
        <w:jc w:val="both"/>
        <w:rPr/>
      </w:pPr>
      <w:r w:rsidDel="00000000" w:rsidR="00000000" w:rsidRPr="00000000">
        <w:rPr>
          <w:rtl w:val="0"/>
        </w:rPr>
      </w:r>
    </w:p>
    <w:p w:rsidR="00000000" w:rsidDel="00000000" w:rsidP="00000000" w:rsidRDefault="00000000" w:rsidRPr="00000000" w14:paraId="00000434">
      <w:pPr>
        <w:jc w:val="both"/>
        <w:rPr/>
      </w:pPr>
      <w:r w:rsidDel="00000000" w:rsidR="00000000" w:rsidRPr="00000000">
        <w:rPr>
          <w:rFonts w:ascii="Arial Unicode MS" w:cs="Arial Unicode MS" w:eastAsia="Arial Unicode MS" w:hAnsi="Arial Unicode MS"/>
          <w:rtl w:val="0"/>
        </w:rPr>
        <w:t xml:space="preserve">The ability of dividing cells to differentiate into a certain tissue (tissues), the intrinsic factor limiting/ensuring the possibility of gene repression and derepression determines the individual histological state of the cell, its morphogenetic status. Change in the morphogenetic status of the cell means an irreversible change in the spectrum of tissues that it can differentiate into. During embryogenesis, this process in most cases is directed to diminishing this spectrum (totipotency →_...→_absence of potency), until the cells become highly specialized (Goedeeva, 2003; Malaitsev et al, 2002). The limitation of “potency” to produce generations of morphogenetically different cells continues until the appearance of a cell generation with a “final” morphogenetic status, and from this moment the cells are doomed to aging and death. (An exception is presented by the differentiation vector leading to the sex cell, for which the “final” morphogenetic status is specified by meiosis, and after the meiosis the cell reacquires the null morphogenetic status, as if “charges” anew.) Thus, for dividing cells the “final” morphogenetic status really means the termination of the life cycle. The “null” morphogenetic status means that the cell does not yet enter the pathway of differentiation. Consequently, such a cell is totipotent (in any case, still totipotent). Among the cells of multicellular animals, such cells are represented by zygote, first division blastomeres, embryonic germinative cells (EGC), ESC (many authors think EGC and ESC to be not totipotent but pluripotent), and partly oocytes (in the case of parthenogenesis) (Gabaeva, 1986; Repin, 2001; Brustle, 1999; Gage, 2000). These cells have the “null” morphogenetic status. There are multicellular organisms with cells lacking the morphogenetic status (i.e., their status is virtually zero, although they display a certain morphogenetics of development), because their cells are totipotent (e.g., higher plants) (Ezhova, 2003; Samuilov, 2000).</w:t>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jc w:val="both"/>
        <w:rPr/>
      </w:pPr>
      <w:r w:rsidDel="00000000" w:rsidR="00000000" w:rsidRPr="00000000">
        <w:rPr>
          <w:rtl w:val="0"/>
        </w:rPr>
        <w:t xml:space="preserve">It should be noted the morphogenetic status of the progeny cannot change without division of the somatic cell. Programmed death is also related with changes in the morphogenetic status, and this relation is realized via the counting of cell divisions, starting from the “null” status. In general, it may be fancied as follows: exactly after a definite number of divisions, the cell (or more accurately, the cell descendant) has to differentiate into one or another histological unit. And this has to occur several times until after a definite number of divisions the cell exhausts the limit of divisions (Hayflick's limit) and replicative aging begins--and this will be the “final” morphogenetic status. But really, not every division changes the status. Thus, division of ESC, parthenogenetic division of the oocyte, and even several divisions of the zygote should be considered unassociated with changes in the status while these cells retain totipotency. Totipotency is the main characteristic of the “null” morphogenetic status of the cell. Only the division, which changes the morphogenetic status, should be considered the starting point for counting “intracellular hours” eventually resulting in the “final” morphogenetic status. Division is the necessary but not sufficient condition for changes in the given status.</w:t>
      </w:r>
    </w:p>
    <w:p w:rsidR="00000000" w:rsidDel="00000000" w:rsidP="00000000" w:rsidRDefault="00000000" w:rsidRPr="00000000" w14:paraId="00000437">
      <w:pPr>
        <w:jc w:val="both"/>
        <w:rPr/>
      </w:pPr>
      <w:r w:rsidDel="00000000" w:rsidR="00000000" w:rsidRPr="00000000">
        <w:rPr>
          <w:rtl w:val="0"/>
        </w:rPr>
      </w:r>
    </w:p>
    <w:p w:rsidR="00000000" w:rsidDel="00000000" w:rsidP="00000000" w:rsidRDefault="00000000" w:rsidRPr="00000000" w14:paraId="00000438">
      <w:pPr>
        <w:jc w:val="both"/>
        <w:rPr/>
      </w:pPr>
      <w:r w:rsidDel="00000000" w:rsidR="00000000" w:rsidRPr="00000000">
        <w:rPr>
          <w:rtl w:val="0"/>
        </w:rPr>
        <w:t xml:space="preserve">The close relation existing between division, differentiation, and programmed death makes one think these processes to be regulated by the same structure. No doubt, the structure carrying such information has to be capable of self-reproduction or at least be a “self-regulated autonomous organelle” (in terms of Alberts et al.). Somatic cells of multicellular animals have a number of such organelles, including centrioles.</w:t>
      </w:r>
    </w:p>
    <w:p w:rsidR="00000000" w:rsidDel="00000000" w:rsidP="00000000" w:rsidRDefault="00000000" w:rsidRPr="00000000" w14:paraId="00000439">
      <w:pPr>
        <w:jc w:val="both"/>
        <w:rPr/>
      </w:pPr>
      <w:r w:rsidDel="00000000" w:rsidR="00000000" w:rsidRPr="00000000">
        <w:rPr>
          <w:rtl w:val="0"/>
        </w:rPr>
      </w:r>
    </w:p>
    <w:p w:rsidR="00000000" w:rsidDel="00000000" w:rsidP="00000000" w:rsidRDefault="00000000" w:rsidRPr="00000000" w14:paraId="0000043A">
      <w:pPr>
        <w:jc w:val="both"/>
        <w:rPr/>
      </w:pPr>
      <w:r w:rsidDel="00000000" w:rsidR="00000000" w:rsidRPr="00000000">
        <w:rPr>
          <w:rtl w:val="0"/>
        </w:rPr>
        <w:t xml:space="preserve">The centrosome (centriole) and cytoskeleton formed with involvement of the centrosome are likely to be structures which determine the histological distribution of all somatic cells and appearance of age-related changes. Just they determine and change the morphogenetic status of somatic cells of multicellular organisms.</w:t>
      </w:r>
    </w:p>
    <w:p w:rsidR="00000000" w:rsidDel="00000000" w:rsidP="00000000" w:rsidRDefault="00000000" w:rsidRPr="00000000" w14:paraId="0000043B">
      <w:pPr>
        <w:jc w:val="both"/>
        <w:rPr/>
      </w:pPr>
      <w:r w:rsidDel="00000000" w:rsidR="00000000" w:rsidRPr="00000000">
        <w:rPr>
          <w:rtl w:val="0"/>
        </w:rPr>
      </w:r>
    </w:p>
    <w:p w:rsidR="00000000" w:rsidDel="00000000" w:rsidP="00000000" w:rsidRDefault="00000000" w:rsidRPr="00000000" w14:paraId="0000043C">
      <w:pPr>
        <w:pStyle w:val="Heading3"/>
        <w:jc w:val="both"/>
        <w:rPr/>
      </w:pPr>
      <w:bookmarkStart w:colFirst="0" w:colLast="0" w:name="_8mqama6h2pyr" w:id="132"/>
      <w:bookmarkEnd w:id="132"/>
      <w:r w:rsidDel="00000000" w:rsidR="00000000" w:rsidRPr="00000000">
        <w:rPr>
          <w:rtl w:val="0"/>
        </w:rPr>
        <w:t xml:space="preserve">3.3.3 C</w:t>
      </w:r>
      <w:r w:rsidDel="00000000" w:rsidR="00000000" w:rsidRPr="00000000">
        <w:rPr>
          <w:vertAlign w:val="baseline"/>
          <w:rtl w:val="0"/>
        </w:rPr>
        <w:t xml:space="preserve">entriolar/cytoskeletal mechanisms of cell differentiation and replication</w:t>
      </w:r>
      <w:r w:rsidDel="00000000" w:rsidR="00000000" w:rsidRPr="00000000">
        <w:rPr>
          <w:rtl w:val="0"/>
        </w:rPr>
      </w:r>
    </w:p>
    <w:p w:rsidR="00000000" w:rsidDel="00000000" w:rsidP="00000000" w:rsidRDefault="00000000" w:rsidRPr="00000000" w14:paraId="0000043D">
      <w:pPr>
        <w:jc w:val="both"/>
        <w:rPr/>
      </w:pPr>
      <w:r w:rsidDel="00000000" w:rsidR="00000000" w:rsidRPr="00000000">
        <w:rPr>
          <w:rtl w:val="0"/>
        </w:rPr>
      </w:r>
    </w:p>
    <w:p w:rsidR="00000000" w:rsidDel="00000000" w:rsidP="00000000" w:rsidRDefault="00000000" w:rsidRPr="00000000" w14:paraId="0000043E">
      <w:pPr>
        <w:jc w:val="both"/>
        <w:rPr/>
      </w:pPr>
      <w:r w:rsidDel="00000000" w:rsidR="00000000" w:rsidRPr="00000000">
        <w:rPr>
          <w:rtl w:val="0"/>
        </w:rPr>
        <w:t xml:space="preserve">Cytoskeletal structures are known to be the most suitable structures for coding the cytoplasm-stored information. The cytoskeleton, which is a kind of command processor, integrates and coordinates the cell metabolism. Even the cleavage type (Satoh, 1987) and joining up of cells into a tissue (Vasiliev, 2001; Krendel, 1999),  are determined by the cytoskeleton. Microtubular components of the cytoskeleton determine the direction of displacements of virtually all intracellular components (Minin, 2004; Hollenbeck, 1996). They are also (together with actin filaments) involved in cytokinesis, assemblage of the spindle, and mitotic movements (Baum, B., and Perrimon, N., 2001). This concerns both somatic and sex cells. The egg cytomatrix is generally accepted to play a role in the anisotropic distribution of morphogenetic determinants and, thus, the primary determination of earlier development (Ryabova, L. V., and Vasetskii, S. G., 1990).</w:t>
      </w:r>
    </w:p>
    <w:p w:rsidR="00000000" w:rsidDel="00000000" w:rsidP="00000000" w:rsidRDefault="00000000" w:rsidRPr="00000000" w14:paraId="0000043F">
      <w:pPr>
        <w:jc w:val="both"/>
        <w:rPr/>
      </w:pPr>
      <w:r w:rsidDel="00000000" w:rsidR="00000000" w:rsidRPr="00000000">
        <w:rPr>
          <w:rtl w:val="0"/>
        </w:rPr>
      </w:r>
    </w:p>
    <w:p w:rsidR="00000000" w:rsidDel="00000000" w:rsidP="00000000" w:rsidRDefault="00000000" w:rsidRPr="00000000" w14:paraId="00000440">
      <w:pPr>
        <w:jc w:val="both"/>
        <w:rPr/>
      </w:pPr>
      <w:r w:rsidDel="00000000" w:rsidR="00000000" w:rsidRPr="00000000">
        <w:rPr>
          <w:rtl w:val="0"/>
        </w:rPr>
        <w:t xml:space="preserve">The cytoskeleton transmits both exogenous signals and endogenous influences into the cell nucleus (Zapara, 1999). Mechanisms of such influences are associated with the mechanical tension of the cytoskeleton and location of certain cytochemical components on the cytomatrix. These effects control the synthetic and mitotic activities of the cells, their motive behavior, and morphogenesis. This system in multicellular organisms functions independently of the simultaneous activity of the genome. The cytoskeleton of the mother cell can transmit information about specific features of its organization directly to the daughter cell cytoskeleton.</w:t>
      </w:r>
    </w:p>
    <w:p w:rsidR="00000000" w:rsidDel="00000000" w:rsidP="00000000" w:rsidRDefault="00000000" w:rsidRPr="00000000" w14:paraId="00000441">
      <w:pPr>
        <w:jc w:val="both"/>
        <w:rPr/>
      </w:pPr>
      <w:r w:rsidDel="00000000" w:rsidR="00000000" w:rsidRPr="00000000">
        <w:rPr>
          <w:rtl w:val="0"/>
        </w:rPr>
      </w:r>
    </w:p>
    <w:p w:rsidR="00000000" w:rsidDel="00000000" w:rsidP="00000000" w:rsidRDefault="00000000" w:rsidRPr="00000000" w14:paraId="00000442">
      <w:pPr>
        <w:jc w:val="both"/>
        <w:rPr/>
      </w:pPr>
      <w:r w:rsidDel="00000000" w:rsidR="00000000" w:rsidRPr="00000000">
        <w:rPr>
          <w:rtl w:val="0"/>
        </w:rPr>
        <w:t xml:space="preserve">Differentiation, proliferation, and maintaining of tissue architectonics are associated with both intercellular interactions and cell contacts with the extracellular matrix (Pal’tsev, 1995). During these interactions, information is transmitted from the environment of the cell to its surface receptors and from them into the cell. Ultimately changing activities of transcriptional factors, this process mediates morphogenesis and differentiation of the cell (Kreis, 1993). Thus, an integral system has been proved to exist which consists of the extracellular matrix, plasma membrane, and cytoskeleton and is involved in spreading and transmission of an external regulatory signal, and this system functions as a trigger of gene expression (Roskelley, 1995). The close relation between the cytoskeleton and extracellular matrix is a pledge for every change in the structure of one component reflecting on the other's structure. It has long been known that changes in the cytoskeleton structure can modulate the configuration of chromatin and gene expression (Fulton, 1984; Egorova, 2001) .</w:t>
      </w:r>
    </w:p>
    <w:p w:rsidR="00000000" w:rsidDel="00000000" w:rsidP="00000000" w:rsidRDefault="00000000" w:rsidRPr="00000000" w14:paraId="00000443">
      <w:pPr>
        <w:jc w:val="both"/>
        <w:rPr/>
      </w:pPr>
      <w:r w:rsidDel="00000000" w:rsidR="00000000" w:rsidRPr="00000000">
        <w:rPr>
          <w:rtl w:val="0"/>
        </w:rPr>
      </w:r>
    </w:p>
    <w:p w:rsidR="00000000" w:rsidDel="00000000" w:rsidP="00000000" w:rsidRDefault="00000000" w:rsidRPr="00000000" w14:paraId="00000444">
      <w:pPr>
        <w:jc w:val="both"/>
        <w:rPr/>
      </w:pPr>
      <w:r w:rsidDel="00000000" w:rsidR="00000000" w:rsidRPr="00000000">
        <w:rPr>
          <w:rtl w:val="0"/>
        </w:rPr>
        <w:t xml:space="preserve">This short review of the literature confirms the opinion of the majority of researchers that the above-presented cytoplasmic influences on the nucleus are virtually totally associated with the cytoskeleton and its constituents.</w:t>
      </w:r>
    </w:p>
    <w:p w:rsidR="00000000" w:rsidDel="00000000" w:rsidP="00000000" w:rsidRDefault="00000000" w:rsidRPr="00000000" w14:paraId="00000445">
      <w:pPr>
        <w:jc w:val="both"/>
        <w:rPr/>
      </w:pPr>
      <w:r w:rsidDel="00000000" w:rsidR="00000000" w:rsidRPr="00000000">
        <w:rPr>
          <w:rtl w:val="0"/>
        </w:rPr>
      </w:r>
    </w:p>
    <w:p w:rsidR="00000000" w:rsidDel="00000000" w:rsidP="00000000" w:rsidRDefault="00000000" w:rsidRPr="00000000" w14:paraId="00000446">
      <w:pPr>
        <w:jc w:val="both"/>
        <w:rPr/>
      </w:pPr>
      <w:r w:rsidDel="00000000" w:rsidR="00000000" w:rsidRPr="00000000">
        <w:rPr>
          <w:rtl w:val="0"/>
        </w:rPr>
        <w:t xml:space="preserve">The cytoskeleton has been established to include three main types of filaments that form three systems: microtubules (of tubulin), microfilaments (of actin), and intermediary filaments. Production of varied structures from actin microfilaments is regulated by the system of microtubules, which determines regions of actin polymerization and location of microfilament bundles, i.e., microtubules determine the dynamic architecture of the cytoskeleton and the total cell (Domnina, 1996). The organization of microtubules in animal cells is controlled by the centrosome (centrioles), which is an extragenomic carrier of information about the spatial position of microtubules (Abumuslimov, 1994; Kirshner, M., and Mitchison, T., 1986), and this forms the center of microtubule organization.</w:t>
      </w:r>
    </w:p>
    <w:p w:rsidR="00000000" w:rsidDel="00000000" w:rsidP="00000000" w:rsidRDefault="00000000" w:rsidRPr="00000000" w14:paraId="00000447">
      <w:pPr>
        <w:jc w:val="both"/>
        <w:rPr/>
      </w:pPr>
      <w:r w:rsidDel="00000000" w:rsidR="00000000" w:rsidRPr="00000000">
        <w:rPr>
          <w:rtl w:val="0"/>
        </w:rPr>
      </w:r>
    </w:p>
    <w:p w:rsidR="00000000" w:rsidDel="00000000" w:rsidP="00000000" w:rsidRDefault="00000000" w:rsidRPr="00000000" w14:paraId="00000448">
      <w:pPr>
        <w:jc w:val="both"/>
        <w:rPr/>
      </w:pPr>
      <w:r w:rsidDel="00000000" w:rsidR="00000000" w:rsidRPr="00000000">
        <w:rPr>
          <w:rtl w:val="0"/>
        </w:rPr>
        <w:t xml:space="preserve">Of course, there are no direct indications that only centrioles are responsible for the morphogenetic status of the cell. It would be surprising if such findings existed not leading to adequate conclusions about functions of the centrioles. However, in the work (Komarova, Yu. A., and Vorobjev, I. A., 1995) it is said that changes in the centrosome structure can be an early marker of cell differentiation. Moreover, based on the centrosome structure, the beginning of enterocyte differentiation can be dated even by the 14th day of embryogenesis, whereas thymidine autoradiography gives only the 16-17th day. Enterocyte differentiation with their advancement from the crypt into villi is associated with termination of DNA synthesis and decrease in the synthesis of RNA and protein and also with involution of the centrosome. The authors (Komarova, 1994) believe these findings to indicate cell differentiation. But involution of the centrosome in the villus enterocytes of mice was found to start when the levels of RNA and protein syntheses were still unchanged. Thus, the centrosome does change initially and the synthesis of nucleic acids changes only afterwards!</w:t>
      </w:r>
    </w:p>
    <w:p w:rsidR="00000000" w:rsidDel="00000000" w:rsidP="00000000" w:rsidRDefault="00000000" w:rsidRPr="00000000" w14:paraId="00000449">
      <w:pPr>
        <w:jc w:val="both"/>
        <w:rPr/>
      </w:pPr>
      <w:r w:rsidDel="00000000" w:rsidR="00000000" w:rsidRPr="00000000">
        <w:rPr>
          <w:rtl w:val="0"/>
        </w:rPr>
      </w:r>
    </w:p>
    <w:p w:rsidR="00000000" w:rsidDel="00000000" w:rsidP="00000000" w:rsidRDefault="00000000" w:rsidRPr="00000000" w14:paraId="0000044A">
      <w:pPr>
        <w:jc w:val="both"/>
        <w:rPr/>
      </w:pPr>
      <w:r w:rsidDel="00000000" w:rsidR="00000000" w:rsidRPr="00000000">
        <w:rPr>
          <w:rtl w:val="0"/>
        </w:rPr>
        <w:t xml:space="preserve">The centrosome sets the consecutive order of the cell passing phases of the cell cycle (Vorobjev, 1988) or, in any case, is involved in programming (the authors' term) events of the cell cycle at least two phases before their realization (Neverova, 1996; Maniotis, A., and Schliva, M., 1991) (but the nature of structures in the centrosome or around it responsible for this effect was not identified by the authors). However, on speaking about the effect of centrioles on the cell cycle, they had in mind the regulation only of one cycle but might extrapolate their data onto all cell cycles without exception and, thus, approach our idea about the determination of Hayflick's cycle by centrioles. In principle, a factor regulating a single cell cycle can also regulate the remaining ones!</w:t>
      </w:r>
    </w:p>
    <w:p w:rsidR="00000000" w:rsidDel="00000000" w:rsidP="00000000" w:rsidRDefault="00000000" w:rsidRPr="00000000" w14:paraId="0000044B">
      <w:pPr>
        <w:jc w:val="both"/>
        <w:rPr/>
      </w:pPr>
      <w:r w:rsidDel="00000000" w:rsidR="00000000" w:rsidRPr="00000000">
        <w:rPr>
          <w:rtl w:val="0"/>
        </w:rPr>
      </w:r>
    </w:p>
    <w:p w:rsidR="00000000" w:rsidDel="00000000" w:rsidP="00000000" w:rsidRDefault="00000000" w:rsidRPr="00000000" w14:paraId="0000044C">
      <w:pPr>
        <w:jc w:val="both"/>
        <w:rPr/>
      </w:pPr>
      <w:r w:rsidDel="00000000" w:rsidR="00000000" w:rsidRPr="00000000">
        <w:rPr>
          <w:rtl w:val="0"/>
        </w:rPr>
        <w:t xml:space="preserve">Microsurgical removal of the centrosome from the cell prevented the G2-phase of the cell cycle, i.e., the cell did not begin preparation for mitosis, although DNA synthesis in them was not inhibited (Zinovkina, 1996; Trevor et al., 1995).</w:t>
      </w:r>
    </w:p>
    <w:p w:rsidR="00000000" w:rsidDel="00000000" w:rsidP="00000000" w:rsidRDefault="00000000" w:rsidRPr="00000000" w14:paraId="0000044D">
      <w:pPr>
        <w:jc w:val="both"/>
        <w:rPr/>
      </w:pPr>
      <w:r w:rsidDel="00000000" w:rsidR="00000000" w:rsidRPr="00000000">
        <w:rPr>
          <w:rtl w:val="0"/>
        </w:rPr>
      </w:r>
    </w:p>
    <w:p w:rsidR="00000000" w:rsidDel="00000000" w:rsidP="00000000" w:rsidRDefault="00000000" w:rsidRPr="00000000" w14:paraId="0000044E">
      <w:pPr>
        <w:jc w:val="both"/>
        <w:rPr/>
      </w:pPr>
      <w:r w:rsidDel="00000000" w:rsidR="00000000" w:rsidRPr="00000000">
        <w:rPr>
          <w:rtl w:val="0"/>
        </w:rPr>
        <w:t xml:space="preserve">The centrosomes taken from the G1-phase-synchronized cells of different animal species and injected into the metaphase-synchronized oocytes of clawed frog could induce the division of the egg (Gorgidze, 1994; Tournier et al., 1991). And if we remember that the culture age (i.e., also Hayflick's limit and aging) is determined by not the time but the number of cell divisions (this is pointed by both supporters and opponents of Hayflick) (Gavrilov, 1978; Dell’orco, 1974) and the cell division is directly related with the centrosomal structures, it is reasonably to conclude that the centrosome should be related to the initiation of cell aging, i.e., the mechanism of counting “cell divisions” seems to be concentrated in this organelle.</w:t>
      </w:r>
    </w:p>
    <w:p w:rsidR="00000000" w:rsidDel="00000000" w:rsidP="00000000" w:rsidRDefault="00000000" w:rsidRPr="00000000" w14:paraId="0000044F">
      <w:pPr>
        <w:jc w:val="both"/>
        <w:rPr/>
      </w:pPr>
      <w:r w:rsidDel="00000000" w:rsidR="00000000" w:rsidRPr="00000000">
        <w:rPr>
          <w:rtl w:val="0"/>
        </w:rPr>
      </w:r>
    </w:p>
    <w:p w:rsidR="00000000" w:rsidDel="00000000" w:rsidP="00000000" w:rsidRDefault="00000000" w:rsidRPr="00000000" w14:paraId="00000450">
      <w:pPr>
        <w:jc w:val="both"/>
        <w:rPr/>
      </w:pPr>
      <w:r w:rsidDel="00000000" w:rsidR="00000000" w:rsidRPr="00000000">
        <w:rPr>
          <w:rtl w:val="0"/>
        </w:rPr>
        <w:t xml:space="preserve">The above-presented findings suggest that normally the centriolar cycle in animal cells is closely related with the cell cycle. But there are data indicating that the centrioles can be replicated independently of the nucleus (Balczon, 1995), i.e., the nuclear (chromosomal) cycle can be separated from the centriolar and centrosomal cycles. In this case, how can we speak about the determining influence of the centrosome on cell division?</w:t>
      </w:r>
    </w:p>
    <w:p w:rsidR="00000000" w:rsidDel="00000000" w:rsidP="00000000" w:rsidRDefault="00000000" w:rsidRPr="00000000" w14:paraId="00000451">
      <w:pPr>
        <w:jc w:val="both"/>
        <w:rPr/>
      </w:pPr>
      <w:r w:rsidDel="00000000" w:rsidR="00000000" w:rsidRPr="00000000">
        <w:rPr>
          <w:rtl w:val="0"/>
        </w:rPr>
      </w:r>
    </w:p>
    <w:p w:rsidR="00000000" w:rsidDel="00000000" w:rsidP="00000000" w:rsidRDefault="00000000" w:rsidRPr="00000000" w14:paraId="00000452">
      <w:pPr>
        <w:jc w:val="both"/>
        <w:rPr/>
      </w:pPr>
      <w:r w:rsidDel="00000000" w:rsidR="00000000" w:rsidRPr="00000000">
        <w:rPr>
          <w:rtl w:val="0"/>
        </w:rPr>
        <w:t xml:space="preserve">First, normally, the replication of centrioles is related with events in the nucleus.</w:t>
      </w:r>
    </w:p>
    <w:p w:rsidR="00000000" w:rsidDel="00000000" w:rsidP="00000000" w:rsidRDefault="00000000" w:rsidRPr="00000000" w14:paraId="00000453">
      <w:pPr>
        <w:jc w:val="both"/>
        <w:rPr/>
      </w:pPr>
      <w:r w:rsidDel="00000000" w:rsidR="00000000" w:rsidRPr="00000000">
        <w:rPr>
          <w:rtl w:val="0"/>
        </w:rPr>
      </w:r>
    </w:p>
    <w:p w:rsidR="00000000" w:rsidDel="00000000" w:rsidP="00000000" w:rsidRDefault="00000000" w:rsidRPr="00000000" w14:paraId="00000454">
      <w:pPr>
        <w:jc w:val="both"/>
        <w:rPr/>
      </w:pPr>
      <w:r w:rsidDel="00000000" w:rsidR="00000000" w:rsidRPr="00000000">
        <w:rPr>
          <w:rtl w:val="0"/>
        </w:rPr>
        <w:t xml:space="preserve">Second, the above-mentioned “separation” of these cycles is more closely associated with the independence of the centriole replication from nuclear influences. This thesis needs some explanations.</w:t>
      </w:r>
    </w:p>
    <w:p w:rsidR="00000000" w:rsidDel="00000000" w:rsidP="00000000" w:rsidRDefault="00000000" w:rsidRPr="00000000" w14:paraId="00000455">
      <w:pPr>
        <w:jc w:val="both"/>
        <w:rPr/>
      </w:pPr>
      <w:r w:rsidDel="00000000" w:rsidR="00000000" w:rsidRPr="00000000">
        <w:rPr>
          <w:rtl w:val="0"/>
        </w:rPr>
      </w:r>
    </w:p>
    <w:p w:rsidR="00000000" w:rsidDel="00000000" w:rsidP="00000000" w:rsidRDefault="00000000" w:rsidRPr="00000000" w14:paraId="00000456">
      <w:pPr>
        <w:jc w:val="both"/>
        <w:rPr/>
      </w:pPr>
      <w:r w:rsidDel="00000000" w:rsidR="00000000" w:rsidRPr="00000000">
        <w:rPr>
          <w:rtl w:val="0"/>
        </w:rPr>
        <w:t xml:space="preserve">Nearly all cells of multicellular animals possess the centriole, but there are some exceptions, such as oocytes of mouse, sea urchin, drosophila, and some mollusks, spermatozoids of rodents, Balbiani cells of salivary glands of Diptera, erythrocytes of some species, polyploid follicular cells of drosophila, muscle fibers of mammals (Tassin, 1985), and some others. Centriole-lacking cells are capable of division, e.g., initial cleavage divisions in mice, mitosis in cultured centriole-free cells of drosophila, the cleavage division in parthenogenesis in the Diptera Sciara. But virtually all these examples are characterized by the same important feature (except sex cells): nearly all interphase centriole-lacking cells present the final form of differentiation (follicular cells, secretory cells of salivary glands of Diptera, etc.); thus, the life cycle of such cells can be terminated only by death, whereas virtually all cases of the centriole absence in the poles of the cell mitotic apparatus are meiotic divisions (Onishchenko, 1982).</w:t>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jc w:val="both"/>
        <w:rPr/>
      </w:pPr>
      <w:r w:rsidDel="00000000" w:rsidR="00000000" w:rsidRPr="00000000">
        <w:rPr>
          <w:rtl w:val="0"/>
        </w:rPr>
        <w:t xml:space="preserve">The presented and other data (for instance, cells with removed chromosomes can perform cytokinesis to the end and divide into two anucleate cells (Zhang, D., and Nicklas, E. B., 1996)) suggest that among cellular structures those of the centrosoma play the most important role in division.</w:t>
      </w:r>
    </w:p>
    <w:p w:rsidR="00000000" w:rsidDel="00000000" w:rsidP="00000000" w:rsidRDefault="00000000" w:rsidRPr="00000000" w14:paraId="00000459">
      <w:pPr>
        <w:jc w:val="both"/>
        <w:rPr/>
      </w:pPr>
      <w:r w:rsidDel="00000000" w:rsidR="00000000" w:rsidRPr="00000000">
        <w:rPr>
          <w:rtl w:val="0"/>
        </w:rPr>
      </w:r>
    </w:p>
    <w:p w:rsidR="00000000" w:rsidDel="00000000" w:rsidP="00000000" w:rsidRDefault="00000000" w:rsidRPr="00000000" w14:paraId="0000045A">
      <w:pPr>
        <w:jc w:val="both"/>
        <w:rPr/>
      </w:pPr>
      <w:r w:rsidDel="00000000" w:rsidR="00000000" w:rsidRPr="00000000">
        <w:rPr>
          <w:rtl w:val="0"/>
        </w:rPr>
        <w:t xml:space="preserve">Consequently, the data in the literature about uncoupling of the two above-mentioned cycles essentially reflect the independence of the centriolar cycle from the nuclear one. But in no case this means that the nuclear cycle is similarly independent from the centriolar cycle! The data presented by us (some arguments will be given further) confirm this formulation of the problem.</w:t>
      </w:r>
    </w:p>
    <w:p w:rsidR="00000000" w:rsidDel="00000000" w:rsidP="00000000" w:rsidRDefault="00000000" w:rsidRPr="00000000" w14:paraId="0000045B">
      <w:pPr>
        <w:jc w:val="both"/>
        <w:rPr/>
      </w:pPr>
      <w:r w:rsidDel="00000000" w:rsidR="00000000" w:rsidRPr="00000000">
        <w:rPr>
          <w:rtl w:val="0"/>
        </w:rPr>
      </w:r>
    </w:p>
    <w:p w:rsidR="00000000" w:rsidDel="00000000" w:rsidP="00000000" w:rsidRDefault="00000000" w:rsidRPr="00000000" w14:paraId="0000045C">
      <w:pPr>
        <w:jc w:val="both"/>
        <w:rPr/>
      </w:pPr>
      <w:r w:rsidDel="00000000" w:rsidR="00000000" w:rsidRPr="00000000">
        <w:rPr>
          <w:rtl w:val="0"/>
        </w:rPr>
        <w:t xml:space="preserve">There is also another reason for the fitness of the centriole for the role of the cytoplasmic determinant of genome expression. The self-reproducibility of the cytoplasm and whole cell structure is well known to be a common base for continuity of the morphofunctional organization on the cellular and subcellular levels. The centrioles reproduce both de novo and on initiation with the pre-existent centriole (Vorobjev, I. A., and Nadejdina, E. S., 1987), whereas on destruction of microtubular structures they never recover with involvement only of nuclear genes (Margelis, 1983).</w:t>
      </w:r>
    </w:p>
    <w:p w:rsidR="00000000" w:rsidDel="00000000" w:rsidP="00000000" w:rsidRDefault="00000000" w:rsidRPr="00000000" w14:paraId="0000045D">
      <w:pPr>
        <w:jc w:val="both"/>
        <w:rPr/>
      </w:pPr>
      <w:r w:rsidDel="00000000" w:rsidR="00000000" w:rsidRPr="00000000">
        <w:rPr>
          <w:rtl w:val="0"/>
        </w:rPr>
      </w:r>
    </w:p>
    <w:p w:rsidR="00000000" w:rsidDel="00000000" w:rsidP="00000000" w:rsidRDefault="00000000" w:rsidRPr="00000000" w14:paraId="0000045E">
      <w:pPr>
        <w:jc w:val="both"/>
        <w:rPr/>
      </w:pPr>
      <w:r w:rsidDel="00000000" w:rsidR="00000000" w:rsidRPr="00000000">
        <w:rPr>
          <w:rtl w:val="0"/>
        </w:rPr>
        <w:t xml:space="preserve">Centrioles were not once supposed to function as an intracellular detector of external signals (Alieva, I. B., and Vorobjev, I. A., 1995), i.e., to be involved in transmitting information.</w:t>
      </w:r>
    </w:p>
    <w:p w:rsidR="00000000" w:rsidDel="00000000" w:rsidP="00000000" w:rsidRDefault="00000000" w:rsidRPr="00000000" w14:paraId="0000045F">
      <w:pPr>
        <w:jc w:val="both"/>
        <w:rPr/>
      </w:pP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t xml:space="preserve">The absence of centrioles at the stage of preleptotenic condensation of chromosomes in mice (Hartung, 1977) seems to evidence the relation between the “null” morphogenetic status and centrioles. We think that the “null” status is identical to the preleptotenic stage of the oogonium in these organisms. Thus, the intracellular “morphogenetic clock” is as if wound at this moment and set to the initial “null” state.</w:t>
      </w:r>
    </w:p>
    <w:p w:rsidR="00000000" w:rsidDel="00000000" w:rsidP="00000000" w:rsidRDefault="00000000" w:rsidRPr="00000000" w14:paraId="00000461">
      <w:pPr>
        <w:jc w:val="both"/>
        <w:rPr/>
      </w:pPr>
      <w:r w:rsidDel="00000000" w:rsidR="00000000" w:rsidRPr="00000000">
        <w:rPr>
          <w:rtl w:val="0"/>
        </w:rPr>
      </w:r>
    </w:p>
    <w:p w:rsidR="00000000" w:rsidDel="00000000" w:rsidP="00000000" w:rsidRDefault="00000000" w:rsidRPr="00000000" w14:paraId="00000462">
      <w:pPr>
        <w:jc w:val="both"/>
        <w:rPr/>
      </w:pPr>
      <w:r w:rsidDel="00000000" w:rsidR="00000000" w:rsidRPr="00000000">
        <w:rPr>
          <w:rtl w:val="0"/>
        </w:rPr>
        <w:t xml:space="preserve">Experiments with cloning seem to be the most promising for detection of factors of cell differentiation.</w:t>
      </w:r>
    </w:p>
    <w:p w:rsidR="00000000" w:rsidDel="00000000" w:rsidP="00000000" w:rsidRDefault="00000000" w:rsidRPr="00000000" w14:paraId="00000463">
      <w:pPr>
        <w:jc w:val="both"/>
        <w:rPr/>
      </w:pPr>
      <w:r w:rsidDel="00000000" w:rsidR="00000000" w:rsidRPr="00000000">
        <w:rPr>
          <w:rtl w:val="0"/>
        </w:rPr>
      </w:r>
    </w:p>
    <w:p w:rsidR="00000000" w:rsidDel="00000000" w:rsidP="00000000" w:rsidRDefault="00000000" w:rsidRPr="00000000" w14:paraId="00000464">
      <w:pPr>
        <w:jc w:val="both"/>
        <w:rPr/>
      </w:pPr>
      <w:r w:rsidDel="00000000" w:rsidR="00000000" w:rsidRPr="00000000">
        <w:rPr>
          <w:rtl w:val="0"/>
        </w:rPr>
        <w:t xml:space="preserve">To provide the successful development of the embryo obtained by introduction of the somatic cell nucleus into the denucleated oocyte (or at least, into the zygote), the nucleus needs a complete reprogramming, and this is determined by cytoplasmic factors of the denucleated oocyte (Simonsson, S., and Gurdon, J., 2004). But a reasonable question arises: why in this case do the cytoplasmic factors of the somatic cell donor of the nucleus not prevail over the oocytic factors and the reconstructed cell not continue the development as a differentiated cell? Note that many cloning techniques include electrofusion, but not a strict transfer of the nucleus from a somatic cell (Shkumatov, 2001; Roh et al., 1997). As a result, the somatic cell cytoplasm mixes with the cytoplasm of the denucleated cell and is likely to influence the further fate of the reconstructed cell. Especially as we think the differentiation be related with the centrosome, and this structure can “be represented” by both the oocyte and somatic cell of the oocyte donor. And which of them will “dominate”? If we are right, the “predominance” of the oocyte's centrosome will promote the development of the cloned organism, whereas with the prevalence of the other centrosome the cell will continue the pathway of the nucleus donor cell. Because different animals have been successfully cloned, obviously, the first model is realized. We have not found in the literature studies on the fate of centrosomes inside the cloned cell. Here we would finish analysis of the literature data, but our attention was attracted by studies on the fate of mitochondria in cloned organisms.</w:t>
      </w:r>
    </w:p>
    <w:p w:rsidR="00000000" w:rsidDel="00000000" w:rsidP="00000000" w:rsidRDefault="00000000" w:rsidRPr="00000000" w14:paraId="00000465">
      <w:pPr>
        <w:jc w:val="both"/>
        <w:rPr/>
      </w:pPr>
      <w:r w:rsidDel="00000000" w:rsidR="00000000" w:rsidRPr="00000000">
        <w:rPr>
          <w:rtl w:val="0"/>
        </w:rPr>
      </w:r>
    </w:p>
    <w:p w:rsidR="00000000" w:rsidDel="00000000" w:rsidP="00000000" w:rsidRDefault="00000000" w:rsidRPr="00000000" w14:paraId="00000466">
      <w:pPr>
        <w:jc w:val="both"/>
        <w:rPr/>
      </w:pPr>
      <w:r w:rsidDel="00000000" w:rsidR="00000000" w:rsidRPr="00000000">
        <w:rPr>
          <w:rtl w:val="0"/>
        </w:rPr>
        <w:t xml:space="preserve">Mitochondrial DNA (mtDNA) in Dolly and nine cloned sheep was shown to nearly exclusively originate from the recipient's denucleated oocytes, with a small contribution from the corresponding somatic cells (Evans et al., 1999). In such an embryo, mtDNA originated from the donor's cells partially or completely disappeared rather rapidly even during earlier stages of the embryogenesis (Sutovsky et al., 2000). Similar results were obtained for mtDNA in other cloned animals.</w:t>
      </w:r>
    </w:p>
    <w:p w:rsidR="00000000" w:rsidDel="00000000" w:rsidP="00000000" w:rsidRDefault="00000000" w:rsidRPr="00000000" w14:paraId="00000467">
      <w:pPr>
        <w:jc w:val="both"/>
        <w:rPr/>
      </w:pPr>
      <w:r w:rsidDel="00000000" w:rsidR="00000000" w:rsidRPr="00000000">
        <w:rPr>
          <w:rtl w:val="0"/>
        </w:rPr>
      </w:r>
    </w:p>
    <w:p w:rsidR="00000000" w:rsidDel="00000000" w:rsidP="00000000" w:rsidRDefault="00000000" w:rsidRPr="00000000" w14:paraId="00000468">
      <w:pPr>
        <w:jc w:val="both"/>
        <w:rPr/>
      </w:pPr>
      <w:r w:rsidDel="00000000" w:rsidR="00000000" w:rsidRPr="00000000">
        <w:rPr>
          <w:rtl w:val="0"/>
        </w:rPr>
        <w:t xml:space="preserve">The “behavior” of centrosomes may be similar to that of mitochondria. With our hypothesis in mind, the predominance of centrosomes of the recipient's denucleated oocytes would be a good explanation why the cell obtained as a result of cloning takes the pathway of embryogenesis and fails to continue the line of the somatic cell used as donor of the nucleus!</w:t>
      </w:r>
    </w:p>
    <w:p w:rsidR="00000000" w:rsidDel="00000000" w:rsidP="00000000" w:rsidRDefault="00000000" w:rsidRPr="00000000" w14:paraId="00000469">
      <w:pPr>
        <w:jc w:val="both"/>
        <w:rPr/>
      </w:pPr>
      <w:r w:rsidDel="00000000" w:rsidR="00000000" w:rsidRPr="00000000">
        <w:rPr>
          <w:rtl w:val="0"/>
        </w:rPr>
      </w:r>
    </w:p>
    <w:p w:rsidR="00000000" w:rsidDel="00000000" w:rsidP="00000000" w:rsidRDefault="00000000" w:rsidRPr="00000000" w14:paraId="0000046A">
      <w:pPr>
        <w:jc w:val="both"/>
        <w:rPr/>
      </w:pPr>
      <w:r w:rsidDel="00000000" w:rsidR="00000000" w:rsidRPr="00000000">
        <w:rPr>
          <w:rtl w:val="0"/>
        </w:rPr>
        <w:t xml:space="preserve">It is a good time to look into the experiments of Hayflick (and some other researchers), which are insisted to confirm the relation between aging and nuclear factors (Hayflick, 1982; Wright, W. E., and Hayflick, L., 1975).</w:t>
      </w:r>
    </w:p>
    <w:p w:rsidR="00000000" w:rsidDel="00000000" w:rsidP="00000000" w:rsidRDefault="00000000" w:rsidRPr="00000000" w14:paraId="0000046B">
      <w:pPr>
        <w:jc w:val="both"/>
        <w:rPr/>
      </w:pPr>
      <w:r w:rsidDel="00000000" w:rsidR="00000000" w:rsidRPr="00000000">
        <w:rPr>
          <w:rtl w:val="0"/>
        </w:rPr>
      </w:r>
    </w:p>
    <w:p w:rsidR="00000000" w:rsidDel="00000000" w:rsidP="00000000" w:rsidRDefault="00000000" w:rsidRPr="00000000" w14:paraId="0000046C">
      <w:pPr>
        <w:jc w:val="both"/>
        <w:rPr/>
      </w:pPr>
      <w:r w:rsidDel="00000000" w:rsidR="00000000" w:rsidRPr="00000000">
        <w:rPr>
          <w:rtl w:val="0"/>
        </w:rPr>
        <w:t xml:space="preserve">These experiments on fusion of young and old cells and later on the direct transfer of nuclei from old cells into young ones and vice versa have shown that the hybrid cells obtained from the cytoplasm of post-replicative cells and nuclei of dividing ones can perform the same number of doublings as the control replicatively young cultures. And the hybrids constructed from the cytoplasm of dividing cells and nuclei of post-replicative ones were unable to divide. Thus, the aging was controlled by the nucleus and not the cytoplasm.</w:t>
      </w:r>
    </w:p>
    <w:p w:rsidR="00000000" w:rsidDel="00000000" w:rsidP="00000000" w:rsidRDefault="00000000" w:rsidRPr="00000000" w14:paraId="0000046D">
      <w:pPr>
        <w:jc w:val="both"/>
        <w:rPr/>
      </w:pPr>
      <w:r w:rsidDel="00000000" w:rsidR="00000000" w:rsidRPr="00000000">
        <w:rPr>
          <w:rtl w:val="0"/>
        </w:rPr>
      </w:r>
    </w:p>
    <w:p w:rsidR="00000000" w:rsidDel="00000000" w:rsidP="00000000" w:rsidRDefault="00000000" w:rsidRPr="00000000" w14:paraId="0000046E">
      <w:pPr>
        <w:jc w:val="both"/>
        <w:rPr/>
      </w:pPr>
      <w:r w:rsidDel="00000000" w:rsidR="00000000" w:rsidRPr="00000000">
        <w:rPr>
          <w:rtl w:val="0"/>
        </w:rPr>
        <w:t xml:space="preserve">But we believe that the results of these studies contradict the data of cloning. If the experiments of Hayflick really indicated the dominating role of the nucleus in determination of the cell fate, the transfer of somatic cell nuclei into the denucleated oocyte would produce a reconstructed cell unable of originating the whole organism but continuing the pathway of the differentiated cell of the nucleus donor. But this does not occur! Then why in the experiments of Hayflick did the nucleus determine the pathway of the cell?</w:t>
      </w:r>
    </w:p>
    <w:p w:rsidR="00000000" w:rsidDel="00000000" w:rsidP="00000000" w:rsidRDefault="00000000" w:rsidRPr="00000000" w14:paraId="0000046F">
      <w:pPr>
        <w:jc w:val="both"/>
        <w:rPr/>
      </w:pPr>
      <w:r w:rsidDel="00000000" w:rsidR="00000000" w:rsidRPr="00000000">
        <w:rPr>
          <w:rtl w:val="0"/>
        </w:rPr>
      </w:r>
    </w:p>
    <w:p w:rsidR="00000000" w:rsidDel="00000000" w:rsidP="00000000" w:rsidRDefault="00000000" w:rsidRPr="00000000" w14:paraId="00000470">
      <w:pPr>
        <w:jc w:val="both"/>
        <w:rPr/>
      </w:pPr>
      <w:r w:rsidDel="00000000" w:rsidR="00000000" w:rsidRPr="00000000">
        <w:rPr>
          <w:rtl w:val="0"/>
        </w:rPr>
        <w:t xml:space="preserve">Hayflick and other researchers removed the nuclei by treatment of the cells with cytochalasin B and centrifugation. This technique is still widely used (Burakov, 2003; Gorgidze, L. A., and Vorobjev, I. A., 1992).</w:t>
      </w:r>
    </w:p>
    <w:p w:rsidR="00000000" w:rsidDel="00000000" w:rsidP="00000000" w:rsidRDefault="00000000" w:rsidRPr="00000000" w14:paraId="00000471">
      <w:pPr>
        <w:jc w:val="both"/>
        <w:rPr/>
      </w:pPr>
      <w:r w:rsidDel="00000000" w:rsidR="00000000" w:rsidRPr="00000000">
        <w:rPr>
          <w:rtl w:val="0"/>
        </w:rPr>
      </w:r>
    </w:p>
    <w:p w:rsidR="00000000" w:rsidDel="00000000" w:rsidP="00000000" w:rsidRDefault="00000000" w:rsidRPr="00000000" w14:paraId="00000472">
      <w:pPr>
        <w:jc w:val="both"/>
        <w:rPr/>
      </w:pPr>
      <w:r w:rsidDel="00000000" w:rsidR="00000000" w:rsidRPr="00000000">
        <w:rPr>
          <w:rtl w:val="0"/>
        </w:rPr>
        <w:t xml:space="preserve">Because the centrosome is rather closely associated with the nucleus (the centrosome can be most easily removed together with the nucleus (Rodionov et al., 1999)), could not the centrosome of the nucleus donor cell occur in the hybrid cell together with the nucleus?</w:t>
      </w:r>
    </w:p>
    <w:p w:rsidR="00000000" w:rsidDel="00000000" w:rsidP="00000000" w:rsidRDefault="00000000" w:rsidRPr="00000000" w14:paraId="00000473">
      <w:pPr>
        <w:jc w:val="both"/>
        <w:rPr/>
      </w:pPr>
      <w:r w:rsidDel="00000000" w:rsidR="00000000" w:rsidRPr="00000000">
        <w:rPr>
          <w:rtl w:val="0"/>
        </w:rPr>
      </w:r>
    </w:p>
    <w:p w:rsidR="00000000" w:rsidDel="00000000" w:rsidP="00000000" w:rsidRDefault="00000000" w:rsidRPr="00000000" w14:paraId="00000474">
      <w:pPr>
        <w:jc w:val="both"/>
        <w:rPr/>
      </w:pPr>
      <w:r w:rsidDel="00000000" w:rsidR="00000000" w:rsidRPr="00000000">
        <w:rPr>
          <w:rtl w:val="0"/>
        </w:rPr>
        <w:t xml:space="preserve">When cells are treated with cytochalasin at relatively low accelerations (12,000g), only about 20% of the cytoplasts lack centrioles, and some of them contain the only centriole, and sometimes it is inactive. Thus, on such treatment the major part of the centrioles goes into cytoplasts.</w:t>
      </w:r>
    </w:p>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jc w:val="both"/>
        <w:rPr/>
      </w:pPr>
      <w:r w:rsidDel="00000000" w:rsidR="00000000" w:rsidRPr="00000000">
        <w:rPr>
          <w:rtl w:val="0"/>
        </w:rPr>
        <w:t xml:space="preserve">But Hayflick used considerably higher accelerations (25,000g). He used cytochalasin B, but at relatively high accelerations (without cytochalasin) centrioles remained in karyoplasts and did not go into cytoplasts (Egorov et al., 1982). However, cytochalasin is used just to denucleate at lower accelerations. Therefore, at high accelerations (both with and without cytochalasin), the centriole will more likely go into karyoplasts. Thus, under a certain experimental technique (as it particularly occurred in the studies of Hayflick), the centriole “cotraveled” with the nucleus, but the authors supporting the DNA-programmed mechanism of aging simply neglect the role of centrioles.</w:t>
      </w:r>
    </w:p>
    <w:p w:rsidR="00000000" w:rsidDel="00000000" w:rsidP="00000000" w:rsidRDefault="00000000" w:rsidRPr="00000000" w14:paraId="00000477">
      <w:pPr>
        <w:jc w:val="both"/>
        <w:rPr/>
      </w:pPr>
      <w:r w:rsidDel="00000000" w:rsidR="00000000" w:rsidRPr="00000000">
        <w:rPr>
          <w:rtl w:val="0"/>
        </w:rPr>
      </w:r>
    </w:p>
    <w:p w:rsidR="00000000" w:rsidDel="00000000" w:rsidP="00000000" w:rsidRDefault="00000000" w:rsidRPr="00000000" w14:paraId="00000478">
      <w:pPr>
        <w:jc w:val="both"/>
        <w:rPr/>
      </w:pPr>
      <w:r w:rsidDel="00000000" w:rsidR="00000000" w:rsidRPr="00000000">
        <w:rPr>
          <w:rtl w:val="0"/>
        </w:rPr>
        <w:t xml:space="preserve">An important role of the centrosome in intracellular signal transmission and mitosis becomes more obvious. The role of the centrosome (similarly to the Golgi apparatus) as a signaling platform is supported by identification of transduction of various signaling molecules in these organelles (from members of the family Rho/Rac/Cdc42 to AKAP450) (Rios, R. M., and Bornens, M. (2003). This also concerns proteinases and some other proteins. Thus, the protein CG-NAP is responsible for location of proteinase PKN on the centrosome, and this promotes the involvement of this complex in the regulation of interactions between the cytoskeleton components (Potekhina, E. S., and Nadejdina, E. S., 2002).</w:t>
      </w:r>
    </w:p>
    <w:p w:rsidR="00000000" w:rsidDel="00000000" w:rsidP="00000000" w:rsidRDefault="00000000" w:rsidRPr="00000000" w14:paraId="00000479">
      <w:pPr>
        <w:jc w:val="both"/>
        <w:rPr/>
      </w:pPr>
      <w:r w:rsidDel="00000000" w:rsidR="00000000" w:rsidRPr="00000000">
        <w:rPr>
          <w:rtl w:val="0"/>
        </w:rPr>
      </w:r>
    </w:p>
    <w:p w:rsidR="00000000" w:rsidDel="00000000" w:rsidP="00000000" w:rsidRDefault="00000000" w:rsidRPr="00000000" w14:paraId="0000047A">
      <w:pPr>
        <w:jc w:val="both"/>
        <w:rPr/>
      </w:pPr>
      <w:r w:rsidDel="00000000" w:rsidR="00000000" w:rsidRPr="00000000">
        <w:rPr>
          <w:rtl w:val="0"/>
        </w:rPr>
        <w:t xml:space="preserve">But at present, the problem of cell differentiation does not explain the following finding: in the majority of mammals, on fertilization of the oocyte the plasma membrane of the spermatozoon's tail fused with the oolemma. Although axial filaments and the centriole introduced by the spermatozoon are disintegrated, the structural components of the spermatozoon's tail in the oocyte's cytoplasm influence the further behavior of this region. Thus, the blastomere which received this region of the oocyte's cytoplasm is thought to enter the second division of cleavage more rapidly than the sister blastomere (Serov, 1998). This mechanism seems to underlie the resulting diversity of germ cells with initially the same amount of the genetic material. The nuclear structures are unable to directly affect this process, because the unicellular embryo genome is transcriptionally inactive (Voronina, 2002). As these changes occur in the blastomeres, which have received the spermatozoon's tail, these findings support once more the appropriate role of the centriolar structures.</w:t>
      </w:r>
    </w:p>
    <w:p w:rsidR="00000000" w:rsidDel="00000000" w:rsidP="00000000" w:rsidRDefault="00000000" w:rsidRPr="00000000" w14:paraId="0000047B">
      <w:pPr>
        <w:jc w:val="both"/>
        <w:rPr/>
      </w:pPr>
      <w:r w:rsidDel="00000000" w:rsidR="00000000" w:rsidRPr="00000000">
        <w:rPr>
          <w:rtl w:val="0"/>
        </w:rPr>
      </w:r>
    </w:p>
    <w:p w:rsidR="00000000" w:rsidDel="00000000" w:rsidP="00000000" w:rsidRDefault="00000000" w:rsidRPr="00000000" w14:paraId="0000047C">
      <w:pPr>
        <w:jc w:val="both"/>
        <w:rPr/>
      </w:pPr>
      <w:r w:rsidDel="00000000" w:rsidR="00000000" w:rsidRPr="00000000">
        <w:rPr>
          <w:rtl w:val="0"/>
        </w:rPr>
      </w:r>
    </w:p>
    <w:p w:rsidR="00000000" w:rsidDel="00000000" w:rsidP="00000000" w:rsidRDefault="00000000" w:rsidRPr="00000000" w14:paraId="0000047D">
      <w:pPr>
        <w:pStyle w:val="Heading3"/>
        <w:jc w:val="both"/>
        <w:rPr/>
      </w:pPr>
      <w:bookmarkStart w:colFirst="0" w:colLast="0" w:name="_kqbl7jpz8jk3" w:id="133"/>
      <w:bookmarkEnd w:id="133"/>
      <w:r w:rsidDel="00000000" w:rsidR="00000000" w:rsidRPr="00000000">
        <w:rPr>
          <w:rtl w:val="0"/>
        </w:rPr>
        <w:t xml:space="preserve">3.3.4 C</w:t>
      </w:r>
      <w:r w:rsidDel="00000000" w:rsidR="00000000" w:rsidRPr="00000000">
        <w:rPr>
          <w:vertAlign w:val="baseline"/>
          <w:rtl w:val="0"/>
        </w:rPr>
        <w:t xml:space="preserve">entriolar/cytoskeletal mechanisms of apoptosis</w:t>
      </w:r>
      <w:r w:rsidDel="00000000" w:rsidR="00000000" w:rsidRPr="00000000">
        <w:rPr>
          <w:rtl w:val="0"/>
        </w:rPr>
      </w:r>
    </w:p>
    <w:p w:rsidR="00000000" w:rsidDel="00000000" w:rsidP="00000000" w:rsidRDefault="00000000" w:rsidRPr="00000000" w14:paraId="0000047E">
      <w:pPr>
        <w:jc w:val="both"/>
        <w:rPr/>
      </w:pPr>
      <w:r w:rsidDel="00000000" w:rsidR="00000000" w:rsidRPr="00000000">
        <w:rPr>
          <w:rtl w:val="0"/>
        </w:rPr>
      </w:r>
    </w:p>
    <w:p w:rsidR="00000000" w:rsidDel="00000000" w:rsidP="00000000" w:rsidRDefault="00000000" w:rsidRPr="00000000" w14:paraId="0000047F">
      <w:pPr>
        <w:jc w:val="both"/>
        <w:rPr/>
      </w:pPr>
      <w:r w:rsidDel="00000000" w:rsidR="00000000" w:rsidRPr="00000000">
        <w:rPr>
          <w:rtl w:val="0"/>
        </w:rPr>
        <w:t xml:space="preserve">Many authors consider the initiation of cell aging as a program similar to apoptosis (Kaznacheev, 1999; Weinberg, 1997) (although some researchers believe it to be a special type of cell death (Korshunov et al., 1995)). Therefore, we have attempted to find similarities between the centriolar influences and apoptosis.</w:t>
      </w:r>
    </w:p>
    <w:p w:rsidR="00000000" w:rsidDel="00000000" w:rsidP="00000000" w:rsidRDefault="00000000" w:rsidRPr="00000000" w14:paraId="00000480">
      <w:pPr>
        <w:jc w:val="both"/>
        <w:rPr/>
      </w:pPr>
      <w:r w:rsidDel="00000000" w:rsidR="00000000" w:rsidRPr="00000000">
        <w:rPr>
          <w:rtl w:val="0"/>
        </w:rPr>
      </w:r>
    </w:p>
    <w:p w:rsidR="00000000" w:rsidDel="00000000" w:rsidP="00000000" w:rsidRDefault="00000000" w:rsidRPr="00000000" w14:paraId="00000481">
      <w:pPr>
        <w:jc w:val="both"/>
        <w:rPr/>
      </w:pPr>
      <w:r w:rsidDel="00000000" w:rsidR="00000000" w:rsidRPr="00000000">
        <w:rPr>
          <w:rtl w:val="0"/>
        </w:rPr>
        <w:t xml:space="preserve">During apoptosis, internal and external factors activate the corresponding genetic program and lead the cell to death (Majno, G., and Joris, I., 1995). Researchers mainly pay attention to the external factors inducing apoptosis, such as chemical and physical agents and also specific external stimuli, such as TNF, FAS, etc., triggering mechanisms of apoptosis (Ross, M. E., and Caligiuri, M. A., 1997; Sheets, E. E., and Yeh, J., 1997). Consequently, in most cases apoptosis can be prevented by isolation of the cell from inducers of apoptosis, and the cell would be able to normally divide and develop. But the death because of old age cannot be prevented by such measures because it is a manifestation of the exclusively “intrinsic” program set in the cell.</w:t>
      </w:r>
    </w:p>
    <w:p w:rsidR="00000000" w:rsidDel="00000000" w:rsidP="00000000" w:rsidRDefault="00000000" w:rsidRPr="00000000" w14:paraId="00000482">
      <w:pPr>
        <w:jc w:val="both"/>
        <w:rPr/>
      </w:pPr>
      <w:r w:rsidDel="00000000" w:rsidR="00000000" w:rsidRPr="00000000">
        <w:rPr>
          <w:rtl w:val="0"/>
        </w:rPr>
      </w:r>
    </w:p>
    <w:p w:rsidR="00000000" w:rsidDel="00000000" w:rsidP="00000000" w:rsidRDefault="00000000" w:rsidRPr="00000000" w14:paraId="00000483">
      <w:pPr>
        <w:jc w:val="both"/>
        <w:rPr/>
      </w:pPr>
      <w:r w:rsidDel="00000000" w:rsidR="00000000" w:rsidRPr="00000000">
        <w:rPr>
          <w:rtl w:val="0"/>
        </w:rPr>
        <w:t xml:space="preserve">Because factors determining cell differentiation also determine its aging, let us try to find out in apoptosis the mechanisms which could be related with centriolar influences.</w:t>
      </w:r>
    </w:p>
    <w:p w:rsidR="00000000" w:rsidDel="00000000" w:rsidP="00000000" w:rsidRDefault="00000000" w:rsidRPr="00000000" w14:paraId="00000484">
      <w:pPr>
        <w:jc w:val="both"/>
        <w:rPr/>
      </w:pPr>
      <w:r w:rsidDel="00000000" w:rsidR="00000000" w:rsidRPr="00000000">
        <w:rPr>
          <w:rtl w:val="0"/>
        </w:rPr>
      </w:r>
    </w:p>
    <w:p w:rsidR="00000000" w:rsidDel="00000000" w:rsidP="00000000" w:rsidRDefault="00000000" w:rsidRPr="00000000" w14:paraId="00000485">
      <w:pPr>
        <w:jc w:val="both"/>
        <w:rPr/>
      </w:pPr>
      <w:r w:rsidDel="00000000" w:rsidR="00000000" w:rsidRPr="00000000">
        <w:rPr>
          <w:rtl w:val="0"/>
        </w:rPr>
        <w:t xml:space="preserve">Apoptosis is thought to have the following causes: DNA damages, binding to receptors of specific killer ligands, shortage of growth factors, destruction of the cytoskeleton, separation from the extracellular matrix, hypoxia, etc. (Kopnin, 2000; Green, 1998). Note that virtually all extracellular signals capable of triggering the mechanism of apoptosis have to realize the effect via the cytoskeleton.</w:t>
      </w:r>
    </w:p>
    <w:p w:rsidR="00000000" w:rsidDel="00000000" w:rsidP="00000000" w:rsidRDefault="00000000" w:rsidRPr="00000000" w14:paraId="00000486">
      <w:pPr>
        <w:jc w:val="both"/>
        <w:rPr/>
      </w:pPr>
      <w:r w:rsidDel="00000000" w:rsidR="00000000" w:rsidRPr="00000000">
        <w:rPr>
          <w:rtl w:val="0"/>
        </w:rPr>
      </w:r>
    </w:p>
    <w:p w:rsidR="00000000" w:rsidDel="00000000" w:rsidP="00000000" w:rsidRDefault="00000000" w:rsidRPr="00000000" w14:paraId="00000487">
      <w:pPr>
        <w:jc w:val="both"/>
        <w:rPr/>
      </w:pPr>
      <w:r w:rsidDel="00000000" w:rsidR="00000000" w:rsidRPr="00000000">
        <w:rPr>
          <w:rtl w:val="0"/>
        </w:rPr>
        <w:t xml:space="preserve">Such phenomena as detachment of cells from the substrate and absence of signals from the integrin receptors as well as destruction of microtubules activate p53 (Kopnin et al., 2000) and, as a result, suppress proliferation and induce apoptosis (Wu, R. C., and Schonthal, A. H., 1997; Fukasawa et al., 1996). And p53, in addition to the regulation of cytodifferentiation, genome stability, and passing over the cell cycle, also controls the cell architecture, adhesion, and migration, i.e., the cytoskeleton-associated functions (there are also data on the involvement of p53 in the control of centrosome replication). It has been also proposed (Koumenis et al., 2001) that, under conditions of hypoxia and, possibly, other stress exposures, the stabilization and increase in the protein p53 content should result in its primary interaction with transcriptional corepressors inducing apoptosis. The process under consideration is realized via alpha- and beta-tubulins. In this publication, we were interested in data on the relation between p53 and tubulin structures (microtubules and cytoskeleton) and the possibility for inducing apoptosis of the cell. If we supplement these data with reports about cell differentiation under the influence of protein p53 (Mazurik, V. K., and Moroz, B. B., 2003), such a summarized exposure (apoptosis + differentiation) can lead to final differentiation and death. Note that aging is accompanied by loss of cells because of apoptosis (Paponov et al., 2002).</w:t>
      </w:r>
    </w:p>
    <w:p w:rsidR="00000000" w:rsidDel="00000000" w:rsidP="00000000" w:rsidRDefault="00000000" w:rsidRPr="00000000" w14:paraId="00000488">
      <w:pPr>
        <w:jc w:val="both"/>
        <w:rPr/>
      </w:pPr>
      <w:r w:rsidDel="00000000" w:rsidR="00000000" w:rsidRPr="00000000">
        <w:rPr>
          <w:rtl w:val="0"/>
        </w:rPr>
      </w:r>
    </w:p>
    <w:p w:rsidR="00000000" w:rsidDel="00000000" w:rsidP="00000000" w:rsidRDefault="00000000" w:rsidRPr="00000000" w14:paraId="00000489">
      <w:pPr>
        <w:pStyle w:val="Heading3"/>
        <w:jc w:val="both"/>
        <w:rPr/>
      </w:pPr>
      <w:bookmarkStart w:colFirst="0" w:colLast="0" w:name="_lh77sba1e13v" w:id="134"/>
      <w:bookmarkEnd w:id="134"/>
      <w:r w:rsidDel="00000000" w:rsidR="00000000" w:rsidRPr="00000000">
        <w:rPr>
          <w:rtl w:val="0"/>
        </w:rPr>
        <w:t xml:space="preserve">3.3.5 C</w:t>
      </w:r>
      <w:r w:rsidDel="00000000" w:rsidR="00000000" w:rsidRPr="00000000">
        <w:rPr>
          <w:vertAlign w:val="baseline"/>
          <w:rtl w:val="0"/>
        </w:rPr>
        <w:t xml:space="preserve">entriolar/cytoskeletal mechanisms of tumor transformation</w:t>
      </w:r>
      <w:r w:rsidDel="00000000" w:rsidR="00000000" w:rsidRPr="00000000">
        <w:rPr>
          <w:rtl w:val="0"/>
        </w:rPr>
      </w:r>
    </w:p>
    <w:p w:rsidR="00000000" w:rsidDel="00000000" w:rsidP="00000000" w:rsidRDefault="00000000" w:rsidRPr="00000000" w14:paraId="0000048A">
      <w:pPr>
        <w:jc w:val="both"/>
        <w:rPr/>
      </w:pPr>
      <w:r w:rsidDel="00000000" w:rsidR="00000000" w:rsidRPr="00000000">
        <w:rPr>
          <w:rtl w:val="0"/>
        </w:rPr>
      </w:r>
    </w:p>
    <w:p w:rsidR="00000000" w:rsidDel="00000000" w:rsidP="00000000" w:rsidRDefault="00000000" w:rsidRPr="00000000" w14:paraId="0000048B">
      <w:pPr>
        <w:jc w:val="both"/>
        <w:rPr/>
      </w:pPr>
      <w:r w:rsidDel="00000000" w:rsidR="00000000" w:rsidRPr="00000000">
        <w:rPr>
          <w:rtl w:val="0"/>
        </w:rPr>
        <w:t xml:space="preserve">The idea is now being more commonly accepted that tumor transformation of cells is, first of all, a result of epigenetic mechanisms. Immortalized and transformed cells were shown to be specified in aberrant hypermethylation of CpG-islets of DNA (Costello et al., 1998). Now numerous gene suppressors of tumor growth have been described, which are inactivated in various tumors through hypermethylation of CpG-islets located in their regulatory regions. These suppressors include the genes Rb1, p53, and many other (Hanahan, D., and Weinberg, R. A., 2000); Robertson, K. D., and Jones, P. A., 2000). Methylation is in essence an epigenetic event. Methylation of genes results in similar inactivation and similar phenotypic manifestation of the genes as the corresponding mutation (Likhtenstein, A. V., and Potapova, G. I., 2003; Jones, P. A., and Baylin, S. B., 2002). Even those scientists who believe the damage of functionally significant genes to be the initial cause of carcinogenesis admit that both genetic and epigenetic components contribute to arising of tumors, and the relative contribution of each of them to different neoplasms varies over wide limits. In many studies, the epigenetic influences are shown rather to precede malignization and not to be its consequence (Nishiyama et al., 2005; Jones,1999; Tycko, 2000; Robertson, K. D., and Wolffe, A. P., 2000; Nuovo et al., 1999). Moreover, carcinogens are known which have no mutagenic activity (Turusov, V. S., and Rakitskii, V. N., 1999). Therefore, carcinogenesis is proposed to have an epigenetic basis, and the genotoxicity of carcinogens may be their side effect. This hypothesis does not contradict thousands of reports about polymorphism of hundreds of genes in tumors. However, this polymorphism is usually manifested in mature tumors and increases with their progress, spontaneous or induced by nonmutagenic promoters, as a rule, in the absence of carcinogen; therefore, this does not elucidate the mechanism of the initiating effect of the carcinogen (Kaledin et al., 2003). This hypothesis is supported by data on the role of functional inactivation of the p53 protein with proteins of HPV oncoviruses for accumulation of genetic anomalies (Testy, 1996). Most recently, radiation-induced instability of the genome has been shown to be also based on the acquired stable change in cell functioning, which is inherited by epigenetic mechanisms, and this is associated with premature aging and tumor transformation.</w:t>
      </w:r>
    </w:p>
    <w:p w:rsidR="00000000" w:rsidDel="00000000" w:rsidP="00000000" w:rsidRDefault="00000000" w:rsidRPr="00000000" w14:paraId="0000048C">
      <w:pPr>
        <w:jc w:val="both"/>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t xml:space="preserve">As Sverdlov remarked, “inadequate ... integration of different signals leads to development ... of cancer”. We have noted above that the signal transmission into the cell is provided by the cytoskeleton and centrosomes.</w:t>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pPr>
      <w:r w:rsidDel="00000000" w:rsidR="00000000" w:rsidRPr="00000000">
        <w:rPr>
          <w:rtl w:val="0"/>
        </w:rPr>
        <w:t xml:space="preserve">It seems that tumor transformation induced by cytoplasmic factors is associated with repression/derepression of certain genes and gene networks. The expression of many genes changes after the start of cell aging and on immortalization (Cristofalo et al., 992; Meyyappan et al., 1996). But now it is unknown which changes are primary or secondary (Grivennikov et al., 2003). The importance of nongenetic changes in the pathogenesis of cancer is proved by the existence of normal “phenocopies”, i.e., reversible rearrangements similar to transformation but not accompanied by changes in the genome. Such rearrangements are based on reorganization of the cytoskeleton. But greater changes in the cytoskeleton and/or centrosome are likely to result in malignization of the cells.</w:t>
      </w:r>
    </w:p>
    <w:p w:rsidR="00000000" w:rsidDel="00000000" w:rsidP="00000000" w:rsidRDefault="00000000" w:rsidRPr="00000000" w14:paraId="00000490">
      <w:pPr>
        <w:jc w:val="both"/>
        <w:rPr/>
      </w:pPr>
      <w:r w:rsidDel="00000000" w:rsidR="00000000" w:rsidRPr="00000000">
        <w:rPr>
          <w:rtl w:val="0"/>
        </w:rPr>
      </w:r>
    </w:p>
    <w:p w:rsidR="00000000" w:rsidDel="00000000" w:rsidP="00000000" w:rsidRDefault="00000000" w:rsidRPr="00000000" w14:paraId="00000491">
      <w:pPr>
        <w:jc w:val="both"/>
        <w:rPr/>
      </w:pPr>
      <w:r w:rsidDel="00000000" w:rsidR="00000000" w:rsidRPr="00000000">
        <w:rPr>
          <w:rtl w:val="0"/>
        </w:rPr>
        <w:t xml:space="preserve">Certainly, we do not want to disprove that tumor transformation is associated with mutations in DNA. But tumor cells contain significantly more genes with changes in expression caused by epigenetic influences than genes with changes in structure, i.e., mutations (Zozulya, Yu. A., and Sen’ko, L. N., 2000).</w:t>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pPr>
      <w:r w:rsidDel="00000000" w:rsidR="00000000" w:rsidRPr="00000000">
        <w:rPr>
          <w:rtl w:val="0"/>
        </w:rPr>
        <w:t xml:space="preserve">Of course, we have mainly paid attention to the gene p53 as the principle “curator of the genome”, but naturally, changes in expression of various other tumor suppressors under the influence of cytoplasmic factors also contribute to the induction of apoptosis.</w:t>
      </w:r>
    </w:p>
    <w:p w:rsidR="00000000" w:rsidDel="00000000" w:rsidP="00000000" w:rsidRDefault="00000000" w:rsidRPr="00000000" w14:paraId="00000494">
      <w:pPr>
        <w:jc w:val="both"/>
        <w:rPr/>
      </w:pPr>
      <w:r w:rsidDel="00000000" w:rsidR="00000000" w:rsidRPr="00000000">
        <w:rPr>
          <w:rtl w:val="0"/>
        </w:rPr>
      </w:r>
    </w:p>
    <w:p w:rsidR="00000000" w:rsidDel="00000000" w:rsidP="00000000" w:rsidRDefault="00000000" w:rsidRPr="00000000" w14:paraId="00000495">
      <w:pPr>
        <w:jc w:val="both"/>
        <w:rPr/>
      </w:pPr>
      <w:r w:rsidDel="00000000" w:rsidR="00000000" w:rsidRPr="00000000">
        <w:rPr>
          <w:rtl w:val="0"/>
        </w:rPr>
        <w:t xml:space="preserve">According to the literature, p53 is one of leading factors determining aging. In particular, an irreversible termination of old cell proliferation is accompanied by p53-dependent transcriptional activation of the p53 target genes (Atadja et al., 1995). Contents of p33/ING1 protein and the corresponding mRNA are considerably increased in aging human fibroblasts, and this suggests the involvement of gene ING1 in cell aging (Garkavtsev, I., and Riabowol, K., 1997). Functions of products of genes ING1 and p53 are similar (Gottlieb, T. M., and Oren, M., 1996); therefore, they are suggested to belong to the same signaling pathway. The involvement of p53 in premature aging is shown even directly in Werner's syndrome and ataxia-telangiectasia (Zainullin et al., 2000). These findings are interesting because of reports on the location of p53 protein in the centrosome (Brown et al., 1994).</w:t>
      </w:r>
    </w:p>
    <w:p w:rsidR="00000000" w:rsidDel="00000000" w:rsidP="00000000" w:rsidRDefault="00000000" w:rsidRPr="00000000" w14:paraId="00000496">
      <w:pPr>
        <w:jc w:val="both"/>
        <w:rPr/>
      </w:pPr>
      <w:r w:rsidDel="00000000" w:rsidR="00000000" w:rsidRPr="00000000">
        <w:rPr>
          <w:rtl w:val="0"/>
        </w:rPr>
      </w:r>
    </w:p>
    <w:p w:rsidR="00000000" w:rsidDel="00000000" w:rsidP="00000000" w:rsidRDefault="00000000" w:rsidRPr="00000000" w14:paraId="00000497">
      <w:pPr>
        <w:jc w:val="both"/>
        <w:rPr/>
      </w:pPr>
      <w:r w:rsidDel="00000000" w:rsidR="00000000" w:rsidRPr="00000000">
        <w:rPr>
          <w:rtl w:val="0"/>
        </w:rPr>
        <w:t xml:space="preserve">In addition to tumor suppressors, the cell seems also to have other mechanisms of centriolar influences on apoptosis. We speak about protooncogenes. Their expression is known to be the main mechanism of tumor transformation of the cell, and they are also involved in initiation of apoptosis.</w:t>
      </w:r>
    </w:p>
    <w:p w:rsidR="00000000" w:rsidDel="00000000" w:rsidP="00000000" w:rsidRDefault="00000000" w:rsidRPr="00000000" w14:paraId="00000498">
      <w:pPr>
        <w:jc w:val="both"/>
        <w:rPr/>
      </w:pPr>
      <w:r w:rsidDel="00000000" w:rsidR="00000000" w:rsidRPr="00000000">
        <w:rPr>
          <w:rtl w:val="0"/>
        </w:rPr>
      </w:r>
    </w:p>
    <w:p w:rsidR="00000000" w:rsidDel="00000000" w:rsidP="00000000" w:rsidRDefault="00000000" w:rsidRPr="00000000" w14:paraId="00000499">
      <w:pPr>
        <w:jc w:val="both"/>
        <w:rPr/>
      </w:pPr>
      <w:r w:rsidDel="00000000" w:rsidR="00000000" w:rsidRPr="00000000">
        <w:rPr>
          <w:rtl w:val="0"/>
        </w:rPr>
        <w:t xml:space="preserve">The leading Ras-oncogenes are associated with organization of the cytoskeleton, cytokinesis, and morphogenesis of the cell (Campbel et al., 1998; Zhang et al., 1998) , and hyperexpression of Ras along with normal expression of anti-oncogenes can result in apoptosis (Agapova et al., 1999; Serrano et al., 1997). A factor is released from the ends of microtubules that activates Rac (Vasiliev, 2001) and is also involved in realization of Ras effects. Injection of an oncogene (upon the normal functioning of tumor suppressors) leads to syndrome of early senescence of the cell, and it is suggested that programmed cell death because of aging could be a result of expression of Ras and some other oncogenes regulated by the centrosome. This mechanism of cell senescence seems to supplement the pathways associated with functioning of tumor suppressors.</w:t>
      </w:r>
    </w:p>
    <w:p w:rsidR="00000000" w:rsidDel="00000000" w:rsidP="00000000" w:rsidRDefault="00000000" w:rsidRPr="00000000" w14:paraId="0000049A">
      <w:pPr>
        <w:jc w:val="both"/>
        <w:rPr/>
      </w:pPr>
      <w:r w:rsidDel="00000000" w:rsidR="00000000" w:rsidRPr="00000000">
        <w:rPr>
          <w:rtl w:val="0"/>
        </w:rPr>
      </w:r>
    </w:p>
    <w:p w:rsidR="00000000" w:rsidDel="00000000" w:rsidP="00000000" w:rsidRDefault="00000000" w:rsidRPr="00000000" w14:paraId="0000049B">
      <w:pPr>
        <w:jc w:val="both"/>
        <w:rPr/>
      </w:pPr>
      <w:r w:rsidDel="00000000" w:rsidR="00000000" w:rsidRPr="00000000">
        <w:rPr>
          <w:rtl w:val="0"/>
        </w:rPr>
        <w:t xml:space="preserve">Even in 1971, Harris reported on the certain role of centrioles in the inheritance of tumor properties of cells. Disorders in the cycle of centrosome doubling lead to instability of mammalian cells (Mailand et al., 2002). Similar phenomena, such as disorders in the division of centrosomes and aneuploidy, are observed in cultured cells under the influence of Aurora-A kinases also located in the centrosomes. Rearrangements of chromosomes and aneuploidy are found in the majority of tumors.</w:t>
      </w:r>
    </w:p>
    <w:p w:rsidR="00000000" w:rsidDel="00000000" w:rsidP="00000000" w:rsidRDefault="00000000" w:rsidRPr="00000000" w14:paraId="0000049C">
      <w:pPr>
        <w:jc w:val="both"/>
        <w:rPr/>
      </w:pPr>
      <w:r w:rsidDel="00000000" w:rsidR="00000000" w:rsidRPr="00000000">
        <w:rPr>
          <w:rtl w:val="0"/>
        </w:rPr>
      </w:r>
    </w:p>
    <w:p w:rsidR="00000000" w:rsidDel="00000000" w:rsidP="00000000" w:rsidRDefault="00000000" w:rsidRPr="00000000" w14:paraId="0000049D">
      <w:pPr>
        <w:jc w:val="both"/>
        <w:rPr/>
      </w:pPr>
      <w:r w:rsidDel="00000000" w:rsidR="00000000" w:rsidRPr="00000000">
        <w:rPr>
          <w:rtl w:val="0"/>
        </w:rPr>
        <w:t xml:space="preserve">It is unclear whether the amplification of centrosomes is sufficient for inducing transformation (Nigg, 2002; Brinkley, 2001), but anomalies of centrosomes and aneuploidy are detected in pre-invasion state carcinomas and, thus, can be early events in cell transformation (Goepfert, et al., 2002; Pihan et al., 2003; Sluder, G., and Nordberg, J. J., 2004). The degree of centrosomal amplification seems to increase with progress of the tumor (D’Assoro et al., 2002; Lingle et al., 2002; Pihan et al., 2001; Skyldberg et al., 2001). The protein CAS associated with microtubules in normal tissues is shown to be expressed in tumor cells (Kogan et al., 2004).</w:t>
      </w:r>
    </w:p>
    <w:p w:rsidR="00000000" w:rsidDel="00000000" w:rsidP="00000000" w:rsidRDefault="00000000" w:rsidRPr="00000000" w14:paraId="0000049E">
      <w:pPr>
        <w:jc w:val="both"/>
        <w:rPr/>
      </w:pPr>
      <w:r w:rsidDel="00000000" w:rsidR="00000000" w:rsidRPr="00000000">
        <w:rPr>
          <w:rtl w:val="0"/>
        </w:rPr>
      </w:r>
    </w:p>
    <w:p w:rsidR="00000000" w:rsidDel="00000000" w:rsidP="00000000" w:rsidRDefault="00000000" w:rsidRPr="00000000" w14:paraId="0000049F">
      <w:pPr>
        <w:jc w:val="both"/>
        <w:rPr/>
      </w:pPr>
      <w:r w:rsidDel="00000000" w:rsidR="00000000" w:rsidRPr="00000000">
        <w:rPr>
          <w:rtl w:val="0"/>
        </w:rPr>
        <w:t xml:space="preserve">All these findings indicate an extremely important role of centrosomes in cell malignization.</w:t>
      </w:r>
    </w:p>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pStyle w:val="Heading3"/>
        <w:jc w:val="both"/>
        <w:rPr/>
      </w:pPr>
      <w:bookmarkStart w:colFirst="0" w:colLast="0" w:name="_tbdv4xh8eogq" w:id="135"/>
      <w:bookmarkEnd w:id="135"/>
      <w:r w:rsidDel="00000000" w:rsidR="00000000" w:rsidRPr="00000000">
        <w:rPr>
          <w:rtl w:val="0"/>
        </w:rPr>
        <w:t xml:space="preserve">3.3.6 C</w:t>
      </w:r>
      <w:r w:rsidDel="00000000" w:rsidR="00000000" w:rsidRPr="00000000">
        <w:rPr>
          <w:vertAlign w:val="baseline"/>
          <w:rtl w:val="0"/>
        </w:rPr>
        <w:t xml:space="preserve">entriolar/cytoskeletal mechanisms of storage and reproduction of information</w:t>
      </w:r>
      <w:r w:rsidDel="00000000" w:rsidR="00000000" w:rsidRPr="00000000">
        <w:rPr>
          <w:rtl w:val="0"/>
        </w:rPr>
      </w:r>
    </w:p>
    <w:p w:rsidR="00000000" w:rsidDel="00000000" w:rsidP="00000000" w:rsidRDefault="00000000" w:rsidRPr="00000000" w14:paraId="000004A2">
      <w:pPr>
        <w:jc w:val="both"/>
        <w:rPr/>
      </w:pPr>
      <w:r w:rsidDel="00000000" w:rsidR="00000000" w:rsidRPr="00000000">
        <w:rPr>
          <w:rtl w:val="0"/>
        </w:rPr>
      </w:r>
    </w:p>
    <w:p w:rsidR="00000000" w:rsidDel="00000000" w:rsidP="00000000" w:rsidRDefault="00000000" w:rsidRPr="00000000" w14:paraId="000004A3">
      <w:pPr>
        <w:jc w:val="both"/>
        <w:rPr/>
      </w:pPr>
      <w:r w:rsidDel="00000000" w:rsidR="00000000" w:rsidRPr="00000000">
        <w:rPr>
          <w:rtl w:val="0"/>
        </w:rPr>
        <w:t xml:space="preserve">The centrosome has to possess a mechanism providing for the memorizing, storage, and reproduction of information, because the determinativeness of cell aging suggests the presence of a mechanism permitting the cell to “count” the number of DNA doublings.</w:t>
      </w:r>
    </w:p>
    <w:p w:rsidR="00000000" w:rsidDel="00000000" w:rsidP="00000000" w:rsidRDefault="00000000" w:rsidRPr="00000000" w14:paraId="000004A4">
      <w:pPr>
        <w:jc w:val="both"/>
        <w:rPr/>
      </w:pPr>
      <w:r w:rsidDel="00000000" w:rsidR="00000000" w:rsidRPr="00000000">
        <w:rPr>
          <w:rtl w:val="0"/>
        </w:rPr>
      </w:r>
    </w:p>
    <w:p w:rsidR="00000000" w:rsidDel="00000000" w:rsidP="00000000" w:rsidRDefault="00000000" w:rsidRPr="00000000" w14:paraId="000004A5">
      <w:pPr>
        <w:jc w:val="both"/>
        <w:rPr/>
      </w:pPr>
      <w:r w:rsidDel="00000000" w:rsidR="00000000" w:rsidRPr="00000000">
        <w:rPr>
          <w:rtl w:val="0"/>
        </w:rPr>
        <w:t xml:space="preserve">We think that two mechanisms, the cytoskeleton proper and RNA-dependent, can exist, which do not exclude one another.</w:t>
      </w:r>
    </w:p>
    <w:p w:rsidR="00000000" w:rsidDel="00000000" w:rsidP="00000000" w:rsidRDefault="00000000" w:rsidRPr="00000000" w14:paraId="000004A6">
      <w:pPr>
        <w:jc w:val="both"/>
        <w:rPr/>
      </w:pPr>
      <w:r w:rsidDel="00000000" w:rsidR="00000000" w:rsidRPr="00000000">
        <w:rPr>
          <w:rtl w:val="0"/>
        </w:rPr>
      </w:r>
    </w:p>
    <w:p w:rsidR="00000000" w:rsidDel="00000000" w:rsidP="00000000" w:rsidRDefault="00000000" w:rsidRPr="00000000" w14:paraId="000004A7">
      <w:pPr>
        <w:jc w:val="both"/>
        <w:rPr/>
      </w:pPr>
      <w:r w:rsidDel="00000000" w:rsidR="00000000" w:rsidRPr="00000000">
        <w:rPr>
          <w:rtl w:val="0"/>
        </w:rPr>
        <w:t xml:space="preserve">The cytoskeleton proper mechanism. When the storage and reproduction of information are considered, the DNA molecule seems to be the best candidate for the role. As to centrioles, no DNA was detected in them. However, a kind of template reproduction of the conformation occurs on formation of the cytoskeleton during the growth of actin and tubulin filaments and also on reproduction of the nuclear membrane. The same mechanisms underlie epigenetic inheritance (Inge-Vechtomov, 2000).</w:t>
      </w:r>
    </w:p>
    <w:p w:rsidR="00000000" w:rsidDel="00000000" w:rsidP="00000000" w:rsidRDefault="00000000" w:rsidRPr="00000000" w14:paraId="000004A8">
      <w:pPr>
        <w:jc w:val="both"/>
        <w:rPr/>
      </w:pPr>
      <w:r w:rsidDel="00000000" w:rsidR="00000000" w:rsidRPr="00000000">
        <w:rPr>
          <w:rtl w:val="0"/>
        </w:rPr>
      </w:r>
    </w:p>
    <w:p w:rsidR="00000000" w:rsidDel="00000000" w:rsidP="00000000" w:rsidRDefault="00000000" w:rsidRPr="00000000" w14:paraId="000004A9">
      <w:pPr>
        <w:jc w:val="both"/>
        <w:rPr/>
      </w:pPr>
      <w:r w:rsidDel="00000000" w:rsidR="00000000" w:rsidRPr="00000000">
        <w:rPr>
          <w:rtl w:val="0"/>
        </w:rPr>
        <w:t xml:space="preserve">On the macromolecular level, the transmission of information without the involvement of DNA is most clearly associated with the prion phenomenon (Zuev, 1999; Bradley, 1997). It seems the most interesting that mutations by the SUP35 gene encoding the termination factor (i.e., virtually the yeast prion) make the cells supersensitive to benomil, an agent specifically destroying microtubules of the cytoskeleton which produce the division spindle (Tikchomirova, V. L., and Inge-Vechtomov, S. G., 1996; Basu, et al., 1998). Inactivation of the SUP35 homolog in Drosophila melanogaster results in a similar effect during meiosis. Therefore, prions were suggested to be a kind of byproduct of the conformational copying the cytoskeleton elements in the cell.</w:t>
      </w:r>
    </w:p>
    <w:p w:rsidR="00000000" w:rsidDel="00000000" w:rsidP="00000000" w:rsidRDefault="00000000" w:rsidRPr="00000000" w14:paraId="000004AA">
      <w:pPr>
        <w:jc w:val="both"/>
        <w:rPr/>
      </w:pPr>
      <w:r w:rsidDel="00000000" w:rsidR="00000000" w:rsidRPr="00000000">
        <w:rPr>
          <w:rtl w:val="0"/>
        </w:rPr>
      </w:r>
    </w:p>
    <w:p w:rsidR="00000000" w:rsidDel="00000000" w:rsidP="00000000" w:rsidRDefault="00000000" w:rsidRPr="00000000" w14:paraId="000004AB">
      <w:pPr>
        <w:jc w:val="both"/>
        <w:rPr/>
      </w:pPr>
      <w:r w:rsidDel="00000000" w:rsidR="00000000" w:rsidRPr="00000000">
        <w:rPr>
          <w:rtl w:val="0"/>
        </w:rPr>
        <w:t xml:space="preserve">Note a very interesting detail: the brain tissue of patients with Alzheimer's disease, senile dementia, and even of apparently healthy subjects display the same alterations as the brain tissue of humans who died from prion-caused diseases (Zuev, 2001), and this confirms similarity of normal aging of the central nervous system and prion-caused diseases. Therefore, prions were supposed to be the main inducer of aging in higher animals (Bogdanov, Ya. V., and Bogdanov, V. P., 2000). We have mentioned prions for two reasons.</w:t>
      </w:r>
    </w:p>
    <w:p w:rsidR="00000000" w:rsidDel="00000000" w:rsidP="00000000" w:rsidRDefault="00000000" w:rsidRPr="00000000" w14:paraId="000004AC">
      <w:pPr>
        <w:jc w:val="both"/>
        <w:rPr/>
      </w:pPr>
      <w:r w:rsidDel="00000000" w:rsidR="00000000" w:rsidRPr="00000000">
        <w:rPr>
          <w:rtl w:val="0"/>
        </w:rPr>
      </w:r>
    </w:p>
    <w:p w:rsidR="00000000" w:rsidDel="00000000" w:rsidP="00000000" w:rsidRDefault="00000000" w:rsidRPr="00000000" w14:paraId="000004AD">
      <w:pPr>
        <w:jc w:val="both"/>
        <w:rPr/>
      </w:pPr>
      <w:r w:rsidDel="00000000" w:rsidR="00000000" w:rsidRPr="00000000">
        <w:rPr>
          <w:rtl w:val="0"/>
        </w:rPr>
        <w:t xml:space="preserve">First, because prions are byproducts at the conformational copying of the cytoskeleton elements, it seems that the aging of even nonproliferating brain cells cannot occur without the influence of the cytoskeleton structures.</w:t>
      </w:r>
    </w:p>
    <w:p w:rsidR="00000000" w:rsidDel="00000000" w:rsidP="00000000" w:rsidRDefault="00000000" w:rsidRPr="00000000" w14:paraId="000004AE">
      <w:pPr>
        <w:jc w:val="both"/>
        <w:rPr/>
      </w:pPr>
      <w:r w:rsidDel="00000000" w:rsidR="00000000" w:rsidRPr="00000000">
        <w:rPr>
          <w:rtl w:val="0"/>
        </w:rPr>
      </w:r>
    </w:p>
    <w:p w:rsidR="00000000" w:rsidDel="00000000" w:rsidP="00000000" w:rsidRDefault="00000000" w:rsidRPr="00000000" w14:paraId="000004AF">
      <w:pPr>
        <w:jc w:val="both"/>
        <w:rPr/>
      </w:pPr>
      <w:r w:rsidDel="00000000" w:rsidR="00000000" w:rsidRPr="00000000">
        <w:rPr>
          <w:rtl w:val="0"/>
        </w:rPr>
        <w:t xml:space="preserve">Second, PrPc, which is a normal cellular form of the prionic protein, seems to regulate circadian rhythms in the cell and in the total organism (Makarov et al., 1999). But our hypothesis is virtually based on assuming the central role of the centrioles/cytoskeleton in the regulation of all cell cycles without exception (consequently, also including Hayflick's limit).</w:t>
      </w:r>
    </w:p>
    <w:p w:rsidR="00000000" w:rsidDel="00000000" w:rsidP="00000000" w:rsidRDefault="00000000" w:rsidRPr="00000000" w14:paraId="000004B0">
      <w:pPr>
        <w:jc w:val="both"/>
        <w:rPr/>
      </w:pPr>
      <w:r w:rsidDel="00000000" w:rsidR="00000000" w:rsidRPr="00000000">
        <w:rPr>
          <w:rtl w:val="0"/>
        </w:rPr>
      </w:r>
    </w:p>
    <w:p w:rsidR="00000000" w:rsidDel="00000000" w:rsidP="00000000" w:rsidRDefault="00000000" w:rsidRPr="00000000" w14:paraId="000004B1">
      <w:pPr>
        <w:jc w:val="both"/>
        <w:rPr/>
      </w:pPr>
      <w:r w:rsidDel="00000000" w:rsidR="00000000" w:rsidRPr="00000000">
        <w:rPr>
          <w:rtl w:val="0"/>
        </w:rPr>
        <w:t xml:space="preserve">These findings are unlikely to be accidental, and they indirectly support the reasonability of our approach.</w:t>
      </w:r>
    </w:p>
    <w:p w:rsidR="00000000" w:rsidDel="00000000" w:rsidP="00000000" w:rsidRDefault="00000000" w:rsidRPr="00000000" w14:paraId="000004B2">
      <w:pPr>
        <w:jc w:val="both"/>
        <w:rPr/>
      </w:pPr>
      <w:r w:rsidDel="00000000" w:rsidR="00000000" w:rsidRPr="00000000">
        <w:rPr>
          <w:rtl w:val="0"/>
        </w:rPr>
      </w:r>
    </w:p>
    <w:p w:rsidR="00000000" w:rsidDel="00000000" w:rsidP="00000000" w:rsidRDefault="00000000" w:rsidRPr="00000000" w14:paraId="000004B3">
      <w:pPr>
        <w:jc w:val="both"/>
        <w:rPr/>
      </w:pPr>
      <w:r w:rsidDel="00000000" w:rsidR="00000000" w:rsidRPr="00000000">
        <w:rPr>
          <w:rtl w:val="0"/>
        </w:rPr>
        <w:t xml:space="preserve">The RNA-dependent mechanism. Two variants of the RNA-dependent mechanism are likely to exist which function concurrently (similar to the cytoskeleton proper mechanism and the RNA-dependent ones).</w:t>
      </w:r>
    </w:p>
    <w:p w:rsidR="00000000" w:rsidDel="00000000" w:rsidP="00000000" w:rsidRDefault="00000000" w:rsidRPr="00000000" w14:paraId="000004B4">
      <w:pPr>
        <w:jc w:val="both"/>
        <w:rPr/>
      </w:pPr>
      <w:r w:rsidDel="00000000" w:rsidR="00000000" w:rsidRPr="00000000">
        <w:rPr>
          <w:rtl w:val="0"/>
        </w:rPr>
      </w:r>
    </w:p>
    <w:p w:rsidR="00000000" w:rsidDel="00000000" w:rsidP="00000000" w:rsidRDefault="00000000" w:rsidRPr="00000000" w14:paraId="000004B5">
      <w:pPr>
        <w:jc w:val="both"/>
        <w:rPr/>
      </w:pPr>
      <w:r w:rsidDel="00000000" w:rsidR="00000000" w:rsidRPr="00000000">
        <w:rPr>
          <w:rtl w:val="0"/>
        </w:rPr>
        <w:t xml:space="preserve">Cytoskeleton/centrosome-mRNA. The local limitation of protein synthesis through mRNA location is known to be crucial for creation of the effective asymmetric distribution of cytoplasmic factors, and it is detected in various eukaryotic cells (Kloc et al., 2001; Palacios, I. M., and St. Johnston, D., 2001). This process is important for establishing and retaining the polarity in both somatic and germinative cells and for asymmetric segregation of determinants during development (De Heredia, M. L., and Jansen, R. P., 2004).</w:t>
      </w:r>
    </w:p>
    <w:p w:rsidR="00000000" w:rsidDel="00000000" w:rsidP="00000000" w:rsidRDefault="00000000" w:rsidRPr="00000000" w14:paraId="000004B6">
      <w:pPr>
        <w:jc w:val="both"/>
        <w:rPr/>
      </w:pPr>
      <w:r w:rsidDel="00000000" w:rsidR="00000000" w:rsidRPr="00000000">
        <w:rPr>
          <w:rtl w:val="0"/>
        </w:rPr>
      </w:r>
    </w:p>
    <w:p w:rsidR="00000000" w:rsidDel="00000000" w:rsidP="00000000" w:rsidRDefault="00000000" w:rsidRPr="00000000" w14:paraId="000004B7">
      <w:pPr>
        <w:jc w:val="both"/>
        <w:rPr/>
      </w:pPr>
      <w:r w:rsidDel="00000000" w:rsidR="00000000" w:rsidRPr="00000000">
        <w:rPr>
          <w:rtl w:val="0"/>
        </w:rPr>
        <w:t xml:space="preserve">A significant fraction of mRNA in animal cells is associated with the cytoskeleton (Jansen, 1999; Ruzanov et al., 1999). Although the functional meaning of this association remains unclear (Shanina et al., 2001), all falls into place in the framework of our approach. Really, just the centrosome regulates development via the cytoskeleton, and this is proved by starting of mRNA translation only after termination of mRNA transfer inside the cell and location (“anchorage”) in a definite region of the cytoplasm (Lewine, 1987; Antic, D., and Keene, J. D., 1998). Indeed, mRNAs are mainly transported along microtubules and partially actin filaments (Brendza et al., 2000; Long et al., 2000) and “anchored” to actin filaments, i.e., to the cytoskeleton structures. Microtubules are key participants in the location of mRNAs in some structures, including oocytes and embryos of Xenopus and Drosophila (Tekotte, H., and Davis, I., 2002). In total, the active transport of mRNAs along the cytoskeleton filaments is the main mechanism of their location in the majority of cells (Jansen, 2001). The American geneticist Lewine suggests the binding with the cytoskeleton be a functional property of mRNA. Location of mRNAs not only activates the translation and prevents degradation of mRNAs (Bashirullah et al., 1999; Lipshitz, H. D., and Smibert, C. A., 2000), but leads to synthesis of a definite protein in the proper place that is extremely necessary during oogenesis and embryogenesis to create varied biochemical status in daughter cells. Therefore, the role of the translational regulation is often considered decisive during embryogenesis. Note that mRNA, which is nonhomogenously distributed in the cytoplasm, has long been believed to be the most popular candidate for the role of morphogenetic determinant of development.</w:t>
      </w:r>
    </w:p>
    <w:p w:rsidR="00000000" w:rsidDel="00000000" w:rsidP="00000000" w:rsidRDefault="00000000" w:rsidRPr="00000000" w14:paraId="000004B8">
      <w:pPr>
        <w:jc w:val="both"/>
        <w:rPr/>
      </w:pPr>
      <w:r w:rsidDel="00000000" w:rsidR="00000000" w:rsidRPr="00000000">
        <w:rPr>
          <w:rtl w:val="0"/>
        </w:rPr>
      </w:r>
    </w:p>
    <w:p w:rsidR="00000000" w:rsidDel="00000000" w:rsidP="00000000" w:rsidRDefault="00000000" w:rsidRPr="00000000" w14:paraId="000004B9">
      <w:pPr>
        <w:jc w:val="both"/>
        <w:rPr/>
      </w:pPr>
      <w:r w:rsidDel="00000000" w:rsidR="00000000" w:rsidRPr="00000000">
        <w:rPr>
          <w:rtl w:val="0"/>
        </w:rPr>
        <w:t xml:space="preserve">However, a direct involvement of the centrosome in location of RNA is also shown. For the first time, concentration of cyclin B1 mRNA was found on the spindle and centrosomes in the dividing oocytes of Xenopus (Groisman et al., 2000). The RNA sorting with involvement of centrosomes was also described in embryos of the mollusk Ilyanassa obsoleta (Lambert, J. D., and Nagy, L. M., 2002). According to the authors, the inherent differences between the centrosomes are used by the located mRNAs and ensure the asymmetric segregation, and the absence of the centrosomal association affects the subsequent steps of location. This seems to be the most distinct assumption of the central role of inner centrosomal structures in the location of mRNAs and the subsequent development of the embryo.</w:t>
      </w:r>
    </w:p>
    <w:p w:rsidR="00000000" w:rsidDel="00000000" w:rsidP="00000000" w:rsidRDefault="00000000" w:rsidRPr="00000000" w14:paraId="000004BA">
      <w:pPr>
        <w:jc w:val="both"/>
        <w:rPr/>
      </w:pPr>
      <w:r w:rsidDel="00000000" w:rsidR="00000000" w:rsidRPr="00000000">
        <w:rPr>
          <w:rtl w:val="0"/>
        </w:rPr>
      </w:r>
    </w:p>
    <w:p w:rsidR="00000000" w:rsidDel="00000000" w:rsidP="00000000" w:rsidRDefault="00000000" w:rsidRPr="00000000" w14:paraId="000004BB">
      <w:pPr>
        <w:jc w:val="both"/>
        <w:rPr/>
      </w:pPr>
      <w:r w:rsidDel="00000000" w:rsidR="00000000" w:rsidRPr="00000000">
        <w:rPr>
          <w:rtl w:val="0"/>
        </w:rPr>
        <w:t xml:space="preserve">Centrosome-small RNAs (siRNAs). The inner cavity of somatic cell centrioles seems to contain molecules that are capable of determining the morphogenetic status of the cells (it should be noted that the inner region of the centriolar cylinder is poorly available for study). Every mitotic division is associated with release of a certain number of such molecules into the cytoplasm, and their number in centrioles of the daughter cells is somewhat lower than in the mother cell centrioles. The number of molecules in the centrioles decreases with every mitotic division. The last molecule indicates the “final” morphogenetic status of the cell. Thus, the number of such molecules has to correspond to the number of putative mitotic divisions, starting from the cell with the “null” morphogenetic status and finishing by the descendant cell with the “final” morphogenetic status. These molecules are transcribed from the nuclear DNA after each mitosis (but a strictly definite number lower), and then their release in turn during mitosis determines the expression of the nuclear DNA genes (as if the nuclear DNA “lays” in the centrioles information about the sequence of switching on the DNA loci in the differentiated descendant cells). Such a “funny loading” mechanism is likely to be associated with the influence of the released molecules on expression of the corresponding genes. The released RNA molecules not only induce a successive decrease in expression of the genes related with the mechanism of their own “loading” but, possibly, also of other genes directly associated with provision of vital activity of the cell. Thus, we predict that genes should exist whose expression has to steadily decrease from mitosis to mitosis until Hayflick's limit is reached. In the absence of centrioles or structures transmitting the centriolar influences, in particular, the cytoskeleton, a dramatic transformation of these structures and, possibly, of the inner architectonics of centrioles (even on the background of cell division) means a derangement of the RNA-dependent mechanism of suppression of the gene expression (either because of impossibility of RNA to be located in the centrosome or leave the centrosome and reach the appropriate cellular structures), and this, in turn, can prevent replicative aging.</w:t>
      </w:r>
    </w:p>
    <w:p w:rsidR="00000000" w:rsidDel="00000000" w:rsidP="00000000" w:rsidRDefault="00000000" w:rsidRPr="00000000" w14:paraId="000004BC">
      <w:pPr>
        <w:jc w:val="both"/>
        <w:rPr/>
      </w:pPr>
      <w:r w:rsidDel="00000000" w:rsidR="00000000" w:rsidRPr="00000000">
        <w:rPr>
          <w:rtl w:val="0"/>
        </w:rPr>
      </w:r>
    </w:p>
    <w:p w:rsidR="00000000" w:rsidDel="00000000" w:rsidP="00000000" w:rsidRDefault="00000000" w:rsidRPr="00000000" w14:paraId="000004BD">
      <w:pPr>
        <w:jc w:val="both"/>
        <w:rPr/>
      </w:pPr>
      <w:r w:rsidDel="00000000" w:rsidR="00000000" w:rsidRPr="00000000">
        <w:rPr>
          <w:rtl w:val="0"/>
        </w:rPr>
        <w:t xml:space="preserve">We do not deny that the existence of such a mechanism is hypothetical. Nevertheless, some mechanisms must be responsible for realization of the centrosome functions. We consider the low-molecular-weight RNA as the best candidate for the role of carrier of information on the morphogenetic status. This is indirectly confirmed by the latest discoveries of new classes of small RNAs: interfering RNAs (siRNAs) and microRNAs (miRNAs) with regulatory activities. The RNA interference is responsible for a strictly selective inactivation of gene expression on the posttranslational level in the cells of various organisms (Fire et al., 1998; McManus, M. T., and Sharp, P. A., 2002; Montgomery, M. K., Xu, S., and Fire, A., 1998) including mammals (Wianny, F., and Zernicka-Goetz, M., 2000). Gene expression is suppressed as a result of mRNA degradation. Here we have to remind of the above-presented data that mRNA “anchoring” on the cytoskeleton (that accelerates or slows down the mRNA degradation) is the crucial mechanism of the translational regulation of embryogenesis!</w:t>
      </w:r>
    </w:p>
    <w:p w:rsidR="00000000" w:rsidDel="00000000" w:rsidP="00000000" w:rsidRDefault="00000000" w:rsidRPr="00000000" w14:paraId="000004BE">
      <w:pPr>
        <w:jc w:val="both"/>
        <w:rPr/>
      </w:pPr>
      <w:r w:rsidDel="00000000" w:rsidR="00000000" w:rsidRPr="00000000">
        <w:rPr>
          <w:rtl w:val="0"/>
        </w:rPr>
      </w:r>
    </w:p>
    <w:p w:rsidR="00000000" w:rsidDel="00000000" w:rsidP="00000000" w:rsidRDefault="00000000" w:rsidRPr="00000000" w14:paraId="000004BF">
      <w:pPr>
        <w:jc w:val="both"/>
        <w:rPr/>
      </w:pPr>
      <w:r w:rsidDel="00000000" w:rsidR="00000000" w:rsidRPr="00000000">
        <w:rPr>
          <w:rtl w:val="0"/>
        </w:rPr>
        <w:t xml:space="preserve">MicroRNAs have a widespread function of regulation of gene activity during development and cell differentiation in higher animals (Aravin et al., 2002). In particular, mechanisms are described of involvement of RNA interference genes in the regulation of time-associated expression of the genes required for development of Caenorhabditis elegans (Ketting et al., 2001). These molecules have even been directly shown to be involved in cell division (Lagos-Quintana et al., 2001; Lau et al., 2001; Lee, R. C., and Ambros, V., 2001). Moreover, in 2002 the effect of siRNAs was found not to be limited by the transient switching off of genes on the level of RNA. In some organisms (only in plants), siRNAs can change the chromatin structure (i.e., act on the transcriptional level) and promote a long-term silencing of some and activating of other genes (Zilberman et al., 2003). In addition to the transcriptional and post-transcriptional homology-dependent suppression of gene expression, the interaction between DNA/chromatin structure and RNA is manifested by many phenomena, e.g., the dose compensation in drosophila and inactivation of X-chromosome in mammals, when noncoding RNAs determine changes in the chromatin structure (Stuckenholz, C., Kageyama, Y., and Kuroda, M. I., 1999).</w:t>
      </w:r>
    </w:p>
    <w:p w:rsidR="00000000" w:rsidDel="00000000" w:rsidP="00000000" w:rsidRDefault="00000000" w:rsidRPr="00000000" w14:paraId="000004C0">
      <w:pPr>
        <w:jc w:val="both"/>
        <w:rPr/>
      </w:pPr>
      <w:r w:rsidDel="00000000" w:rsidR="00000000" w:rsidRPr="00000000">
        <w:rPr>
          <w:rtl w:val="0"/>
        </w:rPr>
      </w:r>
    </w:p>
    <w:p w:rsidR="00000000" w:rsidDel="00000000" w:rsidP="00000000" w:rsidRDefault="00000000" w:rsidRPr="00000000" w14:paraId="000004C1">
      <w:pPr>
        <w:jc w:val="both"/>
        <w:rPr/>
      </w:pPr>
      <w:r w:rsidDel="00000000" w:rsidR="00000000" w:rsidRPr="00000000">
        <w:rPr>
          <w:rFonts w:ascii="Arial Unicode MS" w:cs="Arial Unicode MS" w:eastAsia="Arial Unicode MS" w:hAnsi="Arial Unicode MS"/>
          <w:rtl w:val="0"/>
        </w:rPr>
        <w:t xml:space="preserve">RNA interference seems to play a special role in maintaining the length of telomeres in Drosophila melanogaster. However, contrastingly to the majority of eukaryotes, drosophila's telomeres are built on another principle; nevertheless, the involvement in maintaining the length of telomeres is also a function of RNA interference (Gvozdev, 2003). This convinced us that the relation centrosome/cytoskeleton →_RNA interference →_cell aging exists indeed.</w:t>
      </w:r>
    </w:p>
    <w:p w:rsidR="00000000" w:rsidDel="00000000" w:rsidP="00000000" w:rsidRDefault="00000000" w:rsidRPr="00000000" w14:paraId="000004C2">
      <w:pPr>
        <w:jc w:val="both"/>
        <w:rPr/>
      </w:pPr>
      <w:r w:rsidDel="00000000" w:rsidR="00000000" w:rsidRPr="00000000">
        <w:rPr>
          <w:rtl w:val="0"/>
        </w:rPr>
      </w:r>
    </w:p>
    <w:p w:rsidR="00000000" w:rsidDel="00000000" w:rsidP="00000000" w:rsidRDefault="00000000" w:rsidRPr="00000000" w14:paraId="000004C3">
      <w:pPr>
        <w:jc w:val="both"/>
        <w:rPr/>
      </w:pPr>
      <w:r w:rsidDel="00000000" w:rsidR="00000000" w:rsidRPr="00000000">
        <w:rPr>
          <w:rtl w:val="0"/>
        </w:rPr>
        <w:t xml:space="preserve">There are contradictory but definite data on the presence of RNA inside the centrosome or in the centrosome-bound state (Heath, 1980; Nadejdina et al., 1982; Peterson et al., 1978). Therefore, due to their size (20-300 nucleotides) small RNAs seem to be ideal candidates for being located inside the centrosome.</w:t>
      </w:r>
    </w:p>
    <w:p w:rsidR="00000000" w:rsidDel="00000000" w:rsidP="00000000" w:rsidRDefault="00000000" w:rsidRPr="00000000" w14:paraId="000004C4">
      <w:pPr>
        <w:jc w:val="both"/>
        <w:rPr/>
      </w:pPr>
      <w:r w:rsidDel="00000000" w:rsidR="00000000" w:rsidRPr="00000000">
        <w:rPr>
          <w:rtl w:val="0"/>
        </w:rPr>
      </w:r>
    </w:p>
    <w:p w:rsidR="00000000" w:rsidDel="00000000" w:rsidP="00000000" w:rsidRDefault="00000000" w:rsidRPr="00000000" w14:paraId="000004C5">
      <w:pPr>
        <w:jc w:val="both"/>
        <w:rPr/>
      </w:pPr>
      <w:r w:rsidDel="00000000" w:rsidR="00000000" w:rsidRPr="00000000">
        <w:rPr>
          <w:rtl w:val="0"/>
        </w:rPr>
        <w:t xml:space="preserve">These findings, as well as many others unambiguously indicate that the centriolar/cytoskeleton structures can in principle contain the information that is capable of inducing programmed changes in the cell.</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pPr>
      <w:r w:rsidDel="00000000" w:rsidR="00000000" w:rsidRPr="00000000">
        <w:rPr>
          <w:rtl w:val="0"/>
        </w:rPr>
      </w:r>
    </w:p>
    <w:p w:rsidR="00000000" w:rsidDel="00000000" w:rsidP="00000000" w:rsidRDefault="00000000" w:rsidRPr="00000000" w14:paraId="000004C8">
      <w:pPr>
        <w:jc w:val="both"/>
        <w:rPr/>
      </w:pPr>
      <w:r w:rsidDel="00000000" w:rsidR="00000000" w:rsidRPr="00000000">
        <w:rPr>
          <w:rtl w:val="0"/>
        </w:rPr>
        <w:t xml:space="preserve">3.3.6 C</w:t>
      </w:r>
      <w:r w:rsidDel="00000000" w:rsidR="00000000" w:rsidRPr="00000000">
        <w:rPr>
          <w:vertAlign w:val="baseline"/>
          <w:rtl w:val="0"/>
        </w:rPr>
        <w:t xml:space="preserve">entriolar/cytoskeletal mechanisms of cell replicative aging</w:t>
      </w:r>
      <w:r w:rsidDel="00000000" w:rsidR="00000000" w:rsidRPr="00000000">
        <w:rPr>
          <w:rtl w:val="0"/>
        </w:rPr>
      </w:r>
    </w:p>
    <w:p w:rsidR="00000000" w:rsidDel="00000000" w:rsidP="00000000" w:rsidRDefault="00000000" w:rsidRPr="00000000" w14:paraId="000004C9">
      <w:pPr>
        <w:jc w:val="both"/>
        <w:rPr/>
      </w:pPr>
      <w:r w:rsidDel="00000000" w:rsidR="00000000" w:rsidRPr="00000000">
        <w:rPr>
          <w:rtl w:val="0"/>
        </w:rPr>
      </w:r>
    </w:p>
    <w:p w:rsidR="00000000" w:rsidDel="00000000" w:rsidP="00000000" w:rsidRDefault="00000000" w:rsidRPr="00000000" w14:paraId="000004CA">
      <w:pPr>
        <w:jc w:val="both"/>
        <w:rPr/>
      </w:pPr>
      <w:r w:rsidDel="00000000" w:rsidR="00000000" w:rsidRPr="00000000">
        <w:rPr>
          <w:rtl w:val="0"/>
        </w:rPr>
        <w:t xml:space="preserve">It was recently proposed to discriminate the concepts of “cell life duration” and its “replicative potential”. The cell life duration is thought to be associated with senescence, whereas the replicative potential relates to proliferation, differentiation, and apoptosis (Imyanotov, 1999). Thus, the telomere hypothesis seems to be poorly related with the essence of aging, and it may be considered only as an explanation of the reason for the existence of Hayflick's limit. But we do affirm that all these mechanisms, in spite of different pathways of realization, are controlled from the same center.</w:t>
      </w:r>
    </w:p>
    <w:p w:rsidR="00000000" w:rsidDel="00000000" w:rsidP="00000000" w:rsidRDefault="00000000" w:rsidRPr="00000000" w14:paraId="000004CB">
      <w:pPr>
        <w:jc w:val="both"/>
        <w:rPr/>
      </w:pPr>
      <w:r w:rsidDel="00000000" w:rsidR="00000000" w:rsidRPr="00000000">
        <w:rPr>
          <w:rtl w:val="0"/>
        </w:rPr>
      </w:r>
    </w:p>
    <w:p w:rsidR="00000000" w:rsidDel="00000000" w:rsidP="00000000" w:rsidRDefault="00000000" w:rsidRPr="00000000" w14:paraId="000004CC">
      <w:pPr>
        <w:jc w:val="both"/>
        <w:rPr/>
      </w:pPr>
      <w:r w:rsidDel="00000000" w:rsidR="00000000" w:rsidRPr="00000000">
        <w:rPr>
          <w:rtl w:val="0"/>
        </w:rPr>
        <w:t xml:space="preserve">We have already noted that during ontogenesis just the cytoplasmic factors switch on/off the telomerase activity, because the differential activities of genes are shown to be maintained by epigenetic mechanisms. According to our hypothesis, they can be related to the centrosome. What are the possible hypothetical mechanisms of the centrosomal control of telomere length and telomerase activity?</w:t>
      </w:r>
    </w:p>
    <w:p w:rsidR="00000000" w:rsidDel="00000000" w:rsidP="00000000" w:rsidRDefault="00000000" w:rsidRPr="00000000" w14:paraId="000004CD">
      <w:pPr>
        <w:jc w:val="both"/>
        <w:rPr/>
      </w:pPr>
      <w:r w:rsidDel="00000000" w:rsidR="00000000" w:rsidRPr="00000000">
        <w:rPr>
          <w:rtl w:val="0"/>
        </w:rPr>
      </w:r>
    </w:p>
    <w:p w:rsidR="00000000" w:rsidDel="00000000" w:rsidP="00000000" w:rsidRDefault="00000000" w:rsidRPr="00000000" w14:paraId="000004CE">
      <w:pPr>
        <w:jc w:val="both"/>
        <w:rPr/>
      </w:pPr>
      <w:r w:rsidDel="00000000" w:rsidR="00000000" w:rsidRPr="00000000">
        <w:rPr>
          <w:rtl w:val="0"/>
        </w:rPr>
        <w:t xml:space="preserve">1. There are definite (and rather similar) relations between telomeres, telomerase, and nucleoli (Egorov et al., 2002). Thus, RNA of human telomerase contains the sequences responsible for transport into the nucleolus (Narayanan et al., 1999). A syndrome is described when mutation in the protein diskerin (a normal nucleolar component) results in a sharp decrease in the telomerase activity, possibly, at the cost of enhanced interaction of diskerin with RNA of telomerase. There are hypotheses that connect cell aging and the nucleolus: the nucleolus can be the place of accumulation of telomere-binding proteins (Mitchell et al., 1999; Guarente, 1997) . It is also known that factors directly influencing the assemblage of nucleoli are located in the centrosome during mitosis. In particular, damage to the centrosome in anaphase led to disorders in formation of the nucleoli after the cell had entered interphase. This function of the centrosome was not associated with the function of organization of microtubules (Neverova et al., 1998).</w:t>
      </w:r>
    </w:p>
    <w:p w:rsidR="00000000" w:rsidDel="00000000" w:rsidP="00000000" w:rsidRDefault="00000000" w:rsidRPr="00000000" w14:paraId="000004CF">
      <w:pPr>
        <w:jc w:val="both"/>
        <w:rPr/>
      </w:pPr>
      <w:r w:rsidDel="00000000" w:rsidR="00000000" w:rsidRPr="00000000">
        <w:rPr>
          <w:rtl w:val="0"/>
        </w:rPr>
      </w:r>
    </w:p>
    <w:p w:rsidR="00000000" w:rsidDel="00000000" w:rsidP="00000000" w:rsidRDefault="00000000" w:rsidRPr="00000000" w14:paraId="000004D0">
      <w:pPr>
        <w:jc w:val="both"/>
        <w:rPr/>
      </w:pPr>
      <w:r w:rsidDel="00000000" w:rsidR="00000000" w:rsidRPr="00000000">
        <w:rPr>
          <w:rtl w:val="0"/>
        </w:rPr>
        <w:t xml:space="preserve">2. Telomerase (or the hTERT gene) was found to be controlled by a number of cellular enzymes, such as proteins p53, myc, etc. Directly influencing the promoter of the gene hTERT (myc) or the protein regulators of this gene (p53), they can enhance or inhibit the synthesis/activity of telomerase (Altshuler et al., 2003). These facts are interesting in addition to the above-presented data on location of protein p53 in the centrosome and association of myc with microtubules (Ivanova et al., 2000).</w:t>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jc w:val="both"/>
        <w:rPr/>
      </w:pPr>
      <w:r w:rsidDel="00000000" w:rsidR="00000000" w:rsidRPr="00000000">
        <w:rPr>
          <w:rtl w:val="0"/>
        </w:rPr>
        <w:t xml:space="preserve">3. Recent studies have shown that telomeres can be controlled by the protein tankirase (Kuimov, 2004). Tankirase itself is activated with MAP kinase (Chi, N-W., and Lodish, H. F., 2000). The activity of MAP kinase is regulated through the signaling pathway Ras-MAPK (mitogen-activated protein kinases). We have already mentioned that from the ends of microtubules a factor is released, which activates Rac proteins assigned to GTPases and is also involved in realization of Ras effects.</w:t>
      </w:r>
    </w:p>
    <w:p w:rsidR="00000000" w:rsidDel="00000000" w:rsidP="00000000" w:rsidRDefault="00000000" w:rsidRPr="00000000" w14:paraId="000004D3">
      <w:pPr>
        <w:jc w:val="both"/>
        <w:rPr/>
      </w:pPr>
      <w:r w:rsidDel="00000000" w:rsidR="00000000" w:rsidRPr="00000000">
        <w:rPr>
          <w:rtl w:val="0"/>
        </w:rPr>
      </w:r>
    </w:p>
    <w:p w:rsidR="00000000" w:rsidDel="00000000" w:rsidP="00000000" w:rsidRDefault="00000000" w:rsidRPr="00000000" w14:paraId="000004D4">
      <w:pPr>
        <w:jc w:val="both"/>
        <w:rPr/>
      </w:pPr>
      <w:r w:rsidDel="00000000" w:rsidR="00000000" w:rsidRPr="00000000">
        <w:rPr>
          <w:rtl w:val="0"/>
        </w:rPr>
        <w:t xml:space="preserve">Consequently, both telomeres themselves and telomerase can be controlled via centriolar mechanisms!</w:t>
      </w:r>
    </w:p>
    <w:p w:rsidR="00000000" w:rsidDel="00000000" w:rsidP="00000000" w:rsidRDefault="00000000" w:rsidRPr="00000000" w14:paraId="000004D5">
      <w:pPr>
        <w:jc w:val="both"/>
        <w:rPr/>
      </w:pPr>
      <w:r w:rsidDel="00000000" w:rsidR="00000000" w:rsidRPr="00000000">
        <w:rPr>
          <w:rtl w:val="0"/>
        </w:rPr>
      </w:r>
    </w:p>
    <w:p w:rsidR="00000000" w:rsidDel="00000000" w:rsidP="00000000" w:rsidRDefault="00000000" w:rsidRPr="00000000" w14:paraId="000004D6">
      <w:pPr>
        <w:pStyle w:val="Heading3"/>
        <w:jc w:val="both"/>
        <w:rPr/>
      </w:pPr>
      <w:bookmarkStart w:colFirst="0" w:colLast="0" w:name="_rglsxjy5tu8p" w:id="136"/>
      <w:bookmarkEnd w:id="136"/>
      <w:r w:rsidDel="00000000" w:rsidR="00000000" w:rsidRPr="00000000">
        <w:rPr>
          <w:rtl w:val="0"/>
        </w:rPr>
        <w:t xml:space="preserve">3.3.7 C</w:t>
      </w:r>
      <w:r w:rsidDel="00000000" w:rsidR="00000000" w:rsidRPr="00000000">
        <w:rPr>
          <w:vertAlign w:val="baseline"/>
          <w:rtl w:val="0"/>
        </w:rPr>
        <w:t xml:space="preserve">onclusions from the hypothesis and empirical findings</w:t>
      </w:r>
      <w:r w:rsidDel="00000000" w:rsidR="00000000" w:rsidRPr="00000000">
        <w:rPr>
          <w:rtl w:val="0"/>
        </w:rPr>
      </w:r>
    </w:p>
    <w:p w:rsidR="00000000" w:rsidDel="00000000" w:rsidP="00000000" w:rsidRDefault="00000000" w:rsidRPr="00000000" w14:paraId="000004D7">
      <w:pPr>
        <w:jc w:val="both"/>
        <w:rPr/>
      </w:pPr>
      <w:r w:rsidDel="00000000" w:rsidR="00000000" w:rsidRPr="00000000">
        <w:rPr>
          <w:rtl w:val="0"/>
        </w:rPr>
      </w:r>
    </w:p>
    <w:p w:rsidR="00000000" w:rsidDel="00000000" w:rsidP="00000000" w:rsidRDefault="00000000" w:rsidRPr="00000000" w14:paraId="000004D8">
      <w:pPr>
        <w:jc w:val="both"/>
        <w:rPr/>
      </w:pPr>
      <w:r w:rsidDel="00000000" w:rsidR="00000000" w:rsidRPr="00000000">
        <w:rPr>
          <w:rtl w:val="0"/>
        </w:rPr>
        <w:t xml:space="preserve">How can the determination by centrioles of the cell morphogenetic status be manifested?</w:t>
      </w:r>
    </w:p>
    <w:p w:rsidR="00000000" w:rsidDel="00000000" w:rsidP="00000000" w:rsidRDefault="00000000" w:rsidRPr="00000000" w14:paraId="000004D9">
      <w:pPr>
        <w:jc w:val="both"/>
        <w:rPr/>
      </w:pPr>
      <w:r w:rsidDel="00000000" w:rsidR="00000000" w:rsidRPr="00000000">
        <w:rPr>
          <w:rtl w:val="0"/>
        </w:rPr>
      </w:r>
    </w:p>
    <w:p w:rsidR="00000000" w:rsidDel="00000000" w:rsidP="00000000" w:rsidRDefault="00000000" w:rsidRPr="00000000" w14:paraId="000004DA">
      <w:pPr>
        <w:jc w:val="both"/>
        <w:rPr/>
      </w:pPr>
      <w:r w:rsidDel="00000000" w:rsidR="00000000" w:rsidRPr="00000000">
        <w:rPr>
          <w:rtl w:val="0"/>
        </w:rPr>
        <w:t xml:space="preserve">Differentiation of the majority of cells is accompanied by either the loss of certain features of the centrosome or their hypertrophy . At the terminal differentiation accompanied by an irreversible loss of proliferative potential of the cells, four different variants are realized. In some cases, centrioles totally disappear (e.g., on myogenesis of skeletal muscles), in other cases the centriole becomes a basal body and produces a cilium (e.g., in nervous tissue), in the third situation the centrosome is present but its certain components partially disconnect (i.e., it is invalid), and only in some of the cells the centrosome functions normally and acts as the center of microtubule organization. But it seems to be also invalid in these cells because of inability of providing normal division. Thus, in all these cells the centrosome reaches the “final” status that caused an irreversible differentiation of the cells. Only cells with reversibly inactivated centrosome (e.g., hepatocytes of intact liver of adult animals) can return to the pathway of division.</w:t>
      </w:r>
    </w:p>
    <w:p w:rsidR="00000000" w:rsidDel="00000000" w:rsidP="00000000" w:rsidRDefault="00000000" w:rsidRPr="00000000" w14:paraId="000004DB">
      <w:pPr>
        <w:jc w:val="both"/>
        <w:rPr/>
      </w:pPr>
      <w:r w:rsidDel="00000000" w:rsidR="00000000" w:rsidRPr="00000000">
        <w:rPr>
          <w:rtl w:val="0"/>
        </w:rPr>
      </w:r>
    </w:p>
    <w:p w:rsidR="00000000" w:rsidDel="00000000" w:rsidP="00000000" w:rsidRDefault="00000000" w:rsidRPr="00000000" w14:paraId="000004DC">
      <w:pPr>
        <w:jc w:val="both"/>
        <w:rPr/>
      </w:pPr>
      <w:r w:rsidDel="00000000" w:rsidR="00000000" w:rsidRPr="00000000">
        <w:rPr>
          <w:rtl w:val="0"/>
        </w:rPr>
        <w:t xml:space="preserve">According to our hypothesis, if triggering the differentiation and start of the programmed age-related changes are really associated with the centrioles, the cells of multicellular organisms which display either: a) the initial absence of centrioles or cytoskeleton, or b) de novo appearance of centrioles (centrioles may be considered as de novo produced until the cell enters the pathway of irreversible differentiation) will be totipotent and “immortal” (i.e., they will lack replicative aging). It is reasonable that the absence (permanent of transitory) of a structure determining the account of divisions also means the absence of counting of irreversible differentiation processes. Therefore, such cells are totipotent and “immortal”. This is the first conclusion from our hypothesis.</w:t>
      </w:r>
    </w:p>
    <w:p w:rsidR="00000000" w:rsidDel="00000000" w:rsidP="00000000" w:rsidRDefault="00000000" w:rsidRPr="00000000" w14:paraId="000004DD">
      <w:pPr>
        <w:jc w:val="both"/>
        <w:rPr/>
      </w:pPr>
      <w:r w:rsidDel="00000000" w:rsidR="00000000" w:rsidRPr="00000000">
        <w:rPr>
          <w:rtl w:val="0"/>
        </w:rPr>
      </w:r>
    </w:p>
    <w:p w:rsidR="00000000" w:rsidDel="00000000" w:rsidP="00000000" w:rsidRDefault="00000000" w:rsidRPr="00000000" w14:paraId="000004DE">
      <w:pPr>
        <w:jc w:val="both"/>
        <w:rPr/>
      </w:pPr>
      <w:r w:rsidDel="00000000" w:rsidR="00000000" w:rsidRPr="00000000">
        <w:rPr>
          <w:rtl w:val="0"/>
        </w:rPr>
        <w:t xml:space="preserve">The loss of centrioles by some cells of a few representatives of higher animals during ontogenesis (Szollosi et al., 1986), as well as experimental removal of them, never make the cells immortal and totipotent. In the first case, this loss is always associated with the cell achieving the final stage of differentiation, whereas in the other case the removal of such an important organ makes the cells incapable of dividing (Uzbekov, P. E., and Vorobjev, I. A., 1992). Consequently, these findings do not contradict our hypothesis.</w:t>
      </w:r>
    </w:p>
    <w:p w:rsidR="00000000" w:rsidDel="00000000" w:rsidP="00000000" w:rsidRDefault="00000000" w:rsidRPr="00000000" w14:paraId="000004DF">
      <w:pPr>
        <w:jc w:val="both"/>
        <w:rPr/>
      </w:pPr>
      <w:r w:rsidDel="00000000" w:rsidR="00000000" w:rsidRPr="00000000">
        <w:rPr>
          <w:rtl w:val="0"/>
        </w:rPr>
      </w:r>
    </w:p>
    <w:p w:rsidR="00000000" w:rsidDel="00000000" w:rsidP="00000000" w:rsidRDefault="00000000" w:rsidRPr="00000000" w14:paraId="000004E0">
      <w:pPr>
        <w:jc w:val="both"/>
        <w:rPr/>
      </w:pPr>
      <w:r w:rsidDel="00000000" w:rsidR="00000000" w:rsidRPr="00000000">
        <w:rPr>
          <w:rtl w:val="0"/>
        </w:rPr>
        <w:t xml:space="preserve">The second conclusion is as follows: certain (naturally, not any) damage to centrioles and/or cytoskeleton has to result in the absence of replicative aging of the cell because it can suppress the switching on of the aging mechanism induced by these structures.</w:t>
      </w:r>
    </w:p>
    <w:p w:rsidR="00000000" w:rsidDel="00000000" w:rsidP="00000000" w:rsidRDefault="00000000" w:rsidRPr="00000000" w14:paraId="000004E1">
      <w:pPr>
        <w:jc w:val="both"/>
        <w:rPr/>
      </w:pPr>
      <w:r w:rsidDel="00000000" w:rsidR="00000000" w:rsidRPr="00000000">
        <w:rPr>
          <w:rtl w:val="0"/>
        </w:rPr>
      </w:r>
    </w:p>
    <w:p w:rsidR="00000000" w:rsidDel="00000000" w:rsidP="00000000" w:rsidRDefault="00000000" w:rsidRPr="00000000" w14:paraId="000004E2">
      <w:pPr>
        <w:jc w:val="both"/>
        <w:rPr/>
      </w:pPr>
      <w:r w:rsidDel="00000000" w:rsidR="00000000" w:rsidRPr="00000000">
        <w:rPr>
          <w:rtl w:val="0"/>
        </w:rPr>
        <w:t xml:space="preserve">Let us compare these two conclusions from our concept with the facts.</w:t>
      </w:r>
    </w:p>
    <w:p w:rsidR="00000000" w:rsidDel="00000000" w:rsidP="00000000" w:rsidRDefault="00000000" w:rsidRPr="00000000" w14:paraId="000004E3">
      <w:pPr>
        <w:jc w:val="both"/>
        <w:rPr/>
      </w:pPr>
      <w:r w:rsidDel="00000000" w:rsidR="00000000" w:rsidRPr="00000000">
        <w:rPr>
          <w:rtl w:val="0"/>
        </w:rPr>
      </w:r>
    </w:p>
    <w:p w:rsidR="00000000" w:rsidDel="00000000" w:rsidP="00000000" w:rsidRDefault="00000000" w:rsidRPr="00000000" w14:paraId="000004E4">
      <w:pPr>
        <w:jc w:val="both"/>
        <w:rPr/>
      </w:pPr>
      <w:r w:rsidDel="00000000" w:rsidR="00000000" w:rsidRPr="00000000">
        <w:rPr>
          <w:rtl w:val="0"/>
        </w:rPr>
        <w:t xml:space="preserve">1. It is known that centrioles are initially absent in the cells of higher plants (Seravin, 1992; Sluiman, 1985) and zygote and early blastomeres of some animals (Calarco-Gillam et al., 1983). The cytoskeleton is absent in embryonic stem cells of animals. As a consequence, they are immortal (in vivo and/or in vitro) and totipotent (or at least pluripotent), and this supports our theory.</w:t>
      </w:r>
    </w:p>
    <w:p w:rsidR="00000000" w:rsidDel="00000000" w:rsidP="00000000" w:rsidRDefault="00000000" w:rsidRPr="00000000" w14:paraId="000004E5">
      <w:pPr>
        <w:jc w:val="both"/>
        <w:rPr/>
      </w:pPr>
      <w:r w:rsidDel="00000000" w:rsidR="00000000" w:rsidRPr="00000000">
        <w:rPr>
          <w:rtl w:val="0"/>
        </w:rPr>
      </w:r>
    </w:p>
    <w:p w:rsidR="00000000" w:rsidDel="00000000" w:rsidP="00000000" w:rsidRDefault="00000000" w:rsidRPr="00000000" w14:paraId="000004E6">
      <w:pPr>
        <w:jc w:val="both"/>
        <w:rPr/>
      </w:pPr>
      <w:r w:rsidDel="00000000" w:rsidR="00000000" w:rsidRPr="00000000">
        <w:rPr>
          <w:rtl w:val="0"/>
        </w:rPr>
        <w:t xml:space="preserve">2. Centrioles appear de novo in the zygote and cells of early embryos5 of some animals (Kryuchkova et al., 1989; Maro et al., 1991), and they are also totipotent and immortal.</w:t>
      </w:r>
    </w:p>
    <w:p w:rsidR="00000000" w:rsidDel="00000000" w:rsidP="00000000" w:rsidRDefault="00000000" w:rsidRPr="00000000" w14:paraId="000004E7">
      <w:pPr>
        <w:jc w:val="both"/>
        <w:rPr/>
      </w:pPr>
      <w:r w:rsidDel="00000000" w:rsidR="00000000" w:rsidRPr="00000000">
        <w:rPr>
          <w:rtl w:val="0"/>
        </w:rPr>
      </w:r>
    </w:p>
    <w:p w:rsidR="00000000" w:rsidDel="00000000" w:rsidP="00000000" w:rsidRDefault="00000000" w:rsidRPr="00000000" w14:paraId="000004E8">
      <w:pPr>
        <w:jc w:val="both"/>
        <w:rPr/>
      </w:pPr>
      <w:r w:rsidDel="00000000" w:rsidR="00000000" w:rsidRPr="00000000">
        <w:rPr>
          <w:rFonts w:ascii="Arial Unicode MS" w:cs="Arial Unicode MS" w:eastAsia="Arial Unicode MS" w:hAnsi="Arial Unicode MS"/>
          <w:rtl w:val="0"/>
        </w:rPr>
        <w:t xml:space="preserve">5 The absence of replicative aging of sex cells and cells of early embryos provides the possibility of obtaining from them a continuous line of the germinal pathway cells. 3. Dramatic changes in the cytoskeletal structure are observed in cancerous and transformed cells (Kharitova et al., 2002). In particular, in these cells actin bundles are significantly reduced or absent, the length of the actin edge and the area of lamelloplasma of active microfilaments are decreased, and the endoplasmic plast of microfilaments is spoiled (Kaverina et al., 1991). Although the structure of centrioles in transformed cells seems morphologically normal, the centrosome →_cytoskeleton relation is disturbed because of changes in the cytoskeletal structure. Moreover, in the transformed cell the orientation of centrioles is affected, and a nonrandom orientation of the centrioles seems to be one of most important, although enigmatic, feature of the normal cell (Kalnins, 1992). Although disorders in the normal organization of fibrillar material do not prevent mitosis, mitotic figures appear affected.</w:t>
      </w:r>
    </w:p>
    <w:p w:rsidR="00000000" w:rsidDel="00000000" w:rsidP="00000000" w:rsidRDefault="00000000" w:rsidRPr="00000000" w14:paraId="000004E9">
      <w:pPr>
        <w:jc w:val="both"/>
        <w:rPr/>
      </w:pPr>
      <w:r w:rsidDel="00000000" w:rsidR="00000000" w:rsidRPr="00000000">
        <w:rPr>
          <w:rtl w:val="0"/>
        </w:rPr>
      </w:r>
    </w:p>
    <w:p w:rsidR="00000000" w:rsidDel="00000000" w:rsidP="00000000" w:rsidRDefault="00000000" w:rsidRPr="00000000" w14:paraId="000004EA">
      <w:pPr>
        <w:jc w:val="both"/>
        <w:rPr/>
      </w:pPr>
      <w:r w:rsidDel="00000000" w:rsidR="00000000" w:rsidRPr="00000000">
        <w:rPr>
          <w:rtl w:val="0"/>
        </w:rPr>
        <w:t xml:space="preserve">Cancerous and transformed cells are immortal , and this is also in the framework of our second conclusion. However, these cells are not totipotent, and this needs explanation. We have already noted that totipotency is related with the “null” morphogenetic status of the cells, and the status of cancerous and transformed cells naturally is not “null” because before the transformation they have already passed a certain number of differential mitoses (“transformation “freezes” the direction and level of differentiation of the precursor cell” (Abelev, 2000)). Consequently, such immortal cells descending from somatic cells cannot be totipotent.</w:t>
      </w:r>
    </w:p>
    <w:p w:rsidR="00000000" w:rsidDel="00000000" w:rsidP="00000000" w:rsidRDefault="00000000" w:rsidRPr="00000000" w14:paraId="000004EB">
      <w:pPr>
        <w:jc w:val="both"/>
        <w:rPr/>
      </w:pPr>
      <w:r w:rsidDel="00000000" w:rsidR="00000000" w:rsidRPr="00000000">
        <w:rPr>
          <w:rtl w:val="0"/>
        </w:rPr>
      </w:r>
    </w:p>
    <w:p w:rsidR="00000000" w:rsidDel="00000000" w:rsidP="00000000" w:rsidRDefault="00000000" w:rsidRPr="00000000" w14:paraId="000004EC">
      <w:pPr>
        <w:jc w:val="both"/>
        <w:rPr/>
      </w:pPr>
      <w:r w:rsidDel="00000000" w:rsidR="00000000" w:rsidRPr="00000000">
        <w:rPr>
          <w:rtl w:val="0"/>
        </w:rPr>
        <w:t xml:space="preserve">Obviously, the “behavior” of all immortal and/or totipotent cells of multicellular organisms that occur in nature completely fits our concept.</w:t>
      </w:r>
    </w:p>
    <w:p w:rsidR="00000000" w:rsidDel="00000000" w:rsidP="00000000" w:rsidRDefault="00000000" w:rsidRPr="00000000" w14:paraId="000004ED">
      <w:pPr>
        <w:jc w:val="both"/>
        <w:rPr/>
      </w:pPr>
      <w:r w:rsidDel="00000000" w:rsidR="00000000" w:rsidRPr="00000000">
        <w:rPr>
          <w:rtl w:val="0"/>
        </w:rPr>
      </w:r>
    </w:p>
    <w:p w:rsidR="00000000" w:rsidDel="00000000" w:rsidP="00000000" w:rsidRDefault="00000000" w:rsidRPr="00000000" w14:paraId="000004EE">
      <w:pPr>
        <w:jc w:val="both"/>
        <w:rPr/>
      </w:pPr>
      <w:r w:rsidDel="00000000" w:rsidR="00000000" w:rsidRPr="00000000">
        <w:rPr>
          <w:rtl w:val="0"/>
        </w:rPr>
        <w:t xml:space="preserve">Does the simultaneous presence of centrioles and immortality in many unicellular organisms contradict our concept?</w:t>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jc w:val="both"/>
        <w:rPr/>
      </w:pPr>
      <w:r w:rsidDel="00000000" w:rsidR="00000000" w:rsidRPr="00000000">
        <w:rPr>
          <w:rtl w:val="0"/>
        </w:rPr>
        <w:t xml:space="preserve">According to the literature, the centriole functions only as the basal body during early phylogenetic stages of eukaryotes. Only after a certain evolution, the centriole can be involved not only in formation of flagella and cilia but in creation of the intracellular carcass. This seems to be a starting point for arising the division counting and later results in appearance of replicative aging. An apparent “blossoming” of centrioles occurs only after appearance of multicellularity (Denus, H., and Lavroix, J. C., 1993). This is not contradicted by data on the aging of infusorian clones prevented from conjugation, because in the case of normal proliferation it “rejuvenated” the culture. Consequently, in some unicellular eukaryotes, centrioles are just beginning to acquire new functions and are yet unable to determine the cell morphogenetics; this function is peculiar only to multicellular organisms with irreversibly differentiated tissues. Thus, the simultaneous presence of both centrioles and “immortality” in various unicellular organisms does not contradict our theory.</w:t>
      </w:r>
    </w:p>
    <w:p w:rsidR="00000000" w:rsidDel="00000000" w:rsidP="00000000" w:rsidRDefault="00000000" w:rsidRPr="00000000" w14:paraId="000004F1">
      <w:pPr>
        <w:jc w:val="both"/>
        <w:rPr/>
      </w:pPr>
      <w:r w:rsidDel="00000000" w:rsidR="00000000" w:rsidRPr="00000000">
        <w:rPr>
          <w:rtl w:val="0"/>
        </w:rPr>
      </w:r>
    </w:p>
    <w:p w:rsidR="00000000" w:rsidDel="00000000" w:rsidP="00000000" w:rsidRDefault="00000000" w:rsidRPr="00000000" w14:paraId="000004F2">
      <w:pPr>
        <w:jc w:val="both"/>
        <w:rPr/>
      </w:pPr>
      <w:r w:rsidDel="00000000" w:rsidR="00000000" w:rsidRPr="00000000">
        <w:rPr>
          <w:rtl w:val="0"/>
        </w:rPr>
        <w:t xml:space="preserve">The data presented, using Harman's term of cellular “molecular clock” (Hayflick replicometer) for mitochondria, to believe that centrioles are the true molecular clock of the cell.</w:t>
        <w:br w:type="textWrapping"/>
      </w:r>
    </w:p>
    <w:p w:rsidR="00000000" w:rsidDel="00000000" w:rsidP="00000000" w:rsidRDefault="00000000" w:rsidRPr="00000000" w14:paraId="000004F3">
      <w:pPr>
        <w:pStyle w:val="Heading3"/>
        <w:jc w:val="both"/>
        <w:rPr/>
      </w:pPr>
      <w:bookmarkStart w:colFirst="0" w:colLast="0" w:name="_s4grd3rpo24u" w:id="137"/>
      <w:bookmarkEnd w:id="137"/>
      <w:r w:rsidDel="00000000" w:rsidR="00000000" w:rsidRPr="00000000">
        <w:rPr>
          <w:rtl w:val="0"/>
        </w:rPr>
        <w:t xml:space="preserve">3.3.8 Centriolar theory of differentiation and replicative aging</w:t>
      </w:r>
    </w:p>
    <w:p w:rsidR="00000000" w:rsidDel="00000000" w:rsidP="00000000" w:rsidRDefault="00000000" w:rsidRPr="00000000" w14:paraId="000004F4">
      <w:pPr>
        <w:jc w:val="both"/>
        <w:rPr/>
      </w:pPr>
      <w:r w:rsidDel="00000000" w:rsidR="00000000" w:rsidRPr="00000000">
        <w:rPr>
          <w:rtl w:val="0"/>
        </w:rPr>
      </w:r>
    </w:p>
    <w:p w:rsidR="00000000" w:rsidDel="00000000" w:rsidP="00000000" w:rsidRDefault="00000000" w:rsidRPr="00000000" w14:paraId="000004F5">
      <w:pPr>
        <w:jc w:val="both"/>
        <w:rPr/>
      </w:pPr>
      <w:r w:rsidDel="00000000" w:rsidR="00000000" w:rsidRPr="00000000">
        <w:rPr>
          <w:rtl w:val="0"/>
        </w:rPr>
        <w:t xml:space="preserve">If centrosomes/centrioles are not important for origination of microtubules, spindle assembly, then why are centrosomes and centrioles present in every differentiated somatic cell of animals? Presumably, the pivotal function of this organoid of somatic cells of animals and humans is in its association with differentiation inducers (Tkemaladze, 2005). It was demonstrated that most types of somatic cells showcase stereotyped heredity of either mother, or daughter centrosomes, thus bringing varying input to the fate of daughter cells after differentiation-inducing division (Chen, 2021). Centrosome reduction in oocytes holds a key role in prevention of parthenogenetic embryogenesis and balancing centrosome number in the embryonic cells (Manandhar, 2005). Destruction of centrioles in the generation process of haploid eggs from diploid somatic cells (Hartung,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(Maemura, 2021), and thus it continues until the formation of de novo centrioles at a certain generation (Abumuslimov, 1994; Maro, 1991). Cells of that generation lose their totipotency from the moment of formation of centrioles (Ishiuchi, 2013) and turn to the path of irreversible differentiation – they acquire a certain morphogenetic status. Alteration of morphogenetic status signifies that one gene network has been turned off, while the other turned on (Roy, 2014). The number of cell generations, starting from zygote, is restricted by Hayflick limit (Hayflick, 1997).</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pPr>
      <w:r w:rsidDel="00000000" w:rsidR="00000000" w:rsidRPr="00000000">
        <w:rPr>
          <w:rtl w:val="0"/>
        </w:rPr>
        <w:t xml:space="preserve">On the basis of aforementioned, the following assumptions can be put forth:</w:t>
      </w:r>
    </w:p>
    <w:p w:rsidR="00000000" w:rsidDel="00000000" w:rsidP="00000000" w:rsidRDefault="00000000" w:rsidRPr="00000000" w14:paraId="000004F8">
      <w:pPr>
        <w:jc w:val="both"/>
        <w:rPr/>
      </w:pPr>
      <w:r w:rsidDel="00000000" w:rsidR="00000000" w:rsidRPr="00000000">
        <w:rPr>
          <w:rtl w:val="0"/>
        </w:rPr>
      </w:r>
    </w:p>
    <w:p w:rsidR="00000000" w:rsidDel="00000000" w:rsidP="00000000" w:rsidRDefault="00000000" w:rsidRPr="00000000" w14:paraId="000004F9">
      <w:pPr>
        <w:numPr>
          <w:ilvl w:val="0"/>
          <w:numId w:val="17"/>
        </w:numPr>
        <w:jc w:val="both"/>
      </w:pPr>
      <w:r w:rsidDel="00000000" w:rsidR="00000000" w:rsidRPr="00000000">
        <w:rPr>
          <w:rtl w:val="0"/>
        </w:rPr>
        <w:t xml:space="preserve">Hypothetically it can be suggested that in between destruction of centrioles as in spermatogenesis (Simerly, 2001), so during oogenesis (Simerly, 2018), prior to formation of centrioles de novo  (Zhou, 2015) two hypothetical structures of inducers are built on the basis of nuclear or mitochondrial DNA. Most probably, these differing structures consist of protein or RNA, or the combination of the two. It is possible that one structure is associated with an old centriole, whereas the second structure is associated with a young centriole.</w:t>
      </w:r>
    </w:p>
    <w:p w:rsidR="00000000" w:rsidDel="00000000" w:rsidP="00000000" w:rsidRDefault="00000000" w:rsidRPr="00000000" w14:paraId="000004FA">
      <w:pPr>
        <w:numPr>
          <w:ilvl w:val="0"/>
          <w:numId w:val="17"/>
        </w:numPr>
        <w:jc w:val="both"/>
      </w:pPr>
      <w:r w:rsidDel="00000000" w:rsidR="00000000" w:rsidRPr="00000000">
        <w:rPr>
          <w:rtl w:val="0"/>
        </w:rPr>
        <w:t xml:space="preserve">Inducers connect from outside/inside with centrioles: one of two hypothetical structures (let us name it a structure inducing progenitor cells of somatic cells – S-structure) is linked with one centriole, whereas the second hypothetical structure (let us name it a structure inducing progenitor cells of haploid cells – H-structure) is linked with a second centriole.</w:t>
      </w:r>
    </w:p>
    <w:p w:rsidR="00000000" w:rsidDel="00000000" w:rsidP="00000000" w:rsidRDefault="00000000" w:rsidRPr="00000000" w14:paraId="000004FB">
      <w:pPr>
        <w:numPr>
          <w:ilvl w:val="0"/>
          <w:numId w:val="17"/>
        </w:numPr>
        <w:jc w:val="both"/>
      </w:pPr>
      <w:r w:rsidDel="00000000" w:rsidR="00000000" w:rsidRPr="00000000">
        <w:rPr>
          <w:rtl w:val="0"/>
        </w:rPr>
        <w:t xml:space="preserve">In the course of centrioles’ duplication (Nigg, 2017) a centriole with S-structure generates a daughter centriole to which a copy of a H-structure from pair centriole with H-structure is attached. Whereas the pair centriole with H-structure generates daughter centriole with attached copy of S-structure from its former pair with S-structure. After the differentiation-inducing division (Seirin-Lee, 2020), in the process of centrioles reduplication the one-by-one release of corresponding inducer issues from a set of both mother centrioles. There is a detachment of corresponding differentiation inducer from S-structure in one daughter cell, and another corresponding differentiation inducer’s detachment from H-structure takes place in the second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4FC">
      <w:pPr>
        <w:numPr>
          <w:ilvl w:val="0"/>
          <w:numId w:val="17"/>
        </w:numPr>
        <w:jc w:val="both"/>
      </w:pPr>
      <w:r w:rsidDel="00000000" w:rsidR="00000000" w:rsidRPr="00000000">
        <w:rPr>
          <w:rtl w:val="0"/>
        </w:rPr>
        <w:t xml:space="preserve">There are fewer inducers after each differentiation-inducing division. Since during differentiation-inducing divisions the differentiation inducer detaches only from the mother centriole, but not from the daughter centriole, then in certain generations there is an emergence of cells that have different amounts of inducers in S- and H-structures’ sets. If the set of inducers in one of the structures (S-structure or H-structure) is completely depleted, while it is not depleted in the second structure, then such a cell becomes a multipotent stem cell capable of asymmetrical division (Chang, 2008). It is highly likely that the morphological characteristic of a total depletion of one of the inducer structures is the presence of primary cilium. One daughter cell will be identical to the mother cell, as its inducers’ store is depleted at the corresponding centriole (whereas there is inducers’ store in its daughter centriole). Thus, the stem cell pool contains old mother centrioles that do not reparate.   Such irreparable centrioles must lose functionality and cause the death of stem cells wherein they are located.</w:t>
      </w:r>
    </w:p>
    <w:p w:rsidR="00000000" w:rsidDel="00000000" w:rsidP="00000000" w:rsidRDefault="00000000" w:rsidRPr="00000000" w14:paraId="000004FD">
      <w:pPr>
        <w:jc w:val="both"/>
        <w:rPr/>
      </w:pPr>
      <w:r w:rsidDel="00000000" w:rsidR="00000000" w:rsidRPr="00000000">
        <w:rPr>
          <w:rtl w:val="0"/>
        </w:rPr>
      </w:r>
    </w:p>
    <w:p w:rsidR="00000000" w:rsidDel="00000000" w:rsidP="00000000" w:rsidRDefault="00000000" w:rsidRPr="00000000" w14:paraId="000004FE">
      <w:pPr>
        <w:pStyle w:val="Heading6"/>
        <w:jc w:val="both"/>
        <w:rPr/>
      </w:pPr>
      <w:bookmarkStart w:colFirst="0" w:colLast="0" w:name="_637queqkgsa7" w:id="138"/>
      <w:bookmarkEnd w:id="138"/>
      <w:r w:rsidDel="00000000" w:rsidR="00000000" w:rsidRPr="00000000">
        <w:rPr>
          <w:rtl w:val="0"/>
        </w:rPr>
        <w:t xml:space="preserve">Figure 8. Variation pattern of morphogenetic status in lines of progeny cells when S-structure consists of 3 inducers, and H-structure consists of 3 inducers too.</w:t>
      </w:r>
    </w:p>
    <w:p w:rsidR="00000000" w:rsidDel="00000000" w:rsidP="00000000" w:rsidRDefault="00000000" w:rsidRPr="00000000" w14:paraId="000004FF">
      <w:pPr>
        <w:jc w:val="both"/>
        <w:rPr/>
      </w:pPr>
      <w:r w:rsidDel="00000000" w:rsidR="00000000" w:rsidRPr="00000000">
        <w:rPr>
          <w:rtl w:val="0"/>
        </w:rPr>
      </w:r>
    </w:p>
    <w:p w:rsidR="00000000" w:rsidDel="00000000" w:rsidP="00000000" w:rsidRDefault="00000000" w:rsidRPr="00000000" w14:paraId="00000500">
      <w:pPr>
        <w:jc w:val="both"/>
        <w:rPr/>
      </w:pPr>
      <w:r w:rsidDel="00000000" w:rsidR="00000000" w:rsidRPr="00000000">
        <w:rPr>
          <w:rtl w:val="0"/>
        </w:rPr>
      </w:r>
    </w:p>
    <w:p w:rsidR="00000000" w:rsidDel="00000000" w:rsidP="00000000" w:rsidRDefault="00000000" w:rsidRPr="00000000" w14:paraId="00000501">
      <w:pPr>
        <w:jc w:val="both"/>
        <w:rPr/>
      </w:pPr>
      <w:r w:rsidDel="00000000" w:rsidR="00000000" w:rsidRPr="00000000">
        <w:rPr/>
        <w:drawing>
          <wp:inline distB="114300" distT="114300" distL="114300" distR="114300">
            <wp:extent cx="5900531" cy="5912078"/>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00531" cy="5912078"/>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jc w:val="both"/>
        <w:rPr/>
      </w:pPr>
      <w:r w:rsidDel="00000000" w:rsidR="00000000" w:rsidRPr="00000000">
        <w:rPr>
          <w:rtl w:val="0"/>
        </w:rPr>
        <w:t xml:space="preserve">S reflects affiliation to the inducers of somatic lines, H reflects affiliation to inducers to the lines of haploid gametes. Numbers show how many inducers have already separated from the inducer structure. The Letter L signifies that the limit of a corresponding line has been reached – all the inducers of the corresponding line have been liberated. A totipotent cell with centrioles formed de novo and with null morphogenetic status, accordingly, S-0/H-0 is progenitor for pluripotent embryonic stem cells with S-1/H-0 and S-0/H-1. On this hypothetical diagram it is easy to notice that for a cell with a certain morphogenetic status, for instance, S-1/H-1’s progenitors can be cells with different morphogenetic status, in this particular case those are S-1/H-0 and also S-0/ H-1. As long as there is at least 1 inducer left in both inducer structures, the cell is a pluripotent embryonic stem cell. Multipotent mature stem cells are the result of depletion of one of the inducer structures and, in theory, they can yield progenie analogous to themselves limitlessly. They are also progenitors for unipotent cells with S-2/H-L and S-L/H-2. Cells with S-2/H-L are progenitors for highly-differentiated cells and whose progenies will reach Hayflick limit with preprogrammed apoptosis. Whereas S-L/H-2 are the progenitors for the future germ cells – the liberated last inducer triggers meiotic division. By the example of S-2/H-L and S-L/H-2 on this hypothetical diagram, it is easy to see the significance of the medium to which an inducer liberates. Liberation of the last inducer of H-structure in the progeny line S-L/H-2 causes activation of meiotic division. Whereas, the liberation of the same inducer in S-0/H-L causes the formation of a mature stem cell with the largest (for mature stem cell) potency. Thus, different gene networks switch the same inducers to different gene networks.</w:t>
      </w:r>
    </w:p>
    <w:p w:rsidR="00000000" w:rsidDel="00000000" w:rsidP="00000000" w:rsidRDefault="00000000" w:rsidRPr="00000000" w14:paraId="00000504">
      <w:pPr>
        <w:jc w:val="both"/>
        <w:rPr/>
      </w:pPr>
      <w:r w:rsidDel="00000000" w:rsidR="00000000" w:rsidRPr="00000000">
        <w:rPr>
          <w:rtl w:val="0"/>
        </w:rPr>
      </w:r>
    </w:p>
    <w:p w:rsidR="00000000" w:rsidDel="00000000" w:rsidP="00000000" w:rsidRDefault="00000000" w:rsidRPr="00000000" w14:paraId="00000505">
      <w:pPr>
        <w:jc w:val="both"/>
        <w:rPr/>
      </w:pPr>
      <w:r w:rsidDel="00000000" w:rsidR="00000000" w:rsidRPr="00000000">
        <w:rPr>
          <w:rtl w:val="0"/>
        </w:rPr>
        <w:t xml:space="preserve">Reduction of the amount of stem cells over time becomes the reason for stem cells' rarer division. Accordingly, the amount of cells that are on the path of further differentiation, progenitors of highly-differentiated cells, is continually less.  Therefore, frequency of cell renewal in tissues takes longer time, regeneration tempo declines, organism ages.</w:t>
      </w:r>
    </w:p>
    <w:p w:rsidR="00000000" w:rsidDel="00000000" w:rsidP="00000000" w:rsidRDefault="00000000" w:rsidRPr="00000000" w14:paraId="00000506">
      <w:pPr>
        <w:jc w:val="both"/>
        <w:rPr/>
      </w:pPr>
      <w:r w:rsidDel="00000000" w:rsidR="00000000" w:rsidRPr="00000000">
        <w:rPr>
          <w:rtl w:val="0"/>
        </w:rPr>
      </w:r>
    </w:p>
    <w:p w:rsidR="00000000" w:rsidDel="00000000" w:rsidP="00000000" w:rsidRDefault="00000000" w:rsidRPr="00000000" w14:paraId="00000507">
      <w:pPr>
        <w:pStyle w:val="Heading3"/>
        <w:jc w:val="both"/>
        <w:rPr/>
      </w:pPr>
      <w:bookmarkStart w:colFirst="0" w:colLast="0" w:name="_fakhgcmlk7sh" w:id="139"/>
      <w:bookmarkEnd w:id="139"/>
      <w:r w:rsidDel="00000000" w:rsidR="00000000" w:rsidRPr="00000000">
        <w:rPr>
          <w:rtl w:val="0"/>
        </w:rPr>
        <w:t xml:space="preserve">3.3.9 Conclusion</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pPr>
      <w:r w:rsidDel="00000000" w:rsidR="00000000" w:rsidRPr="00000000">
        <w:rPr>
          <w:rtl w:val="0"/>
        </w:rPr>
        <w:t xml:space="preserve">Reduction of regeneration potency of tissues is one of the most obvious aging characteristics (López-Otín, 2013). For instance, hematopoiesis decreases with aging; it leads to the reduction of production of adaptive immune cells (Shaw, 2010).  Such functional loss of stem cells has been detected in practically every compartment of mature stem cells, including mouse forebrain (Molofsky, 2006), the bones and the muscle fibers (Conboy, 2012). Reduction of regenerative potency with aging has been predicted long ago, after experiments on transplantation of muscles obtained from an old organism to the young, and muscle transplantation from young organism to the old. These experiments have shown that (1) that chronological age alone is not a factor that limits the intrinsic ability of a muscle to regenerate and (2) that the poor regeneration of muscles in old animals is a function of the environment for regeneration provided by the old host (Carlson, 1989). </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rtl w:val="0"/>
        </w:rPr>
        <w:t xml:space="preserve">What if instead of whole muscle or organ transplantation, we could transplant only stem cells? The experiment in question has already been carried out by  Lavasani (Lavasani, 2012) and the result of it has been paradoxical: where only stem cells were transplanted, the result was the reverse effect of Carlson's experiments – transplant assimilated the host. Unfortunately, Lavasani transplanted only in one direction: stem cells of young organisms to the old. </w:t>
      </w:r>
    </w:p>
    <w:p w:rsidR="00000000" w:rsidDel="00000000" w:rsidP="00000000" w:rsidRDefault="00000000" w:rsidRPr="00000000" w14:paraId="0000050C">
      <w:pPr>
        <w:jc w:val="both"/>
        <w:rPr/>
      </w:pPr>
      <w:r w:rsidDel="00000000" w:rsidR="00000000" w:rsidRPr="00000000">
        <w:rPr>
          <w:rtl w:val="0"/>
        </w:rPr>
      </w:r>
    </w:p>
    <w:p w:rsidR="00000000" w:rsidDel="00000000" w:rsidP="00000000" w:rsidRDefault="00000000" w:rsidRPr="00000000" w14:paraId="0000050D">
      <w:pPr>
        <w:jc w:val="both"/>
        <w:rPr/>
      </w:pPr>
      <w:r w:rsidDel="00000000" w:rsidR="00000000" w:rsidRPr="00000000">
        <w:rPr>
          <w:rtl w:val="0"/>
        </w:rPr>
        <w:t xml:space="preserve">Will a young organism age if it had stem cells transplanted to it from an old organism? The question remains to be answered. Until then and hopefully thereafter (if assimilation takes place as a result of transplantation of stem cells from old organism to the young) hypothesis about selective accumulation of old centrioles in stem cells is of essence. Due to the passing of time, more damaged old centrioles in stem cells make these stem cells less resistant to stress. Stem cell number decreases and so does the regeneration tempo. Quite possible that the damage to the stem cells’ old centrioles affects also differentiated daughter cells (old centriole serves as a matrix for daughter cells’ centrioles) that enables ripple-through effect on corresponding tissues accordingly.</w:t>
      </w:r>
    </w:p>
    <w:p w:rsidR="00000000" w:rsidDel="00000000" w:rsidP="00000000" w:rsidRDefault="00000000" w:rsidRPr="00000000" w14:paraId="0000050E">
      <w:pPr>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Unfortunately, in his research, Lavasani was unable to assess the significance of his finding. And he did not conduct the invert experiment that is a transplantation of stem cells from an old organism to a young organism. If young mice with transplanted stem cells from old mice start aging faster than individuals of the control group, then the very centriole and its function must be immediately investigated. Instead of stem cells from old or young organisms, their centrioles must be subjected to transplantation.</w:t>
      </w:r>
    </w:p>
    <w:p w:rsidR="00000000" w:rsidDel="00000000" w:rsidP="00000000" w:rsidRDefault="00000000" w:rsidRPr="00000000" w14:paraId="00000510">
      <w:pPr>
        <w:jc w:val="both"/>
        <w:rPr/>
      </w:pPr>
      <w:r w:rsidDel="00000000" w:rsidR="00000000" w:rsidRPr="00000000">
        <w:rPr>
          <w:rtl w:val="0"/>
        </w:rPr>
      </w:r>
    </w:p>
    <w:p w:rsidR="00000000" w:rsidDel="00000000" w:rsidP="00000000" w:rsidRDefault="00000000" w:rsidRPr="00000000" w14:paraId="00000511">
      <w:pPr>
        <w:pStyle w:val="Heading2"/>
        <w:jc w:val="both"/>
        <w:rPr/>
      </w:pPr>
      <w:bookmarkStart w:colFirst="0" w:colLast="0" w:name="_f2c1ylcnzdlh" w:id="140"/>
      <w:bookmarkEnd w:id="140"/>
      <w:r w:rsidDel="00000000" w:rsidR="00000000" w:rsidRPr="00000000">
        <w:rPr>
          <w:rtl w:val="0"/>
        </w:rPr>
        <w:t xml:space="preserve">3.4 Centriole Elimination: A Mechanism for Resetting Entropy in the Cell</w:t>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pStyle w:val="Heading3"/>
        <w:jc w:val="both"/>
        <w:rPr/>
      </w:pPr>
      <w:bookmarkStart w:colFirst="0" w:colLast="0" w:name="_lncw00qa5qzu" w:id="141"/>
      <w:bookmarkEnd w:id="141"/>
      <w:r w:rsidDel="00000000" w:rsidR="00000000" w:rsidRPr="00000000">
        <w:rPr>
          <w:rtl w:val="0"/>
        </w:rPr>
        <w:t xml:space="preserve">3.4.1 Introduction</w:t>
      </w:r>
    </w:p>
    <w:p w:rsidR="00000000" w:rsidDel="00000000" w:rsidP="00000000" w:rsidRDefault="00000000" w:rsidRPr="00000000" w14:paraId="00000514">
      <w:pPr>
        <w:jc w:val="both"/>
        <w:rPr/>
      </w:pPr>
      <w:r w:rsidDel="00000000" w:rsidR="00000000" w:rsidRPr="00000000">
        <w:rPr>
          <w:rtl w:val="0"/>
        </w:rPr>
      </w:r>
    </w:p>
    <w:p w:rsidR="00000000" w:rsidDel="00000000" w:rsidP="00000000" w:rsidRDefault="00000000" w:rsidRPr="00000000" w14:paraId="00000515">
      <w:pPr>
        <w:jc w:val="both"/>
        <w:rPr/>
      </w:pPr>
      <w:r w:rsidDel="00000000" w:rsidR="00000000" w:rsidRPr="00000000">
        <w:rPr>
          <w:rtl w:val="0"/>
        </w:rPr>
        <w:t xml:space="preserve">Centrioles represent evolutionarily conserved organelles that perform a variety of fundamental cellular functions, including cell motility, intracellular signaling, and differentiation. Despite their structural stability and persistence, centrioles can be actively removed under specific physiological conditions—a phenomenon first recognized in oocytes in pioneering studies by Theodor Boveri (Boveri, 1887). Since then, additional cases of centriole elimination have been identified, yet the overarching molecular and regulatory mechanisms remain largely elusive, preventing a comprehensive understanding of its functional significance across different cell types. In many terminally differentiated cells, centrioles become anchored beneath the plasma membrane, where they act as basal bodies, dictating the structural organization of the axoneme in primary cilia (Breslow, D. K., &amp; Holland, A. J., 2019). Additionally, centrioles play an essential role in the formation of axonemes within motile cilia and flagella, which are crucial for cellular movement and environmental sensing. Given these diverse functional roles, centrioles are indispensable for proper signal transduction and cell motility.</w:t>
      </w:r>
    </w:p>
    <w:p w:rsidR="00000000" w:rsidDel="00000000" w:rsidP="00000000" w:rsidRDefault="00000000" w:rsidRPr="00000000" w14:paraId="00000516">
      <w:pPr>
        <w:jc w:val="both"/>
        <w:rPr/>
      </w:pPr>
      <w:r w:rsidDel="00000000" w:rsidR="00000000" w:rsidRPr="00000000">
        <w:rPr>
          <w:rtl w:val="0"/>
        </w:rPr>
      </w:r>
    </w:p>
    <w:p w:rsidR="00000000" w:rsidDel="00000000" w:rsidP="00000000" w:rsidRDefault="00000000" w:rsidRPr="00000000" w14:paraId="00000517">
      <w:pPr>
        <w:jc w:val="both"/>
        <w:rPr/>
      </w:pPr>
      <w:r w:rsidDel="00000000" w:rsidR="00000000" w:rsidRPr="00000000">
        <w:rPr>
          <w:rtl w:val="0"/>
        </w:rPr>
        <w:t xml:space="preserve">Moreover, in the majority of cycling animal cells, centrioles are embedded within the pericentriolar material (PCM, also known as the pericentriolar matrix), forming the centrosome, which serves as the primary microtubule-organizing center (MTOC). This role is crucial both during interphase, for maintaining cellular architecture, and during mitosis, where centrosomes facilitate bipolar spindle assembly, ensuring precise chromosome segregation and asymmetric distribution of biomolecules and cellular structures (Pintard, L., &amp; Bowerman, B., 2019). Given their essential role in cellular organization, structural alterations or numerical aberrations of centrioles have been implicated in a variety of pathologies, including ciliopathies and cancer (Braun, D. A., &amp; Hildebrandt, F., 2017).</w:t>
      </w:r>
    </w:p>
    <w:p w:rsidR="00000000" w:rsidDel="00000000" w:rsidP="00000000" w:rsidRDefault="00000000" w:rsidRPr="00000000" w14:paraId="00000518">
      <w:pPr>
        <w:jc w:val="both"/>
        <w:rPr/>
      </w:pPr>
      <w:r w:rsidDel="00000000" w:rsidR="00000000" w:rsidRPr="00000000">
        <w:rPr>
          <w:rtl w:val="0"/>
        </w:rPr>
      </w:r>
    </w:p>
    <w:p w:rsidR="00000000" w:rsidDel="00000000" w:rsidP="00000000" w:rsidRDefault="00000000" w:rsidRPr="00000000" w14:paraId="00000519">
      <w:pPr>
        <w:jc w:val="both"/>
        <w:rPr/>
      </w:pPr>
      <w:r w:rsidDel="00000000" w:rsidR="00000000" w:rsidRPr="00000000">
        <w:rPr>
          <w:rtl w:val="0"/>
        </w:rPr>
        <w:t xml:space="preserve">The number of centrioles within a cell is tightly regulated. In cycling cells, the initial centriole pair consists of a mother centriole—characterized by distal and subdistal appendages—and a daughter centriole, which remains linked to the mother via a flexible connection. During the early S-phase, a new procentriole begins to form at a nearly orthogonal angle relative to each existing centriole. By the G2/early mitotic phase, the two pairs of centrioles, now surrounded by PCM and thus forming functional centrosomes, separate to direct the assembly of a bipolar spindle. The molecular pathways and regulatory proteins governing this tightly orchestrated centriole duplication cycle are well characterized (Gomes et al., 2021).</w:t>
      </w:r>
    </w:p>
    <w:p w:rsidR="00000000" w:rsidDel="00000000" w:rsidP="00000000" w:rsidRDefault="00000000" w:rsidRPr="00000000" w14:paraId="0000051A">
      <w:pPr>
        <w:jc w:val="both"/>
        <w:rPr/>
      </w:pPr>
      <w:r w:rsidDel="00000000" w:rsidR="00000000" w:rsidRPr="00000000">
        <w:rPr>
          <w:rtl w:val="0"/>
        </w:rPr>
      </w:r>
    </w:p>
    <w:p w:rsidR="00000000" w:rsidDel="00000000" w:rsidP="00000000" w:rsidRDefault="00000000" w:rsidRPr="00000000" w14:paraId="0000051B">
      <w:pPr>
        <w:jc w:val="both"/>
        <w:rPr/>
      </w:pPr>
      <w:r w:rsidDel="00000000" w:rsidR="00000000" w:rsidRPr="00000000">
        <w:rPr>
          <w:rtl w:val="0"/>
        </w:rPr>
        <w:t xml:space="preserve">However, while centriole numbers increase from two to four in cycling cells, different mechanisms govern centriole control in other contexts. For instance, some cells initially lack centrioles but later assemble them de novo (Takumi, K., &amp; Kitagawa, D., 2022). This process occurs in early rodent embryos, as well as in certain plant species such as mosses, ferns, and gymnosperms. Additionally, it has been observed in Naegleria gruberi, a unicellular protist undergoing transformation from an amoeboid to a flagellated state (Gomes et al., 2021). Interestingly, de novo centriole formation often involves bicentriolar structures coiling in opposite directions. Experimentally induced de novo centriole assembly has also been demonstrated in human cells depleted of centrioles (Khodjakov et al., 2002). Moreover, in multiciliated epithelial cells, multiple procentrioles cluster around existing centrioles and specialized organelles called deuterosomes, leading to the rapid expansion of centriole numbers into the hundreds (Dirksen, 1971). Finally, centriole numbers can also be reduced from four or two down to zero through the process of centriole elimination.</w:t>
      </w:r>
    </w:p>
    <w:p w:rsidR="00000000" w:rsidDel="00000000" w:rsidP="00000000" w:rsidRDefault="00000000" w:rsidRPr="00000000" w14:paraId="0000051C">
      <w:pPr>
        <w:jc w:val="both"/>
        <w:rPr/>
      </w:pPr>
      <w:r w:rsidDel="00000000" w:rsidR="00000000" w:rsidRPr="00000000">
        <w:rPr>
          <w:rtl w:val="0"/>
        </w:rPr>
      </w:r>
    </w:p>
    <w:p w:rsidR="00000000" w:rsidDel="00000000" w:rsidP="00000000" w:rsidRDefault="00000000" w:rsidRPr="00000000" w14:paraId="0000051D">
      <w:pPr>
        <w:pStyle w:val="Heading4"/>
        <w:jc w:val="both"/>
        <w:rPr/>
      </w:pPr>
      <w:bookmarkStart w:colFirst="0" w:colLast="0" w:name="_dximsuaedyxs" w:id="142"/>
      <w:bookmarkEnd w:id="142"/>
      <w:r w:rsidDel="00000000" w:rsidR="00000000" w:rsidRPr="00000000">
        <w:rPr>
          <w:rtl w:val="0"/>
        </w:rPr>
        <w:t xml:space="preserve">3.4.1.1 Centriole Proteins Can Be Mistaken for Centrioles</w:t>
      </w:r>
    </w:p>
    <w:p w:rsidR="00000000" w:rsidDel="00000000" w:rsidP="00000000" w:rsidRDefault="00000000" w:rsidRPr="00000000" w14:paraId="0000051E">
      <w:pPr>
        <w:jc w:val="both"/>
        <w:rPr/>
      </w:pPr>
      <w:r w:rsidDel="00000000" w:rsidR="00000000" w:rsidRPr="00000000">
        <w:rPr>
          <w:rtl w:val="0"/>
        </w:rPr>
      </w:r>
    </w:p>
    <w:p w:rsidR="00000000" w:rsidDel="00000000" w:rsidP="00000000" w:rsidRDefault="00000000" w:rsidRPr="00000000" w14:paraId="0000051F">
      <w:pPr>
        <w:jc w:val="both"/>
        <w:rPr/>
      </w:pPr>
      <w:r w:rsidDel="00000000" w:rsidR="00000000" w:rsidRPr="00000000">
        <w:rPr>
          <w:rtl w:val="0"/>
        </w:rPr>
        <w:t xml:space="preserve">Centrioles are ultrastructurally defined by their characteristic ninefold symmetrical arrangement of microtubules. However, they can also be functionally identified as structures capable of recruiting PCM and initiating axonemal organization. The elimination of centrioles is a process wherein both their ultrastructure and functional capacity are lost. Given their minute size and limited copy number within most cells, centriole presence or absence has often been assessed indirectly by tracking protein foci containing centriole-associated markers, rather than relying solely on high-resolution electron microscopy (EM). In some cases, such as human cells depleted of RBM14, Neurl4, or TRIM37, foci containing centriole-associated proteins, which act as MTOCs, were revealed by EM analysis to lack microtubules entirely (Balestra et al., 2021). These findings highlight that centriole-associated protein foci do not necessarily correspond to actual centrioles, despite maintaining the capacity to recruit PCM and function as MTOCs. More broadly, during centriole elimination, protein foci containing centriole-associated markers may persist and recruit PCM even in the absence of the signature microtubule-based centriole structure. Clearly, assessing multiple centriole markers minimizes the risk of misinterpretation in such cases. Furthermore, advancements in microscopy now provide resolutions sufficient to detect the distinctive ninefold radial symmetry of centriole microtubules (Chang et al., 2023), and these techniques will likely become the gold standard for verifying centriole presence in foci containing centriole-associated proteins.</w:t>
      </w:r>
    </w:p>
    <w:p w:rsidR="00000000" w:rsidDel="00000000" w:rsidP="00000000" w:rsidRDefault="00000000" w:rsidRPr="00000000" w14:paraId="00000520">
      <w:pPr>
        <w:jc w:val="both"/>
        <w:rPr/>
      </w:pPr>
      <w:r w:rsidDel="00000000" w:rsidR="00000000" w:rsidRPr="00000000">
        <w:rPr>
          <w:rtl w:val="0"/>
        </w:rPr>
      </w:r>
    </w:p>
    <w:p w:rsidR="00000000" w:rsidDel="00000000" w:rsidP="00000000" w:rsidRDefault="00000000" w:rsidRPr="00000000" w14:paraId="00000521">
      <w:pPr>
        <w:jc w:val="both"/>
        <w:rPr/>
      </w:pPr>
      <w:r w:rsidDel="00000000" w:rsidR="00000000" w:rsidRPr="00000000">
        <w:rPr>
          <w:rtl w:val="0"/>
        </w:rPr>
        <w:t xml:space="preserve">It is highly probable that, similar to oogenesis in animals, centrioles undergo reduction during spermatogenesis in rodents. By the final stages of gametogenesis, both centrioles completely degenerate, despite the retention of foci containing the core centriole protein centrin (Courtois et al., 2012). The absence of centrioles in both oocytes and sperm results in acentriolar cell divisions in the early embryo for the first eight divisions (as observed in mice and potentially other species), followed by de novo centriole formation at the blastocyst stage (Gueth-Hallonet et al., 1993).</w:t>
      </w:r>
    </w:p>
    <w:p w:rsidR="00000000" w:rsidDel="00000000" w:rsidP="00000000" w:rsidRDefault="00000000" w:rsidRPr="00000000" w14:paraId="00000522">
      <w:pPr>
        <w:jc w:val="both"/>
        <w:rPr/>
      </w:pPr>
      <w:r w:rsidDel="00000000" w:rsidR="00000000" w:rsidRPr="00000000">
        <w:rPr>
          <w:rtl w:val="0"/>
        </w:rPr>
      </w:r>
    </w:p>
    <w:p w:rsidR="00000000" w:rsidDel="00000000" w:rsidP="00000000" w:rsidRDefault="00000000" w:rsidRPr="00000000" w14:paraId="00000523">
      <w:pPr>
        <w:pStyle w:val="Heading4"/>
        <w:jc w:val="both"/>
        <w:rPr/>
      </w:pPr>
      <w:bookmarkStart w:colFirst="0" w:colLast="0" w:name="_s5c587150arl" w:id="143"/>
      <w:bookmarkEnd w:id="143"/>
      <w:r w:rsidDel="00000000" w:rsidR="00000000" w:rsidRPr="00000000">
        <w:rPr>
          <w:rtl w:val="0"/>
        </w:rPr>
        <w:t xml:space="preserve">3.4.1.2 Elimination in the Female Germ Line</w:t>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pPr>
      <w:r w:rsidDel="00000000" w:rsidR="00000000" w:rsidRPr="00000000">
        <w:rPr>
          <w:rtl w:val="0"/>
        </w:rPr>
        <w:t xml:space="preserve">Centrioles are entirely absent in the oocytes of vertebrates (Hertig, A. T., &amp; Adams, E. C., 1967), a phenomenon that was initially hypothesized based on early observations made by Boveri in sea urchin eggs. The elimination of centrioles during oogenesis is now widely recognized as a ubiquitous biological event, occurring universally across all multicellular animal organisms.</w:t>
      </w:r>
    </w:p>
    <w:p w:rsidR="00000000" w:rsidDel="00000000" w:rsidP="00000000" w:rsidRDefault="00000000" w:rsidRPr="00000000" w14:paraId="00000526">
      <w:pPr>
        <w:jc w:val="both"/>
        <w:rPr/>
      </w:pPr>
      <w:r w:rsidDel="00000000" w:rsidR="00000000" w:rsidRPr="00000000">
        <w:rPr>
          <w:rtl w:val="0"/>
        </w:rPr>
        <w:t xml:space="preserve">Despite its broad prevalence, the specific timing and mechanisms underlying centriole elimination during oogenesis exhibit remarkable variation across different biological systems. In the first mechanism, observed in species such as X. laevis, M. musculus, and H. sapiens, as well as in C. elegans and Drosophila, centrioles are eliminated during the prolonged prophase of meiosis I, leading to the formation of acentriolar meiotic spindles (Januschke et al., 2006). Recent studies employing correlated light and electron microscopy (CLEM) in C. elegans have revealed that centrioles lose their characteristic central tube structure in late pachytene, followed by their complete disappearance in early diplotene (Pierron et al., 2023). In Drosophila, the maturing oocyte is initially endowed with a cluster of numerous centrioles supplied by 15 supporting nurse cells (Januschke et al., 2006). This centriole cluster plays a crucial role in facilitating the transport of mRNA and proteins from the nurse cells to the oocyte and persists until meiotic spindle assembly begins, although the overall number of centrioles within the cluster appears to decline beforehand (Becalska, A. N., &amp; Gavis, E. R., 2009). Subsequently, centriole elimination involves the exit of Polo kinase from the pericentriolar material (PCM), followed by PCM loss and, ultimately, the degradation of the organelles themselves (Pimenta-Marques et al., 2016).</w:t>
      </w:r>
    </w:p>
    <w:p w:rsidR="00000000" w:rsidDel="00000000" w:rsidP="00000000" w:rsidRDefault="00000000" w:rsidRPr="00000000" w14:paraId="00000527">
      <w:pPr>
        <w:jc w:val="both"/>
        <w:rPr/>
      </w:pPr>
      <w:r w:rsidDel="00000000" w:rsidR="00000000" w:rsidRPr="00000000">
        <w:rPr>
          <w:rtl w:val="0"/>
        </w:rPr>
      </w:r>
    </w:p>
    <w:p w:rsidR="00000000" w:rsidDel="00000000" w:rsidP="00000000" w:rsidRDefault="00000000" w:rsidRPr="00000000" w14:paraId="00000528">
      <w:pPr>
        <w:jc w:val="both"/>
        <w:rPr/>
      </w:pPr>
      <w:r w:rsidDel="00000000" w:rsidR="00000000" w:rsidRPr="00000000">
        <w:rPr>
          <w:rtl w:val="0"/>
        </w:rPr>
        <w:t xml:space="preserve">A second mechanism, observed in echinoderms, mollusks, and annelids, operates differently: centrioles are not removed during oogenesis but are instead expelled during and after female meiotic divisions. In these species, due to the strategic positioning of centrioles at spindle poles, three out of four centrioles are ejected into polar bodies during the two meiotic divisions, leaving behind a single centriole within the oocyte (Nakashima, S., &amp; Kato, K. H., 2001). In the sea star P. miniata, this remaining centriole is invariably the daughter centriole, whereas both maternal centrioles and one additional daughter centriole are discarded into the polar bodies (Borrego-Pinto, 2016). Similar to Drosophila, the daughter centriole first sheds its surrounding PCM and subsequently disappears, following sperm centriole-mediated recruitment of PCM components.</w:t>
      </w:r>
    </w:p>
    <w:p w:rsidR="00000000" w:rsidDel="00000000" w:rsidP="00000000" w:rsidRDefault="00000000" w:rsidRPr="00000000" w14:paraId="00000529">
      <w:pPr>
        <w:jc w:val="both"/>
        <w:rPr/>
      </w:pPr>
      <w:r w:rsidDel="00000000" w:rsidR="00000000" w:rsidRPr="00000000">
        <w:rPr>
          <w:rtl w:val="0"/>
        </w:rPr>
      </w:r>
    </w:p>
    <w:p w:rsidR="00000000" w:rsidDel="00000000" w:rsidP="00000000" w:rsidRDefault="00000000" w:rsidRPr="00000000" w14:paraId="0000052A">
      <w:pPr>
        <w:jc w:val="both"/>
        <w:rPr/>
      </w:pPr>
      <w:r w:rsidDel="00000000" w:rsidR="00000000" w:rsidRPr="00000000">
        <w:rPr>
          <w:rtl w:val="0"/>
        </w:rPr>
        <w:t xml:space="preserve">These observations collectively underscore the existence of significant diversity in the mechanisms ensuring that no functional centriole remains within the oocyte. If irreversible differentiation inducers are linked to centrioles, then such a strict centriole elimination process likely signifies a cytogenetic reset, restoring totipotency. Furthermore, with the removal of the centriole—the only irreparable structure within the cell—its accumulated entropy is also effectively nullified.</w:t>
      </w:r>
    </w:p>
    <w:p w:rsidR="00000000" w:rsidDel="00000000" w:rsidP="00000000" w:rsidRDefault="00000000" w:rsidRPr="00000000" w14:paraId="0000052B">
      <w:pPr>
        <w:jc w:val="both"/>
        <w:rPr/>
      </w:pPr>
      <w:r w:rsidDel="00000000" w:rsidR="00000000" w:rsidRPr="00000000">
        <w:rPr>
          <w:rtl w:val="0"/>
        </w:rPr>
      </w:r>
    </w:p>
    <w:p w:rsidR="00000000" w:rsidDel="00000000" w:rsidP="00000000" w:rsidRDefault="00000000" w:rsidRPr="00000000" w14:paraId="0000052C">
      <w:pPr>
        <w:pStyle w:val="Heading4"/>
        <w:jc w:val="both"/>
        <w:rPr/>
      </w:pPr>
      <w:bookmarkStart w:colFirst="0" w:colLast="0" w:name="_q4vj71wxikv6" w:id="144"/>
      <w:bookmarkEnd w:id="144"/>
      <w:r w:rsidDel="00000000" w:rsidR="00000000" w:rsidRPr="00000000">
        <w:rPr>
          <w:rtl w:val="0"/>
        </w:rPr>
        <w:t xml:space="preserve">3.4.1.3 Elimination in the Male Germ Line</w:t>
      </w:r>
    </w:p>
    <w:p w:rsidR="00000000" w:rsidDel="00000000" w:rsidP="00000000" w:rsidRDefault="00000000" w:rsidRPr="00000000" w14:paraId="0000052D">
      <w:pPr>
        <w:jc w:val="both"/>
        <w:rPr/>
      </w:pPr>
      <w:r w:rsidDel="00000000" w:rsidR="00000000" w:rsidRPr="00000000">
        <w:rPr>
          <w:rtl w:val="0"/>
        </w:rPr>
      </w:r>
    </w:p>
    <w:p w:rsidR="00000000" w:rsidDel="00000000" w:rsidP="00000000" w:rsidRDefault="00000000" w:rsidRPr="00000000" w14:paraId="0000052E">
      <w:pPr>
        <w:jc w:val="both"/>
        <w:rPr/>
      </w:pPr>
      <w:r w:rsidDel="00000000" w:rsidR="00000000" w:rsidRPr="00000000">
        <w:rPr>
          <w:rtl w:val="0"/>
        </w:rPr>
        <w:t xml:space="preserve">Reduction in centriole numbers, and in some cases their complete removal, can also occur during spermatogenesis. While spermatozoa often introduce two fully functional centrioles into the zygote, as seen in C. elegans, sea urchins, and sea stars (Wolf et al., 1978), this is not universally the case. For instance, in human sperm, the distal centriole, which serves as the template for the flagellar axoneme, degenerates during spermatogenesis. This process involves the disassembly of microtubule triplets, while the centriole proximal to the nucleus remains largely intact (Avidor-Reiss et al., 2020). Some centriolar proteins, including POC1B, CETN1/2, POC5, and CPAP, persist at the site where the distal centriole once resided (Fishman et al., 2018). It has been proposed that both the proximal and residual distal structures derived from sperm continue to function in the zygote, as indicated by their ability to recruit centrosomal components in Xenopus extracts.</w:t>
      </w:r>
    </w:p>
    <w:p w:rsidR="00000000" w:rsidDel="00000000" w:rsidP="00000000" w:rsidRDefault="00000000" w:rsidRPr="00000000" w14:paraId="0000052F">
      <w:pPr>
        <w:jc w:val="both"/>
        <w:rPr/>
      </w:pPr>
      <w:r w:rsidDel="00000000" w:rsidR="00000000" w:rsidRPr="00000000">
        <w:rPr>
          <w:rtl w:val="0"/>
        </w:rPr>
        <w:t xml:space="preserve">An intriguing case is observed in Drosophila, where mature sperm contain a giant centriole (GC), which serves as the axoneme template, and a degenerate proximal centriole-like structure (PCL) (Blachon et al., 2014). While the GC maintains its microtubule wall, the PCL lacks this feature (Khire et al., 2016). Moreover, numerous centriolar proteins, such as Asl, Ana1, Bld10, Ana2, Sas6, and Sas4, are lost from both centrioles by the end of spermatogenesis. In contrast, Poc1B remains in the GC and becomes enriched in the PCL. Both the GC and PCL retain functionality in the zygote, as evidenced by their ability to recruit the PCM component Asl and centriolar proteins Sas6 and Sas4, mirroring findings in human sperm. Notably, the loss of Asl from mature sperm is essential for proper sperm aster formation following fertilization (Khire et al., 2015). Interestingly, Asl must be recruited from the maternal protein pool to assemble these sperm asters. Similarly, in bovine sperm, one canonical and one degenerate centriole are introduced into the zygote, both of which attract PCM components and SAS-6 (Kai et al., 2015). Ultrastructural analysis of early bovine embryos further reveals that atypical centrioles present in the early embryo can initiate procentriole formation (Uzbekov et al., 2023). Collectively, these findings demonstrate that sperm-derived centrioles, while sometimes degenerative, can retain essential functional roles.</w:t>
      </w:r>
    </w:p>
    <w:p w:rsidR="00000000" w:rsidDel="00000000" w:rsidP="00000000" w:rsidRDefault="00000000" w:rsidRPr="00000000" w14:paraId="00000530">
      <w:pPr>
        <w:jc w:val="both"/>
        <w:rPr/>
      </w:pPr>
      <w:r w:rsidDel="00000000" w:rsidR="00000000" w:rsidRPr="00000000">
        <w:rPr>
          <w:rtl w:val="0"/>
        </w:rPr>
      </w:r>
    </w:p>
    <w:p w:rsidR="00000000" w:rsidDel="00000000" w:rsidP="00000000" w:rsidRDefault="00000000" w:rsidRPr="00000000" w14:paraId="00000531">
      <w:pPr>
        <w:pStyle w:val="Heading4"/>
        <w:jc w:val="both"/>
        <w:rPr/>
      </w:pPr>
      <w:bookmarkStart w:colFirst="0" w:colLast="0" w:name="_mm06k9i97cnp" w:id="145"/>
      <w:bookmarkEnd w:id="145"/>
      <w:r w:rsidDel="00000000" w:rsidR="00000000" w:rsidRPr="00000000">
        <w:rPr>
          <w:rtl w:val="0"/>
        </w:rPr>
        <w:t xml:space="preserve">3.4.1.4 Elimination of Centrioles in Somatic Cells</w:t>
      </w:r>
    </w:p>
    <w:p w:rsidR="00000000" w:rsidDel="00000000" w:rsidP="00000000" w:rsidRDefault="00000000" w:rsidRPr="00000000" w14:paraId="00000532">
      <w:pPr>
        <w:jc w:val="both"/>
        <w:rPr/>
      </w:pPr>
      <w:r w:rsidDel="00000000" w:rsidR="00000000" w:rsidRPr="00000000">
        <w:rPr>
          <w:rtl w:val="0"/>
        </w:rPr>
      </w:r>
    </w:p>
    <w:p w:rsidR="00000000" w:rsidDel="00000000" w:rsidP="00000000" w:rsidRDefault="00000000" w:rsidRPr="00000000" w14:paraId="00000533">
      <w:pPr>
        <w:jc w:val="both"/>
        <w:rPr/>
      </w:pPr>
      <w:r w:rsidDel="00000000" w:rsidR="00000000" w:rsidRPr="00000000">
        <w:rPr>
          <w:rtl w:val="0"/>
        </w:rPr>
        <w:t xml:space="preserve">Centriole elimination is by no means restricted to germ cells. Numerous instances of organelle removal have been documented in somatic cells across diverse eukaryotic species. Notably, centriole removal is a hallmark of terminal differentiation in many cell types, as documented in C. elegans and Drosophila. This suggests that: (1) centrioles are necessary for irreversible differentiation during development but not for later maturation, and (2) since centrioles are inherently difficult to repair, they are eliminated once they become redundant in terminally differentiated cells. Generally, centrioles are preserved only in terminally differentiated cells that bear primary cilia, where centrioles function as basal bodies templating the axonemal structure of cilia. However, in sensory neurons of C. elegans, centrioles degenerate following axoneme assembly (Serwas et al., 2017), leaving only concentrated PCM components at the ciliary base (Magescas et al., 2021). This finding further highlights the potential hazards posed by centrioles due to entropy accumulation over time as a result of their irreparability.</w:t>
      </w:r>
    </w:p>
    <w:p w:rsidR="00000000" w:rsidDel="00000000" w:rsidP="00000000" w:rsidRDefault="00000000" w:rsidRPr="00000000" w14:paraId="00000534">
      <w:pPr>
        <w:jc w:val="both"/>
        <w:rPr/>
      </w:pPr>
      <w:r w:rsidDel="00000000" w:rsidR="00000000" w:rsidRPr="00000000">
        <w:rPr>
          <w:rtl w:val="0"/>
        </w:rPr>
      </w:r>
    </w:p>
    <w:p w:rsidR="00000000" w:rsidDel="00000000" w:rsidP="00000000" w:rsidRDefault="00000000" w:rsidRPr="00000000" w14:paraId="00000535">
      <w:pPr>
        <w:pStyle w:val="Heading4"/>
        <w:jc w:val="both"/>
        <w:rPr/>
      </w:pPr>
      <w:bookmarkStart w:colFirst="0" w:colLast="0" w:name="_ws1zd3yggalo" w:id="146"/>
      <w:bookmarkEnd w:id="146"/>
      <w:r w:rsidDel="00000000" w:rsidR="00000000" w:rsidRPr="00000000">
        <w:rPr>
          <w:rtl w:val="0"/>
        </w:rPr>
        <w:t xml:space="preserve">3.4.1.5 How Pervasive is Centriole Elimination During Development?</w:t>
      </w:r>
    </w:p>
    <w:p w:rsidR="00000000" w:rsidDel="00000000" w:rsidP="00000000" w:rsidRDefault="00000000" w:rsidRPr="00000000" w14:paraId="00000536">
      <w:pPr>
        <w:jc w:val="both"/>
        <w:rPr/>
      </w:pPr>
      <w:r w:rsidDel="00000000" w:rsidR="00000000" w:rsidRPr="00000000">
        <w:rPr>
          <w:rtl w:val="0"/>
        </w:rPr>
      </w:r>
    </w:p>
    <w:p w:rsidR="00000000" w:rsidDel="00000000" w:rsidP="00000000" w:rsidRDefault="00000000" w:rsidRPr="00000000" w14:paraId="00000537">
      <w:pPr>
        <w:jc w:val="both"/>
        <w:rPr/>
      </w:pPr>
      <w:r w:rsidDel="00000000" w:rsidR="00000000" w:rsidRPr="00000000">
        <w:rPr>
          <w:rtl w:val="0"/>
        </w:rPr>
        <w:t xml:space="preserve">This question was comprehensively addressed during C. elegans embryogenesis (Kalbfuss et al., 2023). Given that nematodes possess ciliated sensory neurons but lack motile cilia and flagella, centriole elimination could be studied without the confounding influence of cilia and flagellar template constraints. Systematic analysis in L1 larvae revealed that centrioles are eliminated in approximately 88% of cells during C. elegans embryogenesis (Kalbfuss, N., &amp; Gönczy, P., 2023). Detailed cell lineage tracing further demonstrated that centriole elimination occurs in a highly stereotypical manner, at defined developmental time points for each specific cell type.</w:t>
      </w:r>
    </w:p>
    <w:p w:rsidR="00000000" w:rsidDel="00000000" w:rsidP="00000000" w:rsidRDefault="00000000" w:rsidRPr="00000000" w14:paraId="00000538">
      <w:pPr>
        <w:jc w:val="both"/>
        <w:rPr/>
      </w:pPr>
      <w:r w:rsidDel="00000000" w:rsidR="00000000" w:rsidRPr="00000000">
        <w:rPr>
          <w:rtl w:val="0"/>
        </w:rPr>
      </w:r>
    </w:p>
    <w:p w:rsidR="00000000" w:rsidDel="00000000" w:rsidP="00000000" w:rsidRDefault="00000000" w:rsidRPr="00000000" w14:paraId="00000539">
      <w:pPr>
        <w:jc w:val="both"/>
        <w:rPr/>
      </w:pPr>
      <w:r w:rsidDel="00000000" w:rsidR="00000000" w:rsidRPr="00000000">
        <w:rPr>
          <w:rtl w:val="0"/>
        </w:rPr>
        <w:t xml:space="preserve">Interestingly, centriole elimination frequently occurs in cell types that form syncytia or undergo polyploidization, such as Drosophila follicular cells, nurse cells, midgut enterocytes, secretory salivary gland cells, enterocytes, adipocytes, and intestinal cells of C. elegans. However, numerous examples demonstrate that neither polyploidization nor syncytium formation is a strictly necessary or sufficient condition for systematic centriole elimination. For instance, some polyploid cells retain centrioles or even amplify them, as observed in polyploid giant trophoblast cells of mammals (Buss et al., 2022). Additionally, centrioles persist in certain polyploidized cells that re-enter mitosis, such as the rectal papillary cells of Drosophila. Moreover, centriole elimination also occurs in cells that do not undergo either syncytium formation or polyploidization, including most cells during C. elegans embryogenesis, as well as ommatidial and interommatidial cells in the Drosophila eye. In terminally differentiated human erythrocytes, centrioles are actively extruded from the cell.</w:t>
      </w:r>
    </w:p>
    <w:p w:rsidR="00000000" w:rsidDel="00000000" w:rsidP="00000000" w:rsidRDefault="00000000" w:rsidRPr="00000000" w14:paraId="0000053A">
      <w:pPr>
        <w:jc w:val="both"/>
        <w:rPr/>
      </w:pPr>
      <w:r w:rsidDel="00000000" w:rsidR="00000000" w:rsidRPr="00000000">
        <w:rPr>
          <w:rtl w:val="0"/>
        </w:rPr>
      </w:r>
    </w:p>
    <w:p w:rsidR="00000000" w:rsidDel="00000000" w:rsidP="00000000" w:rsidRDefault="00000000" w:rsidRPr="00000000" w14:paraId="0000053B">
      <w:pPr>
        <w:jc w:val="both"/>
        <w:rPr/>
      </w:pPr>
      <w:r w:rsidDel="00000000" w:rsidR="00000000" w:rsidRPr="00000000">
        <w:rPr>
          <w:rtl w:val="0"/>
        </w:rPr>
        <w:t xml:space="preserve">The fact that centrioles are eliminated in a stereotypical manner in certain cell types but not in others suggests that this process is not merely a consequence of inevitable centriole degradation over time due to their irreparability but rather an actively programmed event. Merely exiting the cell cycle is insufficient to trigger organelle removal, as evidenced by numerous terminally differentiated cells that retain cilia or flagella, along with their centrioles. Furthermore, in C. elegans, some terminally differentiated cells in the adult organism maintain foci enriched in centriolar proteins, whereas others, which exited the cell cycle later, do not. These observations collectively imply that centriole elimination should be regarded as a manifestation of cell fate, a hallmark of irreversible differentiation processes. Correspondingly, in C. elegans embryos, altering the fate of a progenitor cell that typically generates cells devoid of centrioles, such as pharyngeal cells, into that of a progenitor that usually gives rise to centriole-containing cells, such as intestinal cells, results in the retention of centrioles. Similarly, preventing the transdifferentiation of a cell that normally retains centrioles into one that typically eliminates them also alters the fate of centrioles, leading to their preservation.</w:t>
      </w:r>
    </w:p>
    <w:p w:rsidR="00000000" w:rsidDel="00000000" w:rsidP="00000000" w:rsidRDefault="00000000" w:rsidRPr="00000000" w14:paraId="0000053C">
      <w:pPr>
        <w:jc w:val="both"/>
        <w:rPr/>
      </w:pPr>
      <w:r w:rsidDel="00000000" w:rsidR="00000000" w:rsidRPr="00000000">
        <w:rPr>
          <w:rtl w:val="0"/>
        </w:rPr>
        <w:t xml:space="preserve">Centriole elimination is by no means restricted to female germ cells but is widely observed in cells that lack cilia or flagella.</w:t>
      </w:r>
    </w:p>
    <w:p w:rsidR="00000000" w:rsidDel="00000000" w:rsidP="00000000" w:rsidRDefault="00000000" w:rsidRPr="00000000" w14:paraId="0000053D">
      <w:pPr>
        <w:jc w:val="both"/>
        <w:rPr/>
      </w:pPr>
      <w:r w:rsidDel="00000000" w:rsidR="00000000" w:rsidRPr="00000000">
        <w:rPr>
          <w:rtl w:val="0"/>
        </w:rPr>
      </w:r>
    </w:p>
    <w:p w:rsidR="00000000" w:rsidDel="00000000" w:rsidP="00000000" w:rsidRDefault="00000000" w:rsidRPr="00000000" w14:paraId="0000053E">
      <w:pPr>
        <w:pStyle w:val="Heading3"/>
        <w:jc w:val="both"/>
        <w:rPr/>
      </w:pPr>
      <w:bookmarkStart w:colFirst="0" w:colLast="0" w:name="_wp3zgs25uy9y" w:id="147"/>
      <w:bookmarkEnd w:id="147"/>
      <w:r w:rsidDel="00000000" w:rsidR="00000000" w:rsidRPr="00000000">
        <w:rPr>
          <w:rtl w:val="0"/>
        </w:rPr>
        <w:t xml:space="preserve">3.4.2 Possible Reasons for Centriole Elimination</w:t>
      </w:r>
    </w:p>
    <w:p w:rsidR="00000000" w:rsidDel="00000000" w:rsidP="00000000" w:rsidRDefault="00000000" w:rsidRPr="00000000" w14:paraId="0000053F">
      <w:pPr>
        <w:jc w:val="both"/>
        <w:rPr/>
      </w:pPr>
      <w:r w:rsidDel="00000000" w:rsidR="00000000" w:rsidRPr="00000000">
        <w:rPr>
          <w:rtl w:val="0"/>
        </w:rPr>
      </w:r>
    </w:p>
    <w:p w:rsidR="00000000" w:rsidDel="00000000" w:rsidP="00000000" w:rsidRDefault="00000000" w:rsidRPr="00000000" w14:paraId="00000540">
      <w:pPr>
        <w:jc w:val="both"/>
        <w:rPr/>
      </w:pPr>
      <w:r w:rsidDel="00000000" w:rsidR="00000000" w:rsidRPr="00000000">
        <w:rPr>
          <w:rtl w:val="0"/>
        </w:rPr>
        <w:t xml:space="preserve">In the context of oogenesis, the answer is straightforward: to ensure species continuity by resetting the cytogenetic status (restoring totipotency). Indeed, centriole elimination from the female gamete is essential in most metazoan organisms to ensure the correct number of centrioles in the zygote, thereby facilitating the assembly of a bipolar spindle (Manandhar et al., 2005). Failure to do so risks the formation of a tetrapolar spindle, leading to aberrant chromosome segregation and abortive development. This is corroborated by experiments on P. miniata, where experimentally induced retention of maternal centrioles in the zygote results in the formation of a tetrapolar spindle (Uetake et al., 2002). Similarly, in Drosophila, the retention of maternal centrioles interferes with meiotic spindle assembly, causes mitotic defects, and leads to embryonic developmental failure. Furthermore, in pathological polyspermy, such as in sea urchins, excess centrioles give rise to multipolar spindles and improper chromosome segregation (Snook et al., 2011).</w:t>
      </w:r>
    </w:p>
    <w:p w:rsidR="00000000" w:rsidDel="00000000" w:rsidP="00000000" w:rsidRDefault="00000000" w:rsidRPr="00000000" w14:paraId="00000541">
      <w:pPr>
        <w:jc w:val="both"/>
        <w:rPr/>
      </w:pPr>
      <w:r w:rsidDel="00000000" w:rsidR="00000000" w:rsidRPr="00000000">
        <w:rPr>
          <w:rtl w:val="0"/>
        </w:rPr>
      </w:r>
    </w:p>
    <w:p w:rsidR="00000000" w:rsidDel="00000000" w:rsidP="00000000" w:rsidRDefault="00000000" w:rsidRPr="00000000" w14:paraId="00000542">
      <w:pPr>
        <w:jc w:val="both"/>
        <w:rPr/>
      </w:pPr>
      <w:r w:rsidDel="00000000" w:rsidR="00000000" w:rsidRPr="00000000">
        <w:rPr>
          <w:rtl w:val="0"/>
        </w:rPr>
        <w:t xml:space="preserve">One plausible explanation is that the requirement for at least one centriole/centrosome during spermatogenesis to seed axonemal formation of the flagellum constrains the evolution of elimination mechanisms. Additionally, centriole elimination during oogenesis may function as a barrier against parthenogenesis, as demonstrated in Xenopus embryos, where injection of purified human centrosomes can lead to successful parthenogenetic development (Maller et al., 1976). The Centriolar Theory of Differentiation postulates that the primary biological rationale for centriole elimination in oocytes is the restoration of totipotency in the new organism.</w:t>
      </w:r>
    </w:p>
    <w:p w:rsidR="00000000" w:rsidDel="00000000" w:rsidP="00000000" w:rsidRDefault="00000000" w:rsidRPr="00000000" w14:paraId="00000543">
      <w:pPr>
        <w:jc w:val="both"/>
        <w:rPr/>
      </w:pPr>
      <w:r w:rsidDel="00000000" w:rsidR="00000000" w:rsidRPr="00000000">
        <w:rPr>
          <w:rtl w:val="0"/>
        </w:rPr>
      </w:r>
    </w:p>
    <w:p w:rsidR="00000000" w:rsidDel="00000000" w:rsidP="00000000" w:rsidRDefault="00000000" w:rsidRPr="00000000" w14:paraId="00000544">
      <w:pPr>
        <w:jc w:val="both"/>
        <w:rPr/>
      </w:pPr>
      <w:r w:rsidDel="00000000" w:rsidR="00000000" w:rsidRPr="00000000">
        <w:rPr>
          <w:rtl w:val="0"/>
        </w:rPr>
        <w:t xml:space="preserve">Unlike in oogenesis, the biological significance of centriole elimination in terminally differentiated somatic cells remains largely unexplored, apart from the Centriolar Theory of Aging, which posits that the accumulation of old centrioles (and entropy) is a fundamental driver of organismal aging. The current lack of understanding regarding this proposed significance is largely due to an insufficient grasp of the underlying mechanisms and, consequently, the means to artificially preserve centrioles. Therefore, we can only speculate on potential reasons why centriole elimination may be advantageous in terminally differentiated somatic cells. First, beyond entropy accumulation in old centrioles, it is possible that aging centrioles must be removed to prevent the formation of uncontrolled microtubule-organizing centers (MTOCs). This could be particularly important in differentiated cell types where non-centrosomal MTOCs operate (Sanchez, A. D., &amp; Feldman, J. L., 2017). Second, centriole elimination might help prevent inappropriate proliferation. Human cells lacking centrioles exhibit a p53-dependent G1/S arrest (Mikule et al., 2007). Thus, eliminating old centrioles could serve as an additional regulatory step to curtail unrestrained proliferation, thereby reinforcing tumor suppression. Third, centriole elimination (whether of old or young centrioles) may be required to erase information stored within the organelle, such as post-translational modifications (PTMs) of stable components. Since centrioles are conservatively inherited across cell generations, their components have the potential to transmit information over extended periods (Kochanski, R. S., &amp; Borisy, G. G., 1990). This information potential is illustrated by the behavior of stem cells in Drosophila, which invariably retain either the centrosome containing the old or young mother centriole, depending on the tissue type (Conduit, P. T., &amp; Raff, J. W., 2010). Consequently, temporal information may be encoded in centriole lineage and necessitate erasure under specific circumstances. Finally, centriole elimination may be crucial in terminally differentiating cells to prevent primary cilium formation, which could pose risks by aberrantly activating signaling pathways dependent on this structure, triggering apoptosis, and ultimately erasing cytogenetic potency information to restore totipotency.</w:t>
      </w:r>
    </w:p>
    <w:p w:rsidR="00000000" w:rsidDel="00000000" w:rsidP="00000000" w:rsidRDefault="00000000" w:rsidRPr="00000000" w14:paraId="00000545">
      <w:pPr>
        <w:jc w:val="both"/>
        <w:rPr/>
      </w:pPr>
      <w:r w:rsidDel="00000000" w:rsidR="00000000" w:rsidRPr="00000000">
        <w:rPr>
          <w:rtl w:val="0"/>
        </w:rPr>
      </w:r>
    </w:p>
    <w:p w:rsidR="00000000" w:rsidDel="00000000" w:rsidP="00000000" w:rsidRDefault="00000000" w:rsidRPr="00000000" w14:paraId="00000546">
      <w:pPr>
        <w:jc w:val="both"/>
        <w:rPr/>
      </w:pPr>
      <w:r w:rsidDel="00000000" w:rsidR="00000000" w:rsidRPr="00000000">
        <w:rPr>
          <w:rtl w:val="0"/>
        </w:rPr>
        <w:t xml:space="preserve">In addition to its fundamental importance in oogenesis, future research into centriole elimination mechanisms is expected to shed light on the significance of this process in specific somatic cell types.</w:t>
      </w:r>
    </w:p>
    <w:p w:rsidR="00000000" w:rsidDel="00000000" w:rsidP="00000000" w:rsidRDefault="00000000" w:rsidRPr="00000000" w14:paraId="00000547">
      <w:pPr>
        <w:jc w:val="both"/>
        <w:rPr/>
      </w:pPr>
      <w:r w:rsidDel="00000000" w:rsidR="00000000" w:rsidRPr="00000000">
        <w:rPr>
          <w:rtl w:val="0"/>
        </w:rPr>
      </w:r>
    </w:p>
    <w:p w:rsidR="00000000" w:rsidDel="00000000" w:rsidP="00000000" w:rsidRDefault="00000000" w:rsidRPr="00000000" w14:paraId="00000548">
      <w:pPr>
        <w:pStyle w:val="Heading3"/>
        <w:jc w:val="both"/>
        <w:rPr/>
      </w:pPr>
      <w:bookmarkStart w:colFirst="0" w:colLast="0" w:name="_1ta96nvv08sl" w:id="148"/>
      <w:bookmarkEnd w:id="148"/>
      <w:r w:rsidDel="00000000" w:rsidR="00000000" w:rsidRPr="00000000">
        <w:rPr>
          <w:rtl w:val="0"/>
        </w:rPr>
        <w:t xml:space="preserve">3.4.3 Regulation of Centriole Elimination</w:t>
      </w:r>
    </w:p>
    <w:p w:rsidR="00000000" w:rsidDel="00000000" w:rsidP="00000000" w:rsidRDefault="00000000" w:rsidRPr="00000000" w14:paraId="00000549">
      <w:pPr>
        <w:jc w:val="both"/>
        <w:rPr/>
      </w:pPr>
      <w:r w:rsidDel="00000000" w:rsidR="00000000" w:rsidRPr="00000000">
        <w:rPr>
          <w:rtl w:val="0"/>
        </w:rPr>
      </w:r>
    </w:p>
    <w:p w:rsidR="00000000" w:rsidDel="00000000" w:rsidP="00000000" w:rsidRDefault="00000000" w:rsidRPr="00000000" w14:paraId="0000054A">
      <w:pPr>
        <w:jc w:val="both"/>
        <w:rPr/>
      </w:pPr>
      <w:r w:rsidDel="00000000" w:rsidR="00000000" w:rsidRPr="00000000">
        <w:rPr>
          <w:rtl w:val="0"/>
        </w:rPr>
        <w:t xml:space="preserve">Similar to the variability in the time required for centriole assembly, ranging from mere minutes in early embryos of Spisula, Drosophila, or C. elegans (Pelletier et al., 2006) to several hours in cultured human cells, significant variability appears to apply to centriole elimination as well (Kong et al., 2020). Ultrastructural analysis of centriole elimination during C. elegans oogenesis revealed that the initial structural change involves the loss of the central tube in late pachytene, which resides inside the centriole microtubule wall. By early diplotene, approximately four hours later, only remnants of centriolar microtubules remain. In Drosophila oogenesis, centriolar protein foci diminish in intensity starting at stages 9–12 and become entirely undetectable by stage 14, corresponding to roughly one day of development (He, L., Wang, X., &amp; Montell, D. J., 2011). The specific timeline of centriole elimination varies across species and cell types, underscoring its dynamic and regulated nature.</w:t>
      </w:r>
    </w:p>
    <w:p w:rsidR="00000000" w:rsidDel="00000000" w:rsidP="00000000" w:rsidRDefault="00000000" w:rsidRPr="00000000" w14:paraId="0000054B">
      <w:pPr>
        <w:jc w:val="both"/>
        <w:rPr/>
      </w:pPr>
      <w:r w:rsidDel="00000000" w:rsidR="00000000" w:rsidRPr="00000000">
        <w:rPr>
          <w:rtl w:val="0"/>
        </w:rPr>
      </w:r>
    </w:p>
    <w:p w:rsidR="00000000" w:rsidDel="00000000" w:rsidP="00000000" w:rsidRDefault="00000000" w:rsidRPr="00000000" w14:paraId="0000054C">
      <w:pPr>
        <w:jc w:val="both"/>
        <w:rPr/>
      </w:pPr>
      <w:r w:rsidDel="00000000" w:rsidR="00000000" w:rsidRPr="00000000">
        <w:rPr>
          <w:rtl w:val="0"/>
        </w:rPr>
        <w:t xml:space="preserve">The elimination of centrioles frequently takes place in close proximity to the nucleus, but it can also occur in other regions of the cell. For instance, in C. elegans, centriole foci are positioned at a distance from the nuclear envelope during elimination because they migrate through the dendrite of the PQR cell in L1 larvae (Li et al., 2017). In this context, the centriole-associated SAS-6::GFP focus vanishes when it is approximately 5 µm away from the cell body. Furthermore, one of the two centrioles remains close to the nucleus and retains SAS-6 for a longer duration, increasing the likelihood that the elimination mechanism is more active at a distance from the nucleus or that the nucleus plays a protective role. Similarly, in the worm embryo, centriole elimination in ciliated neurons begins when these cells initiate retrograde migration, during which the nucleus moves away from the centrioles that remain at the tip of the dendrite. However, it remains possible that in the aforementioned cases, centriole elimination is also initiated when the centrioles are still near the nucleus, but the monitoring of only certain centriole proteins fails to reveal this event. In line with the idea that centrioles undergo restructuring prior to their migration, SAS-4 cannot be detected on the centrioles of the PQR neuron even when it is still located near the nucleus. Collectively, these observations indicate that the subcellular positioning of eliminated centrioles may vary depending on the physiological context. Nevertheless, a high-resolution ultrastructural analysis is required to more precisely determine the location within the cell where organelle elimination begins.</w:t>
      </w:r>
    </w:p>
    <w:p w:rsidR="00000000" w:rsidDel="00000000" w:rsidP="00000000" w:rsidRDefault="00000000" w:rsidRPr="00000000" w14:paraId="0000054D">
      <w:pPr>
        <w:jc w:val="both"/>
        <w:rPr/>
      </w:pPr>
      <w:r w:rsidDel="00000000" w:rsidR="00000000" w:rsidRPr="00000000">
        <w:rPr>
          <w:rtl w:val="0"/>
        </w:rPr>
      </w:r>
    </w:p>
    <w:p w:rsidR="00000000" w:rsidDel="00000000" w:rsidP="00000000" w:rsidRDefault="00000000" w:rsidRPr="00000000" w14:paraId="0000054E">
      <w:pPr>
        <w:pStyle w:val="Heading4"/>
        <w:jc w:val="both"/>
        <w:rPr/>
      </w:pPr>
      <w:bookmarkStart w:colFirst="0" w:colLast="0" w:name="_c3wz7epr7zyy" w:id="149"/>
      <w:bookmarkEnd w:id="149"/>
      <w:r w:rsidDel="00000000" w:rsidR="00000000" w:rsidRPr="00000000">
        <w:rPr>
          <w:rtl w:val="0"/>
        </w:rPr>
        <w:t xml:space="preserve">3.4.3.1 Selectivity</w:t>
      </w:r>
    </w:p>
    <w:p w:rsidR="00000000" w:rsidDel="00000000" w:rsidP="00000000" w:rsidRDefault="00000000" w:rsidRPr="00000000" w14:paraId="0000054F">
      <w:pPr>
        <w:jc w:val="both"/>
        <w:rPr/>
      </w:pPr>
      <w:r w:rsidDel="00000000" w:rsidR="00000000" w:rsidRPr="00000000">
        <w:rPr>
          <w:rtl w:val="0"/>
        </w:rPr>
      </w:r>
    </w:p>
    <w:p w:rsidR="00000000" w:rsidDel="00000000" w:rsidP="00000000" w:rsidRDefault="00000000" w:rsidRPr="00000000" w14:paraId="00000550">
      <w:pPr>
        <w:jc w:val="both"/>
        <w:rPr/>
      </w:pPr>
      <w:r w:rsidDel="00000000" w:rsidR="00000000" w:rsidRPr="00000000">
        <w:rPr>
          <w:rtl w:val="0"/>
        </w:rPr>
        <w:t xml:space="preserve">Female germ cells, such as those in C. elegans, contain two pairs of centrioles/procentrioles following the meiotic S-phase, all of which are subsequently eliminated (Mikeladze-Dvali et al., 2012). Interestingly, the oocyte in Drosophila inherits a significantly greater number of centrioles than just four from the 15 interconnected nurse cells and somehow manages to eliminate all of them. Consequently, centriole elimination in worms and flies appears to target both centrioles and procentrioles and governs more than four organelles in flies. In contrast, the elimination mechanism in starfish is specifically selective for daughter centrioles. Indeed, experimental retention of maternal centrioles in the cytoplasm by preventing polar body extrusion leads to their persistence in P. miniata. Under these experimental conditions, the maternal centrioles maintain PCM and MTOC activity, whereas both daughter centrioles are eliminated. Therefore, in this case, centriole removal specifically targets daughter centrioles. Moreover, these findings suggest that the elimination mechanism can act on not just a single daughter centriole, as typically expected, but on at least two. A comparable selectivity is observed in another starfish species, A. forbesi, except that in this case, the experimentally retained maternal centrioles, while persisting, lose their MTOC activity. Overall, these observations suggest that, depending on the cellular context, centriole elimination can either affect all present centrioles or selectively target a subset of them.</w:t>
      </w:r>
    </w:p>
    <w:p w:rsidR="00000000" w:rsidDel="00000000" w:rsidP="00000000" w:rsidRDefault="00000000" w:rsidRPr="00000000" w14:paraId="00000551">
      <w:pPr>
        <w:jc w:val="both"/>
        <w:rPr/>
      </w:pPr>
      <w:r w:rsidDel="00000000" w:rsidR="00000000" w:rsidRPr="00000000">
        <w:rPr>
          <w:rtl w:val="0"/>
        </w:rPr>
      </w:r>
    </w:p>
    <w:p w:rsidR="00000000" w:rsidDel="00000000" w:rsidP="00000000" w:rsidRDefault="00000000" w:rsidRPr="00000000" w14:paraId="00000552">
      <w:pPr>
        <w:pStyle w:val="Heading4"/>
        <w:jc w:val="both"/>
        <w:rPr/>
      </w:pPr>
      <w:bookmarkStart w:colFirst="0" w:colLast="0" w:name="_w78u7bx0l53k" w:id="150"/>
      <w:bookmarkEnd w:id="150"/>
      <w:r w:rsidDel="00000000" w:rsidR="00000000" w:rsidRPr="00000000">
        <w:rPr>
          <w:rtl w:val="0"/>
        </w:rPr>
        <w:t xml:space="preserve">3.4.3.2 Elimination in Polyspermy</w:t>
      </w:r>
    </w:p>
    <w:p w:rsidR="00000000" w:rsidDel="00000000" w:rsidP="00000000" w:rsidRDefault="00000000" w:rsidRPr="00000000" w14:paraId="00000553">
      <w:pPr>
        <w:jc w:val="both"/>
        <w:rPr/>
      </w:pPr>
      <w:r w:rsidDel="00000000" w:rsidR="00000000" w:rsidRPr="00000000">
        <w:rPr>
          <w:rtl w:val="0"/>
        </w:rPr>
      </w:r>
    </w:p>
    <w:p w:rsidR="00000000" w:rsidDel="00000000" w:rsidP="00000000" w:rsidRDefault="00000000" w:rsidRPr="00000000" w14:paraId="00000554">
      <w:pPr>
        <w:jc w:val="both"/>
        <w:rPr/>
      </w:pPr>
      <w:r w:rsidDel="00000000" w:rsidR="00000000" w:rsidRPr="00000000">
        <w:rPr>
          <w:rtl w:val="0"/>
        </w:rPr>
        <w:t xml:space="preserve">In echinoderms and other species where centrioles are eliminated during and after meiotic divisions, sperm-derived centrioles exist in the same cytoplasmic environment as the daughter centriole derived from the oocyte, which is about to be eliminated. This raises the question of how sperm-derived centrioles evade elimination in the newly fertilized embryo. Conceptually, either the elimination mechanism acts locally, or paternal and maternal centrioles are somehow distinct, ensuring that the elimination process exclusively targets the organelle originating from the female gamete.</w:t>
      </w:r>
    </w:p>
    <w:p w:rsidR="00000000" w:rsidDel="00000000" w:rsidP="00000000" w:rsidRDefault="00000000" w:rsidRPr="00000000" w14:paraId="00000555">
      <w:pPr>
        <w:jc w:val="both"/>
        <w:rPr/>
      </w:pPr>
      <w:r w:rsidDel="00000000" w:rsidR="00000000" w:rsidRPr="00000000">
        <w:rPr>
          <w:rtl w:val="0"/>
        </w:rPr>
      </w:r>
    </w:p>
    <w:p w:rsidR="00000000" w:rsidDel="00000000" w:rsidP="00000000" w:rsidRDefault="00000000" w:rsidRPr="00000000" w14:paraId="00000556">
      <w:pPr>
        <w:jc w:val="both"/>
        <w:rPr/>
      </w:pPr>
      <w:r w:rsidDel="00000000" w:rsidR="00000000" w:rsidRPr="00000000">
        <w:rPr>
          <w:rtl w:val="0"/>
        </w:rPr>
        <w:t xml:space="preserve">The selectivity of centriole elimination becomes even more evident during physiological polyspermy, where multiple sperm fertilizations are required for successful embryogenesis (Iwao et al., 2020). In the newt Cynops pyrrhogaster and the ctenophore Beroe ovata, multiple sperm enter the oocyte, yet only two large microtubule asters form, presumably around two sperm-derived centrioles. Consequently, the remaining centrioles must be either eliminated or inactivated (Carré, D., &amp; Sardet, C., 1984). It is likely that mechanisms leading to the removal of supernumerary sperm nuclei, termed accessory nuclei, also contribute to the elimination of their accompanying centrioles. In B. ovata, the female pronucleus migrates toward multiple sperm-derived nuclei, probing them before fusing with only one, while the others subsequently degenerate (Rouvière et al., 1994). It has been proposed that failure to enter mitosis leads to the degeneration of accessory nuclei since the injection of metaphase-promoting factor (MPF) from unfertilized Xenopus eggs into fertilized Cynops eggs results in the persistence of accessory nuclei and multipolar divisions, also indicating the presence of centrioles (Iwao, Y., &amp; Elinson, R. P., 1990). Typically, accessory nuclei are highly ubiquitinated and enriched with autophagosome markers (LC3) and autolysosome markers (LAMP1), in contrast to the zygotic nucleus, suggesting that autophagy plays a role in the elimination of accessory nuclei. More broadly, it is possible that autophagy also participates in the removal of their accompanying centrioles. Additionally, ubiquitination prepares proteins for degradation via the proteasome (Nandi et al., 2006), which could also contribute to centriole elimination.</w:t>
      </w:r>
    </w:p>
    <w:p w:rsidR="00000000" w:rsidDel="00000000" w:rsidP="00000000" w:rsidRDefault="00000000" w:rsidRPr="00000000" w14:paraId="00000557">
      <w:pPr>
        <w:jc w:val="both"/>
        <w:rPr/>
      </w:pPr>
      <w:r w:rsidDel="00000000" w:rsidR="00000000" w:rsidRPr="00000000">
        <w:rPr>
          <w:rtl w:val="0"/>
        </w:rPr>
      </w:r>
    </w:p>
    <w:p w:rsidR="00000000" w:rsidDel="00000000" w:rsidP="00000000" w:rsidRDefault="00000000" w:rsidRPr="00000000" w14:paraId="00000558">
      <w:pPr>
        <w:jc w:val="both"/>
        <w:rPr/>
      </w:pPr>
      <w:r w:rsidDel="00000000" w:rsidR="00000000" w:rsidRPr="00000000">
        <w:rPr>
          <w:rtl w:val="0"/>
        </w:rPr>
        <w:t xml:space="preserve">It has been suggested that the selection of which aster is preserved is mediated by differences in the availability of specific proteins, particularly α-/β-/γ-tubulins. By analogy, variations in the cytoplasmic pool of centriolar proteins may be decisive in balancing centriole retention and elimination. Another hypothesis proposes that the female pronucleus may be enriched with factors necessary for aster retention, which are transported to the nearest sperm pronucleus via microtubules. By analogy, it is conceivable that the female pronucleus is also enriched with factors favoring centriole retention, which are similarly delivered to the rescued centriole pair.</w:t>
      </w:r>
    </w:p>
    <w:p w:rsidR="00000000" w:rsidDel="00000000" w:rsidP="00000000" w:rsidRDefault="00000000" w:rsidRPr="00000000" w14:paraId="00000559">
      <w:pPr>
        <w:jc w:val="both"/>
        <w:rPr/>
      </w:pPr>
      <w:r w:rsidDel="00000000" w:rsidR="00000000" w:rsidRPr="00000000">
        <w:rPr>
          <w:rtl w:val="0"/>
        </w:rPr>
        <w:t xml:space="preserve">Thus, physiological polyspermy vividly illustrates that the fate of multiple centrioles can diverge within the same cytoplasmic environment.</w:t>
      </w:r>
    </w:p>
    <w:p w:rsidR="00000000" w:rsidDel="00000000" w:rsidP="00000000" w:rsidRDefault="00000000" w:rsidRPr="00000000" w14:paraId="0000055A">
      <w:pPr>
        <w:jc w:val="both"/>
        <w:rPr/>
      </w:pPr>
      <w:r w:rsidDel="00000000" w:rsidR="00000000" w:rsidRPr="00000000">
        <w:rPr>
          <w:rtl w:val="0"/>
        </w:rPr>
      </w:r>
    </w:p>
    <w:p w:rsidR="00000000" w:rsidDel="00000000" w:rsidP="00000000" w:rsidRDefault="00000000" w:rsidRPr="00000000" w14:paraId="0000055B">
      <w:pPr>
        <w:pStyle w:val="Heading3"/>
        <w:jc w:val="both"/>
        <w:rPr/>
      </w:pPr>
      <w:bookmarkStart w:colFirst="0" w:colLast="0" w:name="_l645ksustgbt" w:id="151"/>
      <w:bookmarkEnd w:id="151"/>
      <w:r w:rsidDel="00000000" w:rsidR="00000000" w:rsidRPr="00000000">
        <w:rPr>
          <w:rtl w:val="0"/>
        </w:rPr>
        <w:t xml:space="preserve">3.4.4 Centriole Maintenance</w:t>
      </w:r>
    </w:p>
    <w:p w:rsidR="00000000" w:rsidDel="00000000" w:rsidP="00000000" w:rsidRDefault="00000000" w:rsidRPr="00000000" w14:paraId="0000055C">
      <w:pPr>
        <w:jc w:val="both"/>
        <w:rPr/>
      </w:pPr>
      <w:r w:rsidDel="00000000" w:rsidR="00000000" w:rsidRPr="00000000">
        <w:rPr>
          <w:rtl w:val="0"/>
        </w:rPr>
      </w:r>
    </w:p>
    <w:p w:rsidR="00000000" w:rsidDel="00000000" w:rsidP="00000000" w:rsidRDefault="00000000" w:rsidRPr="00000000" w14:paraId="0000055D">
      <w:pPr>
        <w:jc w:val="both"/>
        <w:rPr/>
      </w:pPr>
      <w:r w:rsidDel="00000000" w:rsidR="00000000" w:rsidRPr="00000000">
        <w:rPr>
          <w:rtl w:val="0"/>
        </w:rPr>
        <w:t xml:space="preserve">The very fact that centrioles can be eliminated in the first place is particularly remarkable, given the overall exceptional stability of these organelles. Unlike cytoplasmic microtubules, which are highly dynamic and depolymerize upon nocodazole or cold treatment, centriolar microtubules do not undergo dynamic instability and remain intact under conditions that dismantle cytoplasmic microtubules (Inoué, S., &amp; Sato, H., 1967). Furthermore, the axoneme of primary cilia, which is built by centrioles and also consists of ninefold microtubule structures, is dynamic and frequently disassembles during each cell cycle, whereas the centriole persists (Kasahara, K., &amp; Inagaki, M., 2021). Similarly, after fertilization, the sperm axoneme is often incorporated into the zygote and subsequently disassembled, while the centrioles remain intact (Fechter et al., 1996). Moreover, while α/β-tubulin dimers exhibit high turnover in cytoplasmic microtubules (Saxton et al., 1984), they do not appear to be significantly turned over within a single cell cycle in human centrioles. Accordingly, pre-existing centrioles persist for days even after centriole formation has been blocked using the Plk4 inhibitor centrinone in p53-deficient human cells (Wong et al., 2015). These results emphasize that centrioles are essential for non-terminally differentiated cells, supporting the Centriole Differentiation Theory, which posits that centrioles are crucial for the transport and distribution of irreversible differentiation inducers until they are fully and sequentially released in the progeny.</w:t>
      </w:r>
    </w:p>
    <w:p w:rsidR="00000000" w:rsidDel="00000000" w:rsidP="00000000" w:rsidRDefault="00000000" w:rsidRPr="00000000" w14:paraId="0000055E">
      <w:pPr>
        <w:jc w:val="both"/>
        <w:rPr/>
      </w:pPr>
      <w:r w:rsidDel="00000000" w:rsidR="00000000" w:rsidRPr="00000000">
        <w:rPr>
          <w:rtl w:val="0"/>
        </w:rPr>
      </w:r>
    </w:p>
    <w:p w:rsidR="00000000" w:rsidDel="00000000" w:rsidP="00000000" w:rsidRDefault="00000000" w:rsidRPr="00000000" w14:paraId="0000055F">
      <w:pPr>
        <w:jc w:val="both"/>
        <w:rPr/>
      </w:pPr>
      <w:r w:rsidDel="00000000" w:rsidR="00000000" w:rsidRPr="00000000">
        <w:rPr>
          <w:rtl w:val="0"/>
        </w:rPr>
        <w:t xml:space="preserve">The structural integrity of centrioles is primarily ensured by the presence of triplet and doublet microtubules, which distinguish them from the cytoplasmic microtubules that exist as single tubular polymers. Typically, cytoplasmic microtubules are composed of 13 protofilaments, forming a hollow cylindrical structure. However, in the majority of species, centriolar microtubules adopt a unique geometric arrangement by forming either triplet or doublet configurations. Each triplet consists of a single complete microtubule, known as the A-microtubule, which is composed of 13 protofilaments, along with two additional incomplete microtubules—B- and C-microtubules—each containing 10 protofilaments. In contrast, doublets consist of only the A- and B-microtubules (Guichard et al., 2013). These structural distinctions are spatially organized within the centriole, where triplet microtubules are predominantly located in the proximal region, while doublet microtubules are found in the distal part. The assembly of these specialized microtubule structures requires the presence of δ-tubulin and ε-tubulin isoforms, which have been identified as essential factors in both the unicellular green alga Chlamydomonas reinhardtii and human cells (Dutcher et al., 2002). In human cells lacking both p53 and either δ-tubulin or ε-tubulin, centrioles fail to develop their characteristic triplet microtubule structure, instead forming unstable singlet microtubules. These aberrant centrioles are prone to disintegration during mitosis, resulting in daughter cells that are initially devoid of centrioles. Subsequently, these cells undergo de novo centriole formation. The proteins TEDC1 and TEDC2 are also thought to play a role in this process, as they interact with δ-tubulin and ε-tubulin, and their deletion results in phenotypic effects similar to those observed when δ-tubulin or ε-tubulin is absent (Breslow et al., 2018). Collectively, these findings suggest that centriole elimination may be initiated through the disruption or weakening of triplet and doublet microtubule structures. However, it is important to note that centrioles in Caenorhabditis elegans are composed of singlet microtubules yet remain remarkably stable, indicating that triplet and doublet microtubules may not be a universal prerequisite for centriole stability.</w:t>
      </w:r>
    </w:p>
    <w:p w:rsidR="00000000" w:rsidDel="00000000" w:rsidP="00000000" w:rsidRDefault="00000000" w:rsidRPr="00000000" w14:paraId="00000560">
      <w:pPr>
        <w:jc w:val="both"/>
        <w:rPr/>
      </w:pPr>
      <w:r w:rsidDel="00000000" w:rsidR="00000000" w:rsidRPr="00000000">
        <w:rPr>
          <w:rtl w:val="0"/>
        </w:rPr>
      </w:r>
    </w:p>
    <w:p w:rsidR="00000000" w:rsidDel="00000000" w:rsidP="00000000" w:rsidRDefault="00000000" w:rsidRPr="00000000" w14:paraId="00000561">
      <w:pPr>
        <w:jc w:val="both"/>
        <w:rPr/>
      </w:pPr>
      <w:r w:rsidDel="00000000" w:rsidR="00000000" w:rsidRPr="00000000">
        <w:rPr>
          <w:rtl w:val="0"/>
        </w:rPr>
        <w:t xml:space="preserve">Another potential mechanism conferring exceptional stability to centrioles involves specific stabilizing proteins. In human cells, such proteins include HsPOC1A and HsPOC1B, both of which associate with microtubules, as well as the pericentriolar material (PCM) component CAP350. Despite their apparent stabilizing function, the precise molecular mechanisms by which these proteins reinforce centriole integrity remain unclear (Le Clech, 2008). Additionally, Centrobin, a protein specifically associated with daughter centrioles, has been implicated in centriole stabilization (Zou et al., 2005). Expression of a truncated version of the tubulin-binding domain of Centrobin (Centrobin-TuBD) results in centriole loss in approximately 25% of cells. Although Centrobin is generally regarded as a component exclusive to procentrioles and daughter centrioles, it has been proposed that Centrobin-TuBD may compete with maternal centriole proteins by binding to tubulin, thereby displacing proteins essential for centriole stability (Gudi et al., 2011). Moreover, Centrobin is known to protect CPAP from proteasomal degradation, as CPAP is absent from centrioles when Centrobin is depleted, and this deficiency can be rescued by proteasome inhibition (Gudi et al., 2015).</w:t>
      </w:r>
    </w:p>
    <w:p w:rsidR="00000000" w:rsidDel="00000000" w:rsidP="00000000" w:rsidRDefault="00000000" w:rsidRPr="00000000" w14:paraId="00000562">
      <w:pPr>
        <w:jc w:val="both"/>
        <w:rPr/>
      </w:pPr>
      <w:r w:rsidDel="00000000" w:rsidR="00000000" w:rsidRPr="00000000">
        <w:rPr>
          <w:rtl w:val="0"/>
        </w:rPr>
      </w:r>
    </w:p>
    <w:p w:rsidR="00000000" w:rsidDel="00000000" w:rsidP="00000000" w:rsidRDefault="00000000" w:rsidRPr="00000000" w14:paraId="00000563">
      <w:pPr>
        <w:jc w:val="both"/>
        <w:rPr/>
      </w:pPr>
      <w:r w:rsidDel="00000000" w:rsidR="00000000" w:rsidRPr="00000000">
        <w:rPr>
          <w:rtl w:val="0"/>
        </w:rPr>
        <w:t xml:space="preserve">The protein Bld10p, which serves as a vertebrate ortholog of Cep135 (Matsuura et al., 2004), has also been identified as a crucial stabilizing factor for centrioles. In Chlamydomonas, centriole assembly is entirely dependent on the presence of Bld10p, as centrioles fail to form in its absence. Additionally, expression of an N-terminally truncated version of Bld10p results in premature loss of the cartwheel structure, suggesting that the connection between the cartwheel and triplet microtubules is unstable without full-length Bld10p. Furthermore, some triplets are entirely absent under these experimental conditions. In Tetrahymena, cells that lack Bld10p and are arrested in the G1 phase—thus preventing the formation of new procentrioles—exhibit a progressive decline in centriole numbers over time (Bayless et al., 2012). Beyond this, Bld10p plays a role in stabilizing A- and C-microtubules while ensuring the correct positioning of triplet microtubules, likely enabling them to withstand the mechanical forces generated by ciliary beating.</w:t>
      </w:r>
    </w:p>
    <w:p w:rsidR="00000000" w:rsidDel="00000000" w:rsidP="00000000" w:rsidRDefault="00000000" w:rsidRPr="00000000" w14:paraId="00000564">
      <w:pPr>
        <w:jc w:val="both"/>
        <w:rPr/>
      </w:pPr>
      <w:r w:rsidDel="00000000" w:rsidR="00000000" w:rsidRPr="00000000">
        <w:rPr>
          <w:rtl w:val="0"/>
        </w:rPr>
      </w:r>
    </w:p>
    <w:p w:rsidR="00000000" w:rsidDel="00000000" w:rsidP="00000000" w:rsidRDefault="00000000" w:rsidRPr="00000000" w14:paraId="00000565">
      <w:pPr>
        <w:jc w:val="both"/>
        <w:rPr/>
      </w:pPr>
      <w:r w:rsidDel="00000000" w:rsidR="00000000" w:rsidRPr="00000000">
        <w:rPr>
          <w:rtl w:val="0"/>
        </w:rPr>
        <w:t xml:space="preserve">It is hypothesized that altering the turnover rates of stabilizing proteins such as HsPOC1A, HsPOC1B, CAP350, or Cep135/Bld10p may prime centrioles for elimination. Proteomic analysis using pulse-SILAC in human cells has revealed a wide range of turnover rates among 145 centriolar and centrosomal proteins, with an average exchange of approximately 57% of the protein pool over a 20-hour period (Jakobsen et al., 2011). NEK2 exhibits the highest turnover rate, with approximately 96% of the centriolar protein pool being replaced within 20 hours, whereas TUBG1 has the lowest rate, exchanging only about 22% in the same time frame. HsPOC1A and HsPOC1B have turnover rates of approximately 35% and 47%, respectively, while Cep350 and Centrobin are more dynamic, with turnover rates of approximately 74% and 73%, respectively. Cep135 has an intermediate turnover rate of about 56%. The cessation of incorporation of high-turnover proteins into centrioles could serve as a rapid mechanism to initiate organelle removal. Conversely, proteins with lower turnover rates may be selectively degraded through post-translational modifications and proteasomal pathways. However, whether turnover rates actively change during centriole elimination and how these changes might be regulated remain unexplored questions.</w:t>
      </w:r>
    </w:p>
    <w:p w:rsidR="00000000" w:rsidDel="00000000" w:rsidP="00000000" w:rsidRDefault="00000000" w:rsidRPr="00000000" w14:paraId="00000566">
      <w:pPr>
        <w:jc w:val="both"/>
        <w:rPr/>
      </w:pPr>
      <w:r w:rsidDel="00000000" w:rsidR="00000000" w:rsidRPr="00000000">
        <w:rPr>
          <w:rtl w:val="0"/>
        </w:rPr>
      </w:r>
    </w:p>
    <w:p w:rsidR="00000000" w:rsidDel="00000000" w:rsidP="00000000" w:rsidRDefault="00000000" w:rsidRPr="00000000" w14:paraId="00000567">
      <w:pPr>
        <w:jc w:val="both"/>
        <w:rPr/>
      </w:pPr>
      <w:r w:rsidDel="00000000" w:rsidR="00000000" w:rsidRPr="00000000">
        <w:rPr>
          <w:rtl w:val="0"/>
        </w:rPr>
        <w:t xml:space="preserve">An additional key centriole stabilizer in C. elegans is SAS-1, as evidenced by the observation that centrioles derived from sperm of sas-1 mutants lose structural integrity shortly after fertilization (Gönczy et al., 1999). Similarly, if maternal SAS-1 function is absent, centrioles initially form but disassemble during embryogenesis. Recently, SAS-1 has also been implicated in centriole elimination during oogenesis, where its disappearance precedes that of other centriolar components and coincides with the loss of the central tube, in which SAS-1 is localized. Moreover, in the sas-1(t1521ts) mutant worms, both centriolar microtubule signals and SAS-4 fade more rapidly than usual, accompanied by premature centriole disintegration. It has been suggested that SAS-1, when expressed in human cells, associates with and stabilizes microtubules (von Tobel et al., 2014). SAS-1 is homologous to human C2CD3, which is essential for centriole completion and primary cilia formation in mammals and mice (Balestra et al., 2013). However, the precise molecular mechanisms by which SAS-1 and possibly C2CD3 contribute to centriole stability remain unclear.</w:t>
      </w:r>
    </w:p>
    <w:p w:rsidR="00000000" w:rsidDel="00000000" w:rsidP="00000000" w:rsidRDefault="00000000" w:rsidRPr="00000000" w14:paraId="00000568">
      <w:pPr>
        <w:jc w:val="both"/>
        <w:rPr/>
      </w:pPr>
      <w:r w:rsidDel="00000000" w:rsidR="00000000" w:rsidRPr="00000000">
        <w:rPr>
          <w:rtl w:val="0"/>
        </w:rPr>
      </w:r>
    </w:p>
    <w:p w:rsidR="00000000" w:rsidDel="00000000" w:rsidP="00000000" w:rsidRDefault="00000000" w:rsidRPr="00000000" w14:paraId="00000569">
      <w:pPr>
        <w:jc w:val="both"/>
        <w:rPr/>
      </w:pPr>
      <w:r w:rsidDel="00000000" w:rsidR="00000000" w:rsidRPr="00000000">
        <w:rPr>
          <w:rtl w:val="0"/>
        </w:rPr>
        <w:t xml:space="preserve">Finally, centriole integrity may depend on post-translational modifications (PTMs) of α- and β-tubulin. Centriolar microtubules undergo extensive PTMs, including acetylation, detyrosination, and polyglutamylation (Janke, C., &amp; Magiera, M. M., 2020). Injection of antibodies targeting polyglutamylated tubulin into human cells results in centriole elimination, suggesting that such PTMs are crucial for centriole maintenance (Bobinnec et al., 1998). However, further research is required to determine whether PTM modulation directly facilitates centriole elimination.</w:t>
      </w:r>
    </w:p>
    <w:p w:rsidR="00000000" w:rsidDel="00000000" w:rsidP="00000000" w:rsidRDefault="00000000" w:rsidRPr="00000000" w14:paraId="0000056A">
      <w:pPr>
        <w:jc w:val="both"/>
        <w:rPr/>
      </w:pPr>
      <w:r w:rsidDel="00000000" w:rsidR="00000000" w:rsidRPr="00000000">
        <w:rPr>
          <w:rtl w:val="0"/>
        </w:rPr>
      </w:r>
    </w:p>
    <w:p w:rsidR="00000000" w:rsidDel="00000000" w:rsidP="00000000" w:rsidRDefault="00000000" w:rsidRPr="00000000" w14:paraId="0000056B">
      <w:pPr>
        <w:pStyle w:val="Heading3"/>
        <w:jc w:val="both"/>
        <w:rPr/>
      </w:pPr>
      <w:bookmarkStart w:colFirst="0" w:colLast="0" w:name="_suqjwea8mmo0" w:id="152"/>
      <w:bookmarkEnd w:id="152"/>
      <w:r w:rsidDel="00000000" w:rsidR="00000000" w:rsidRPr="00000000">
        <w:rPr>
          <w:rtl w:val="0"/>
        </w:rPr>
        <w:t xml:space="preserve">3.4.5 Factors Contributing to Destabilization</w:t>
      </w:r>
    </w:p>
    <w:p w:rsidR="00000000" w:rsidDel="00000000" w:rsidP="00000000" w:rsidRDefault="00000000" w:rsidRPr="00000000" w14:paraId="0000056C">
      <w:pPr>
        <w:jc w:val="both"/>
        <w:rPr/>
      </w:pPr>
      <w:r w:rsidDel="00000000" w:rsidR="00000000" w:rsidRPr="00000000">
        <w:rPr>
          <w:rtl w:val="0"/>
        </w:rPr>
      </w:r>
    </w:p>
    <w:p w:rsidR="00000000" w:rsidDel="00000000" w:rsidP="00000000" w:rsidRDefault="00000000" w:rsidRPr="00000000" w14:paraId="0000056D">
      <w:pPr>
        <w:jc w:val="both"/>
        <w:rPr/>
      </w:pPr>
      <w:r w:rsidDel="00000000" w:rsidR="00000000" w:rsidRPr="00000000">
        <w:rPr>
          <w:rtl w:val="0"/>
        </w:rPr>
        <w:t xml:space="preserve">Given the widespread nature of centriole elimination across various species, it is quite striking that there remains a significant gap in our understanding of the fundamental mechanisms underlying this process. This lack of insight is particularly noteworthy considering the several genome-wide screens that have been conducted, which could have identified key components that contribute to centriole elimination (Neumann et al., 2010). Large-scale genetic and RNA interference-based screens conducted in C. elegans have played a pivotal role in identifying evolutionarily conserved centriole assembly proteins, achieved through the visualization of early embryos using time-lapse differential interference contrast (DIC) microscopy (Sönnichsen et al., 2005). However, intriguingly, these screens failed to generate the phenotype that would be expected following an unsuccessful centriole elimination during oogenesis—namely, the formation of a tetrapolar spindle at the first division. Several possible explanations could account for this shortcoming. First, despite the extensive nature of these screens, it is possible that some critical components required for centriole elimination during oogenesis were not targeted, either because these genes are small, not predicted, or are resistant to RNA interference-mediated depletion. Second, genes that act redundantly might have been missed, potentially compensating for the loss of other factors involved in the process. Third, it is possible that the prevention of centriole elimination during oogenesis could result in an earlier gonadal phenotype, thus leaving out genes that are crucial for centriole elimination in oogenesis from the embryo's analysis. Finally, there may be the possibility that centrioles introduced by the oocyte upon the inactivation of a factor responsible for centriole elimination in oogenesis may not function as microtubule-organizing centers (MTOCs), much like the last daughter centriole in a newly fertilized sea star zygote, and thus evade detection by DIC microscopy.</w:t>
      </w:r>
    </w:p>
    <w:p w:rsidR="00000000" w:rsidDel="00000000" w:rsidP="00000000" w:rsidRDefault="00000000" w:rsidRPr="00000000" w14:paraId="0000056E">
      <w:pPr>
        <w:jc w:val="both"/>
        <w:rPr/>
      </w:pPr>
      <w:r w:rsidDel="00000000" w:rsidR="00000000" w:rsidRPr="00000000">
        <w:rPr>
          <w:rtl w:val="0"/>
        </w:rPr>
      </w:r>
    </w:p>
    <w:p w:rsidR="00000000" w:rsidDel="00000000" w:rsidP="00000000" w:rsidRDefault="00000000" w:rsidRPr="00000000" w14:paraId="0000056F">
      <w:pPr>
        <w:jc w:val="both"/>
        <w:rPr/>
      </w:pPr>
      <w:r w:rsidDel="00000000" w:rsidR="00000000" w:rsidRPr="00000000">
        <w:rPr>
          <w:rtl w:val="0"/>
        </w:rPr>
        <w:t xml:space="preserve">Regardless of the cause, candidate screening in C. elegans revealed that the heterochronic protein LIN-41 and the RNA helicase CGH-1 are somehow involved in determining the timing of centriole elimination during oogenesis, although disruption of these factors merely delays, rather than completely abolishes, the process (Matsuura et al., 2016). It has been suggested that CGH-1, which is involved in the localization and stabilization of mRNA (Boag et al., 2008), might target mRNA encoding a protein that facilitates centriole elimination. Furthermore, the XX karyotype appears to be important for centriole elimination during oogenesis in C. elegans, as some oocytes in late prophase I contain centrioles in mutant males possessing female somatic gonads and germline. However, the molecular nature of the factor(s) modulated by the XX karyotype remains unresolved.</w:t>
      </w:r>
    </w:p>
    <w:p w:rsidR="00000000" w:rsidDel="00000000" w:rsidP="00000000" w:rsidRDefault="00000000" w:rsidRPr="00000000" w14:paraId="00000570">
      <w:pPr>
        <w:jc w:val="both"/>
        <w:rPr/>
      </w:pPr>
      <w:r w:rsidDel="00000000" w:rsidR="00000000" w:rsidRPr="00000000">
        <w:rPr>
          <w:rtl w:val="0"/>
        </w:rPr>
      </w:r>
    </w:p>
    <w:p w:rsidR="00000000" w:rsidDel="00000000" w:rsidP="00000000" w:rsidRDefault="00000000" w:rsidRPr="00000000" w14:paraId="00000571">
      <w:pPr>
        <w:jc w:val="both"/>
        <w:rPr/>
      </w:pPr>
      <w:r w:rsidDel="00000000" w:rsidR="00000000" w:rsidRPr="00000000">
        <w:rPr>
          <w:rtl w:val="0"/>
        </w:rPr>
        <w:t xml:space="preserve">One potential explanation could be that the priming of centriole elimination is simply a manifestation of the deactivation of mechanisms that are responsible for maintaining the centrioles, as previously described for the stabilization of certain proteins. It has been proposed that the pericentriolar material (PCM) plays a critical role in the maintenance of centrioles, such that its removal could potentially prime the process of centriole elimination. For example, in Tetrahymena, centrioles become unstable when the PCM component γ-tubulin is depleted (Shang, Y., Li, B., &amp; Gorovsky, M. A., 2002), although the additional localization of γ-tubulin at the centriole core may be more relevant in this case (Schweizer et al., 2021). Similarly, the depletion of several PCM components, including Asl, D-Plp, Spd2, Cnn, or Polo kinase, results in the loss of centrioles in cultured Drosophila cells arrested in the S-phase. Interestingly, during Drosophila oogenesis, Polo moves away from the PCM before its removal occurs, whereas the expression of a Polo fusion protein with a centriole-targeting PACT domain leads to the preservation of centriolar foci after fertilization. These foci act as microtubule-organizing centers (MTOC) and interact with the spindle, leading to abnormal meiotic divisions; most of the resulting embryos halt during the first mitotic division with scattered DNA and multiple MTOCs. However, due to the lack of electron microscopy data, it remains unclear whether these additional foci are true centrioles or simply centriolar protein aggregates serving as MTOCs. Notably, neither PCM nor the activity of the Polo-like kinase Plk1 appears to be sufficient for centriole protection in other systems. For instance, maternal centrioles in A. forbesi remain intact after being experimentally retained in the oocyte, although they do not nucleate microtubules. Moreover, pharmacological inhibition of Plk1 does not lead to premature centriole elimination in P. miniata. Similarly, in C. elegans, centrioles are eliminated from the ciliary base despite the presence of PCM components. Additionally, PLK-1 is absent from centriolar foci in L1 larvae and the germline, except in the mitotic zone, and depletion of PLK-1, PLK-2, and PLK-3 does not result in premature elimination during oogenesis (Harper et al., 2011). Nonetheless, it would be intriguing to determine what drives the removal of Polo from centrioles in Drosophila and to explore the consequences of such removal. Ana1, which localizes to the wall of the centriole, may be particularly important in this context, acting downstream of the Polo-mediated removal process (Pimenta-Marques et al., 2024). Indeed, the depletion of Ana1 in Drosophila cells in S-phase promotes centriole loss, while the expression of Polo-PACT in cells lacking Ana1 does not result in the formation of additional centriolar foci, suggesting that Ana1 must be continuously replenished in centrioles through exchange with the cytoplasmic pool of proteins.</w:t>
      </w:r>
    </w:p>
    <w:p w:rsidR="00000000" w:rsidDel="00000000" w:rsidP="00000000" w:rsidRDefault="00000000" w:rsidRPr="00000000" w14:paraId="00000572">
      <w:pPr>
        <w:jc w:val="both"/>
        <w:rPr/>
      </w:pPr>
      <w:r w:rsidDel="00000000" w:rsidR="00000000" w:rsidRPr="00000000">
        <w:rPr>
          <w:rtl w:val="0"/>
        </w:rPr>
      </w:r>
    </w:p>
    <w:p w:rsidR="00000000" w:rsidDel="00000000" w:rsidP="00000000" w:rsidRDefault="00000000" w:rsidRPr="00000000" w14:paraId="00000573">
      <w:pPr>
        <w:jc w:val="both"/>
        <w:rPr/>
      </w:pPr>
      <w:r w:rsidDel="00000000" w:rsidR="00000000" w:rsidRPr="00000000">
        <w:rPr>
          <w:rtl w:val="0"/>
        </w:rPr>
        <w:t xml:space="preserve">While the removal of Polo and PCM is essential for centriole elimination in Drosophila, including during oogenesis, these mechanisms do not appear to be universally employed across other systems for the initiation and execution of centriole elimination.</w:t>
      </w:r>
    </w:p>
    <w:p w:rsidR="00000000" w:rsidDel="00000000" w:rsidP="00000000" w:rsidRDefault="00000000" w:rsidRPr="00000000" w14:paraId="00000574">
      <w:pPr>
        <w:jc w:val="both"/>
        <w:rPr/>
      </w:pPr>
      <w:r w:rsidDel="00000000" w:rsidR="00000000" w:rsidRPr="00000000">
        <w:rPr>
          <w:rtl w:val="0"/>
        </w:rPr>
      </w:r>
    </w:p>
    <w:p w:rsidR="00000000" w:rsidDel="00000000" w:rsidP="00000000" w:rsidRDefault="00000000" w:rsidRPr="00000000" w14:paraId="00000575">
      <w:pPr>
        <w:pStyle w:val="Heading3"/>
        <w:jc w:val="both"/>
        <w:rPr/>
      </w:pPr>
      <w:bookmarkStart w:colFirst="0" w:colLast="0" w:name="_7vmm8jxbvmaz" w:id="153"/>
      <w:bookmarkEnd w:id="153"/>
      <w:r w:rsidDel="00000000" w:rsidR="00000000" w:rsidRPr="00000000">
        <w:rPr>
          <w:rtl w:val="0"/>
        </w:rPr>
        <w:t xml:space="preserve">3.4.6 Conclusion</w:t>
      </w:r>
    </w:p>
    <w:p w:rsidR="00000000" w:rsidDel="00000000" w:rsidP="00000000" w:rsidRDefault="00000000" w:rsidRPr="00000000" w14:paraId="00000576">
      <w:pPr>
        <w:jc w:val="both"/>
        <w:rPr/>
      </w:pPr>
      <w:r w:rsidDel="00000000" w:rsidR="00000000" w:rsidRPr="00000000">
        <w:rPr>
          <w:rtl w:val="0"/>
        </w:rPr>
      </w:r>
    </w:p>
    <w:p w:rsidR="00000000" w:rsidDel="00000000" w:rsidP="00000000" w:rsidRDefault="00000000" w:rsidRPr="00000000" w14:paraId="00000577">
      <w:pPr>
        <w:jc w:val="both"/>
        <w:rPr/>
      </w:pPr>
      <w:r w:rsidDel="00000000" w:rsidR="00000000" w:rsidRPr="00000000">
        <w:rPr>
          <w:rtl w:val="0"/>
        </w:rPr>
        <w:t xml:space="preserve">In most cases, the fundamental mechanisms governing centriole elimination remain poorly understood; however, there is already a broad understanding of when and where centrioles are eliminated, and an increasing array of tools are available to further address this issue.</w:t>
      </w:r>
    </w:p>
    <w:p w:rsidR="00000000" w:rsidDel="00000000" w:rsidP="00000000" w:rsidRDefault="00000000" w:rsidRPr="00000000" w14:paraId="00000578">
      <w:pPr>
        <w:jc w:val="both"/>
        <w:rPr/>
      </w:pPr>
      <w:r w:rsidDel="00000000" w:rsidR="00000000" w:rsidRPr="00000000">
        <w:rPr>
          <w:rtl w:val="0"/>
        </w:rPr>
        <w:t xml:space="preserve">To shed more light on the mechanisms controlling centriole elimination, screenings specifically designed for this process will be valuable. Genome-wide mutant screenings, RNA interference, or CRISPR/Cas9-based approaches aimed at identifying conditions with delayed or accelerated centriole elimination, not only during oogenesis but also in somatic cells, will likely uncover new important candidates. Given that the architecture and assembly mechanisms of centrioles are widely conserved among species, and considering that their elimination is common across the eukaryotic branch of the tree of life, it is highly probable that insights into common mechanisms can be derived from advancements in various systems. In this regard, new model organisms may be especially useful. One such system that could prove particularly insightful is Naegleria gruberi, which can rapidly transform from an amoeboid form without centrioles to a flagellate form with two centrioles. While Naegleria has been used to study de novo centriole formation during this transformation (Fritz-Laylin, L. K., &amp; Fulton, C., 2016), it could also serve as a model for studying centriole elimination during the transition from flagellates to amoeboid forms. Additionally, valuable insights could be gained from other biological systems, such as the neoblasts of planarians and their non-dividing centriolar cells.</w:t>
      </w:r>
    </w:p>
    <w:p w:rsidR="00000000" w:rsidDel="00000000" w:rsidP="00000000" w:rsidRDefault="00000000" w:rsidRPr="00000000" w14:paraId="00000579">
      <w:pPr>
        <w:jc w:val="both"/>
        <w:rPr/>
      </w:pPr>
      <w:r w:rsidDel="00000000" w:rsidR="00000000" w:rsidRPr="00000000">
        <w:rPr>
          <w:rtl w:val="0"/>
        </w:rPr>
      </w:r>
    </w:p>
    <w:p w:rsidR="00000000" w:rsidDel="00000000" w:rsidP="00000000" w:rsidRDefault="00000000" w:rsidRPr="00000000" w14:paraId="0000057A">
      <w:pPr>
        <w:jc w:val="both"/>
        <w:rPr/>
      </w:pPr>
      <w:r w:rsidDel="00000000" w:rsidR="00000000" w:rsidRPr="00000000">
        <w:rPr>
          <w:rtl w:val="0"/>
        </w:rPr>
        <w:t xml:space="preserve">There is compelling evidence suggesting that centriole elimination is widespread and is directed by differentiation and cell fate. A process of similar scope and regulation is programmed cell death, or apoptosis (Nössing, C., &amp; Ryan, K. M., 2023). Just as apoptosis has been found to be critical in numerous physiological conditions, including development, self-repair, homeostasis, and immune function, centriole elimination may play a role in more processes than initially anticipated in the pioneering work of Boveri. Decades of research into the mechanisms governing apoptosis have revealed complex pathways that can be finely regulated in a manner appropriate for each physiological context.</w:t>
      </w:r>
    </w:p>
    <w:p w:rsidR="00000000" w:rsidDel="00000000" w:rsidP="00000000" w:rsidRDefault="00000000" w:rsidRPr="00000000" w14:paraId="0000057B">
      <w:pPr>
        <w:jc w:val="both"/>
        <w:rPr/>
      </w:pPr>
      <w:r w:rsidDel="00000000" w:rsidR="00000000" w:rsidRPr="00000000">
        <w:rPr>
          <w:rtl w:val="0"/>
        </w:rPr>
      </w:r>
    </w:p>
    <w:p w:rsidR="00000000" w:rsidDel="00000000" w:rsidP="00000000" w:rsidRDefault="00000000" w:rsidRPr="00000000" w14:paraId="0000057C">
      <w:pPr>
        <w:jc w:val="both"/>
        <w:rPr/>
      </w:pPr>
      <w:r w:rsidDel="00000000" w:rsidR="00000000" w:rsidRPr="00000000">
        <w:rPr>
          <w:rtl w:val="0"/>
        </w:rPr>
        <w:t xml:space="preserve">Just as dysregulated apoptosis can contribute to a range of pathological conditions (Bedoui et al., 2020), improper centriole elimination may have significant implications for disease. For example, premature centriole elimination may result in the cessation of embryo development, or in the case of an adult organism, impair self-repair or contribute to progeria. It will also be of great interest to investigate whether defective mechanisms of centriole elimination contribute to tumorigenesis. Experimentally induced centriole amplification is sufficient to trigger aneuploidy and subsequent tumor formation (Levine et al., 2017). It seems reasonable to hypothesize that a reduction in centriole number could also influence tumorigenesis. Mitotic errors, including lagging chromatids, micronuclei, aneuploidy, and polyploidy, are common in proliferating cells that lack centrioles and p53 (Lambrus et al., 2015). Furthermore, it has been suggested that cells lacking centrioles may induce genomic instability during the early stages of prostate cancer (Wang et al., 2020).</w:t>
      </w:r>
    </w:p>
    <w:p w:rsidR="00000000" w:rsidDel="00000000" w:rsidP="00000000" w:rsidRDefault="00000000" w:rsidRPr="00000000" w14:paraId="0000057D">
      <w:pPr>
        <w:jc w:val="both"/>
        <w:rPr/>
      </w:pPr>
      <w:r w:rsidDel="00000000" w:rsidR="00000000" w:rsidRPr="00000000">
        <w:rPr>
          <w:rtl w:val="0"/>
        </w:rPr>
      </w:r>
    </w:p>
    <w:p w:rsidR="00000000" w:rsidDel="00000000" w:rsidP="00000000" w:rsidRDefault="00000000" w:rsidRPr="00000000" w14:paraId="0000057E">
      <w:pPr>
        <w:pStyle w:val="Heading2"/>
        <w:jc w:val="both"/>
        <w:rPr/>
      </w:pPr>
      <w:bookmarkStart w:colFirst="0" w:colLast="0" w:name="_ktaiu8f9tznr" w:id="154"/>
      <w:bookmarkEnd w:id="154"/>
      <w:r w:rsidDel="00000000" w:rsidR="00000000" w:rsidRPr="00000000">
        <w:rPr>
          <w:rtl w:val="0"/>
        </w:rPr>
        <w:t xml:space="preserve">3.5 Existing Theories Linking Centrioles to Organism Aging</w:t>
      </w:r>
    </w:p>
    <w:p w:rsidR="00000000" w:rsidDel="00000000" w:rsidP="00000000" w:rsidRDefault="00000000" w:rsidRPr="00000000" w14:paraId="0000057F">
      <w:pPr>
        <w:pStyle w:val="Heading3"/>
        <w:jc w:val="both"/>
        <w:rPr/>
      </w:pPr>
      <w:bookmarkStart w:colFirst="0" w:colLast="0" w:name="_1gy3wfu9zbr2" w:id="155"/>
      <w:bookmarkEnd w:id="155"/>
      <w:r w:rsidDel="00000000" w:rsidR="00000000" w:rsidRPr="00000000">
        <w:rPr>
          <w:rtl w:val="0"/>
        </w:rPr>
        <w:t xml:space="preserve">3.5.1 Introduction</w:t>
      </w:r>
    </w:p>
    <w:p w:rsidR="00000000" w:rsidDel="00000000" w:rsidP="00000000" w:rsidRDefault="00000000" w:rsidRPr="00000000" w14:paraId="00000580">
      <w:pPr>
        <w:jc w:val="both"/>
        <w:rPr/>
      </w:pPr>
      <w:r w:rsidDel="00000000" w:rsidR="00000000" w:rsidRPr="00000000">
        <w:rPr>
          <w:rtl w:val="0"/>
        </w:rPr>
      </w:r>
    </w:p>
    <w:p w:rsidR="00000000" w:rsidDel="00000000" w:rsidP="00000000" w:rsidRDefault="00000000" w:rsidRPr="00000000" w14:paraId="00000581">
      <w:pPr>
        <w:jc w:val="both"/>
        <w:rPr/>
      </w:pPr>
      <w:r w:rsidDel="00000000" w:rsidR="00000000" w:rsidRPr="00000000">
        <w:rPr>
          <w:rtl w:val="0"/>
        </w:rPr>
        <w:t xml:space="preserve">Centrioles, once thought to be simple structural components of the cell, have emerged as critical players in the aging process. This article reviews the existing theories linking centrioles to organismal aging, focusing on their roles in genomic stability, stem cell function, ciliary signaling, cellular senescence, and oxidative stress. We explore the evidence from model organisms, human studies, and clinical implications, highlighting the potential of centriole-targeted therapies to delay aging and prevent age-related diseases. By integrating findings from cellular biology, genetics, and clinical research, this article provides a comprehensive overview of the current understanding of centrioles in aging and outlines future directions for research and therapeutic development.</w:t>
      </w:r>
    </w:p>
    <w:p w:rsidR="00000000" w:rsidDel="00000000" w:rsidP="00000000" w:rsidRDefault="00000000" w:rsidRPr="00000000" w14:paraId="00000582">
      <w:pPr>
        <w:jc w:val="both"/>
        <w:rPr/>
      </w:pPr>
      <w:r w:rsidDel="00000000" w:rsidR="00000000" w:rsidRPr="00000000">
        <w:rPr>
          <w:rtl w:val="0"/>
        </w:rPr>
      </w:r>
    </w:p>
    <w:p w:rsidR="00000000" w:rsidDel="00000000" w:rsidP="00000000" w:rsidRDefault="00000000" w:rsidRPr="00000000" w14:paraId="00000583">
      <w:pPr>
        <w:jc w:val="both"/>
        <w:rPr/>
      </w:pPr>
      <w:r w:rsidDel="00000000" w:rsidR="00000000" w:rsidRPr="00000000">
        <w:rPr>
          <w:rtl w:val="0"/>
        </w:rPr>
        <w:t xml:space="preserve">Aging is a complex biological process characterized by the progressive decline of cellular and organismal functions, leading to increased vulnerability to disease and death. While the molecular mechanisms underlying aging are multifaceted, recent research has highlighted the role of centrioles—microtubule-based organelles involved in cell division, signaling, and cellular organization—in the aging process. Centrioles are essential for the formation of centrosomes, which organize the mitotic spindle during cell division, and for the assembly of primary cilia, which act as sensory organelles in many cell types. Dysfunction in centrioles has been linked to a variety of age-related pathologies, including cancer, neurodegeneration, and tissue atrophy (Bettencourt-Dias &amp; Glover, 2007; Nigg &amp; Raff, 2009).</w:t>
      </w:r>
    </w:p>
    <w:p w:rsidR="00000000" w:rsidDel="00000000" w:rsidP="00000000" w:rsidRDefault="00000000" w:rsidRPr="00000000" w14:paraId="00000584">
      <w:pPr>
        <w:jc w:val="both"/>
        <w:rPr/>
      </w:pPr>
      <w:r w:rsidDel="00000000" w:rsidR="00000000" w:rsidRPr="00000000">
        <w:rPr>
          <w:rtl w:val="0"/>
        </w:rPr>
      </w:r>
    </w:p>
    <w:p w:rsidR="00000000" w:rsidDel="00000000" w:rsidP="00000000" w:rsidRDefault="00000000" w:rsidRPr="00000000" w14:paraId="00000585">
      <w:pPr>
        <w:jc w:val="both"/>
        <w:rPr/>
      </w:pPr>
      <w:r w:rsidDel="00000000" w:rsidR="00000000" w:rsidRPr="00000000">
        <w:rPr>
          <w:rtl w:val="0"/>
        </w:rPr>
        <w:t xml:space="preserve">This article reviews the existing theories that link centrioles to organismal aging, focusing on their roles in genomic stability, stem cell function, ciliary signaling, cellular senescence, and oxidative stress. We also discuss evidence from model organisms, human studies, and clinical implications, as well as potential therapeutic interventions targeting centrioles to promote healthy aging.</w:t>
      </w:r>
    </w:p>
    <w:p w:rsidR="00000000" w:rsidDel="00000000" w:rsidP="00000000" w:rsidRDefault="00000000" w:rsidRPr="00000000" w14:paraId="00000586">
      <w:pPr>
        <w:jc w:val="both"/>
        <w:rPr/>
      </w:pPr>
      <w:r w:rsidDel="00000000" w:rsidR="00000000" w:rsidRPr="00000000">
        <w:rPr>
          <w:rtl w:val="0"/>
        </w:rPr>
      </w:r>
    </w:p>
    <w:p w:rsidR="00000000" w:rsidDel="00000000" w:rsidP="00000000" w:rsidRDefault="00000000" w:rsidRPr="00000000" w14:paraId="00000587">
      <w:pPr>
        <w:pStyle w:val="Heading3"/>
        <w:jc w:val="both"/>
        <w:rPr/>
      </w:pPr>
      <w:bookmarkStart w:colFirst="0" w:colLast="0" w:name="_bspvynda4cnm" w:id="156"/>
      <w:bookmarkEnd w:id="156"/>
      <w:r w:rsidDel="00000000" w:rsidR="00000000" w:rsidRPr="00000000">
        <w:rPr>
          <w:rtl w:val="0"/>
        </w:rPr>
        <w:t xml:space="preserve">3.5.2 Theories Linking Centrioles to Aging</w:t>
      </w:r>
    </w:p>
    <w:p w:rsidR="00000000" w:rsidDel="00000000" w:rsidP="00000000" w:rsidRDefault="00000000" w:rsidRPr="00000000" w14:paraId="00000588">
      <w:pPr>
        <w:jc w:val="both"/>
        <w:rPr/>
      </w:pPr>
      <w:r w:rsidDel="00000000" w:rsidR="00000000" w:rsidRPr="00000000">
        <w:rPr>
          <w:rtl w:val="0"/>
        </w:rPr>
      </w:r>
    </w:p>
    <w:p w:rsidR="00000000" w:rsidDel="00000000" w:rsidP="00000000" w:rsidRDefault="00000000" w:rsidRPr="00000000" w14:paraId="00000589">
      <w:pPr>
        <w:pStyle w:val="Heading4"/>
        <w:jc w:val="both"/>
        <w:rPr/>
      </w:pPr>
      <w:bookmarkStart w:colFirst="0" w:colLast="0" w:name="_r23dkj1677i" w:id="157"/>
      <w:bookmarkEnd w:id="157"/>
      <w:r w:rsidDel="00000000" w:rsidR="00000000" w:rsidRPr="00000000">
        <w:rPr>
          <w:rtl w:val="0"/>
        </w:rPr>
        <w:t xml:space="preserve">3.5.2.1 Centrosome Amplification and Genomic Instability</w:t>
        <w:br w:type="textWrapping"/>
      </w:r>
    </w:p>
    <w:p w:rsidR="00000000" w:rsidDel="00000000" w:rsidP="00000000" w:rsidRDefault="00000000" w:rsidRPr="00000000" w14:paraId="0000058A">
      <w:pPr>
        <w:jc w:val="both"/>
        <w:rPr/>
      </w:pPr>
      <w:r w:rsidDel="00000000" w:rsidR="00000000" w:rsidRPr="00000000">
        <w:rPr>
          <w:rtl w:val="0"/>
        </w:rPr>
        <w:t xml:space="preserve">Mechanism: Centriole overduplication leads to centrosome amplification, causing mitotic errors and aneuploidy. Centrosome amplification occurs when cells accumulate more than the typical two centrosomes, often due to defects in the regulation of centriole duplication. This can result in the formation of multipolar spindles during mitosis, leading to unequal chromosome segregation and aneuploidy—a condition characterized by an abnormal number of chromosomes (Nigg &amp; Holland, 2018). Aneuploidy is a key driver of genomic instability, which is a hallmark of both aging and cancer (Gordon et al., 2012).</w:t>
      </w:r>
    </w:p>
    <w:p w:rsidR="00000000" w:rsidDel="00000000" w:rsidP="00000000" w:rsidRDefault="00000000" w:rsidRPr="00000000" w14:paraId="0000058B">
      <w:pPr>
        <w:jc w:val="both"/>
        <w:rPr/>
      </w:pPr>
      <w:r w:rsidDel="00000000" w:rsidR="00000000" w:rsidRPr="00000000">
        <w:rPr>
          <w:rtl w:val="0"/>
        </w:rPr>
      </w:r>
    </w:p>
    <w:p w:rsidR="00000000" w:rsidDel="00000000" w:rsidP="00000000" w:rsidRDefault="00000000" w:rsidRPr="00000000" w14:paraId="0000058C">
      <w:pPr>
        <w:jc w:val="both"/>
        <w:rPr/>
      </w:pPr>
      <w:r w:rsidDel="00000000" w:rsidR="00000000" w:rsidRPr="00000000">
        <w:rPr>
          <w:rtl w:val="0"/>
        </w:rPr>
        <w:t xml:space="preserve">Evidence: Increased centrosome abnormalities have been observed in aged human cells and tissues, particularly in cancer cells. For example, studies have shown that aged fibroblasts and epithelial cells exhibit higher frequencies of centrosome amplification compared to younger cells (Prosser &amp; Morrison, 2015). In cancer, centrosome amplification is a common feature of many tumor types, including breast, prostate, and lung cancers, and is associated with poor prognosis (Ganem et al., 2009). Additionally, research using mouse models has demonstrated that centrosome amplification can drive tumorigenesis by promoting chromosomal instability (Levine et al., 2017).</w:t>
      </w:r>
    </w:p>
    <w:p w:rsidR="00000000" w:rsidDel="00000000" w:rsidP="00000000" w:rsidRDefault="00000000" w:rsidRPr="00000000" w14:paraId="0000058D">
      <w:pPr>
        <w:jc w:val="both"/>
        <w:rPr/>
      </w:pPr>
      <w:r w:rsidDel="00000000" w:rsidR="00000000" w:rsidRPr="00000000">
        <w:rPr>
          <w:rtl w:val="0"/>
        </w:rPr>
      </w:r>
    </w:p>
    <w:p w:rsidR="00000000" w:rsidDel="00000000" w:rsidP="00000000" w:rsidRDefault="00000000" w:rsidRPr="00000000" w14:paraId="0000058E">
      <w:pPr>
        <w:jc w:val="both"/>
        <w:rPr/>
      </w:pPr>
      <w:r w:rsidDel="00000000" w:rsidR="00000000" w:rsidRPr="00000000">
        <w:rPr>
          <w:rtl w:val="0"/>
        </w:rPr>
        <w:t xml:space="preserve">Implications: Genomic instability is a hallmark of aging and cancer, and centrosome amplification may contribute to both processes. In aging, the accumulation of centrosome abnormalities over time can lead to increased mitotic errors, cellular senescence, and tissue dysfunction (López-Otín et al., 2013). In cancer, centrosome amplification is a key contributor to tumor progression and metastasis, as it promotes chromosomal instability and genetic heterogeneity (Godinho &amp; Pellman, 2014). Understanding the mechanisms underlying centrosome amplification and its role in genomic instability could provide new insights into the biology of aging and cancer, as well as potential therapeutic targets for age-related diseases and malignancies.</w:t>
      </w:r>
    </w:p>
    <w:p w:rsidR="00000000" w:rsidDel="00000000" w:rsidP="00000000" w:rsidRDefault="00000000" w:rsidRPr="00000000" w14:paraId="0000058F">
      <w:pPr>
        <w:jc w:val="both"/>
        <w:rPr/>
      </w:pPr>
      <w:r w:rsidDel="00000000" w:rsidR="00000000" w:rsidRPr="00000000">
        <w:rPr>
          <w:rtl w:val="0"/>
        </w:rPr>
      </w:r>
    </w:p>
    <w:p w:rsidR="00000000" w:rsidDel="00000000" w:rsidP="00000000" w:rsidRDefault="00000000" w:rsidRPr="00000000" w14:paraId="00000590">
      <w:pPr>
        <w:pStyle w:val="Heading4"/>
        <w:jc w:val="both"/>
        <w:rPr/>
      </w:pPr>
      <w:bookmarkStart w:colFirst="0" w:colLast="0" w:name="_attv4gx6oiud" w:id="158"/>
      <w:bookmarkEnd w:id="158"/>
      <w:r w:rsidDel="00000000" w:rsidR="00000000" w:rsidRPr="00000000">
        <w:rPr>
          <w:rtl w:val="0"/>
        </w:rPr>
        <w:t xml:space="preserve">3.5.2.2 Stem Cell Dysfunction</w:t>
      </w:r>
    </w:p>
    <w:p w:rsidR="00000000" w:rsidDel="00000000" w:rsidP="00000000" w:rsidRDefault="00000000" w:rsidRPr="00000000" w14:paraId="00000591">
      <w:pPr>
        <w:jc w:val="both"/>
        <w:rPr/>
      </w:pPr>
      <w:r w:rsidDel="00000000" w:rsidR="00000000" w:rsidRPr="00000000">
        <w:rPr>
          <w:rtl w:val="0"/>
        </w:rPr>
        <w:br w:type="textWrapping"/>
        <w:t xml:space="preserve">Mechanism: Centriole defects impair asymmetric division in stem cells, leading to stem cell depletion. Stem cells rely on asymmetric cell division to maintain tissue homeostasis, a process in which one daughter cell retains stem cell properties while the other differentiates into a specialized cell type. Centrioles play a critical role in ensuring the fidelity of this process by organizing the mitotic spindle and ensuring proper segregation of cell fate determinants (Knoblich, 2010). Defects in centriole function, such as structural abnormalities or mislocalization, can disrupt asymmetric division, leading to an imbalance between stem cell self-renewal and differentiation. Over time, this imbalance results in stem cell depletion, reduced tissue regeneration, and accelerated aging (Gönczy, 2015).</w:t>
      </w:r>
    </w:p>
    <w:p w:rsidR="00000000" w:rsidDel="00000000" w:rsidP="00000000" w:rsidRDefault="00000000" w:rsidRPr="00000000" w14:paraId="00000592">
      <w:pPr>
        <w:jc w:val="both"/>
        <w:rPr/>
      </w:pPr>
      <w:r w:rsidDel="00000000" w:rsidR="00000000" w:rsidRPr="00000000">
        <w:rPr>
          <w:rtl w:val="0"/>
        </w:rPr>
      </w:r>
    </w:p>
    <w:p w:rsidR="00000000" w:rsidDel="00000000" w:rsidP="00000000" w:rsidRDefault="00000000" w:rsidRPr="00000000" w14:paraId="00000593">
      <w:pPr>
        <w:jc w:val="both"/>
        <w:rPr/>
      </w:pPr>
      <w:r w:rsidDel="00000000" w:rsidR="00000000" w:rsidRPr="00000000">
        <w:rPr>
          <w:rtl w:val="0"/>
        </w:rPr>
        <w:t xml:space="preserve">Evidence: Studies in Drosophila and mammalian models have shown that centriole dysfunction is associated with impaired stem cell division and tissue regeneration. For example, in Drosophila, mutations in centriolar proteins such as SAS-4 disrupt centrosome function, leading to defective asymmetric division in neural stem cells and subsequent depletion of the stem cell pool (Basto et al., 2008). Similarly, in mammalian systems, centriole dysfunction in hematopoietic stem cells (HSCs) has been linked to impaired regenerative capacity and aging-related phenotypes (Yamashita et al., 2007). Additionally, research in mouse models has demonstrated that centriole defects in intestinal stem cells lead to disrupted tissue homeostasis and accelerated aging (Pineault et al., 2019).</w:t>
      </w:r>
    </w:p>
    <w:p w:rsidR="00000000" w:rsidDel="00000000" w:rsidP="00000000" w:rsidRDefault="00000000" w:rsidRPr="00000000" w14:paraId="00000594">
      <w:pPr>
        <w:jc w:val="both"/>
        <w:rPr/>
      </w:pPr>
      <w:r w:rsidDel="00000000" w:rsidR="00000000" w:rsidRPr="00000000">
        <w:rPr>
          <w:rtl w:val="0"/>
        </w:rPr>
      </w:r>
    </w:p>
    <w:p w:rsidR="00000000" w:rsidDel="00000000" w:rsidP="00000000" w:rsidRDefault="00000000" w:rsidRPr="00000000" w14:paraId="00000595">
      <w:pPr>
        <w:jc w:val="both"/>
        <w:rPr/>
      </w:pPr>
      <w:r w:rsidDel="00000000" w:rsidR="00000000" w:rsidRPr="00000000">
        <w:rPr>
          <w:rtl w:val="0"/>
        </w:rPr>
        <w:t xml:space="preserve">Implications: Reduced tissue regeneration and repair capacity contribute to the aging phenotype. Stem cell dysfunction is a key driver of age-related tissue degeneration, as it impairs the body’s ability to replace damaged or senescent cells (Rando &amp; Chang, 2012). This decline in regenerative capacity is observed in multiple tissues, including the skin, blood, and nervous system, and is associated with increased susceptibility to age-related diseases such as anemia, neurodegeneration, and impaired wound healing (Oh et al., 2014). Understanding the role of centrioles in stem cell maintenance and function could provide new strategies for enhancing tissue regeneration and delaying the onset of age-related pathologies.</w:t>
      </w:r>
    </w:p>
    <w:p w:rsidR="00000000" w:rsidDel="00000000" w:rsidP="00000000" w:rsidRDefault="00000000" w:rsidRPr="00000000" w14:paraId="00000596">
      <w:pPr>
        <w:jc w:val="both"/>
        <w:rPr/>
      </w:pPr>
      <w:r w:rsidDel="00000000" w:rsidR="00000000" w:rsidRPr="00000000">
        <w:rPr>
          <w:rtl w:val="0"/>
        </w:rPr>
      </w:r>
    </w:p>
    <w:p w:rsidR="00000000" w:rsidDel="00000000" w:rsidP="00000000" w:rsidRDefault="00000000" w:rsidRPr="00000000" w14:paraId="00000597">
      <w:pPr>
        <w:pStyle w:val="Heading4"/>
        <w:jc w:val="both"/>
        <w:rPr/>
      </w:pPr>
      <w:bookmarkStart w:colFirst="0" w:colLast="0" w:name="_axay38xfgspp" w:id="159"/>
      <w:bookmarkEnd w:id="159"/>
      <w:r w:rsidDel="00000000" w:rsidR="00000000" w:rsidRPr="00000000">
        <w:rPr>
          <w:rtl w:val="0"/>
        </w:rPr>
        <w:t xml:space="preserve">3.5.2.3 Ciliary Dysfunction</w:t>
      </w:r>
    </w:p>
    <w:p w:rsidR="00000000" w:rsidDel="00000000" w:rsidP="00000000" w:rsidRDefault="00000000" w:rsidRPr="00000000" w14:paraId="00000598">
      <w:pPr>
        <w:jc w:val="both"/>
        <w:rPr/>
      </w:pPr>
      <w:r w:rsidDel="00000000" w:rsidR="00000000" w:rsidRPr="00000000">
        <w:rPr>
          <w:rtl w:val="0"/>
        </w:rPr>
        <w:br w:type="textWrapping"/>
        <w:t xml:space="preserve">Mechanism: Defective centrioles impair primary cilia, disrupting signaling pathways. Primary cilia are microtubule-based organelles that extend from the cell surface and function as sensory antennae, detecting extracellular signals and transducing them into intracellular responses. Centrioles serve as the basal bodies for primary cilia, anchoring them to the cell membrane and ensuring their structural integrity (Satir &amp; Christensen, 2007). When centrioles are defective, cilia formation or function is compromised, leading to disruptions in critical signaling pathways such as Hedgehog, Wnt, and PDGFα, which are essential for cell proliferation, differentiation, and tissue homeostasis (Anvarian et al., 2019).</w:t>
      </w:r>
    </w:p>
    <w:p w:rsidR="00000000" w:rsidDel="00000000" w:rsidP="00000000" w:rsidRDefault="00000000" w:rsidRPr="00000000" w14:paraId="00000599">
      <w:pPr>
        <w:jc w:val="both"/>
        <w:rPr/>
      </w:pPr>
      <w:r w:rsidDel="00000000" w:rsidR="00000000" w:rsidRPr="00000000">
        <w:rPr>
          <w:rtl w:val="0"/>
        </w:rPr>
      </w:r>
    </w:p>
    <w:p w:rsidR="00000000" w:rsidDel="00000000" w:rsidP="00000000" w:rsidRDefault="00000000" w:rsidRPr="00000000" w14:paraId="0000059A">
      <w:pPr>
        <w:jc w:val="both"/>
        <w:rPr/>
      </w:pPr>
      <w:r w:rsidDel="00000000" w:rsidR="00000000" w:rsidRPr="00000000">
        <w:rPr>
          <w:rtl w:val="0"/>
        </w:rPr>
        <w:t xml:space="preserve">Evidence: Age-related ciliary dysfunction has been documented in renal, neural, and retinal tissues. In the kidneys, ciliary defects are associated with polycystic kidney disease (PKD), a condition characterized by the formation of fluid-filled cysts that impair renal function (Fliegauf et al., 2007). In the nervous system, ciliary dysfunction has been linked to neurodegenerative diseases such as Alzheimer’s and Parkinson’s, where impaired cilia-mediated signaling contributes to neuronal loss and cognitive decline (Hilgendorf et al., 2016). In the retina, ciliary defects are implicated in age-related macular degeneration (AMD) and retinitis pigmentosa, leading to progressive vision loss (Wheway et al., 2018).</w:t>
      </w:r>
    </w:p>
    <w:p w:rsidR="00000000" w:rsidDel="00000000" w:rsidP="00000000" w:rsidRDefault="00000000" w:rsidRPr="00000000" w14:paraId="0000059B">
      <w:pPr>
        <w:jc w:val="both"/>
        <w:rPr/>
      </w:pPr>
      <w:r w:rsidDel="00000000" w:rsidR="00000000" w:rsidRPr="00000000">
        <w:rPr>
          <w:rtl w:val="0"/>
        </w:rPr>
      </w:r>
    </w:p>
    <w:p w:rsidR="00000000" w:rsidDel="00000000" w:rsidP="00000000" w:rsidRDefault="00000000" w:rsidRPr="00000000" w14:paraId="0000059C">
      <w:pPr>
        <w:jc w:val="both"/>
        <w:rPr/>
      </w:pPr>
      <w:r w:rsidDel="00000000" w:rsidR="00000000" w:rsidRPr="00000000">
        <w:rPr>
          <w:rtl w:val="0"/>
        </w:rPr>
        <w:t xml:space="preserve">Implications: Ciliary dysfunction contributes to age-related diseases such as polycystic kidney disease and neurodegeneration. The loss of ciliary function disrupts cellular communication and homeostasis, leading to tissue degeneration and disease progression (Goetz &amp; Anderson, 2010). For example, in PKD, defective cilia fail to sense fluid flow in renal tubules, resulting in abnormal cell proliferation and cyst formation (Harris &amp; Torres, 2009). In neurodegenerative diseases, impaired ciliary signaling disrupts neuronal maintenance and repair, accelerating disease onset and severity (Guemez-Gamboa et al., 2014). Understanding the role of centrioles in ciliary function and dysfunction could provide new therapeutic targets for treating age-related diseases and improving tissue repair.</w:t>
      </w:r>
    </w:p>
    <w:p w:rsidR="00000000" w:rsidDel="00000000" w:rsidP="00000000" w:rsidRDefault="00000000" w:rsidRPr="00000000" w14:paraId="0000059D">
      <w:pPr>
        <w:jc w:val="both"/>
        <w:rPr/>
      </w:pPr>
      <w:r w:rsidDel="00000000" w:rsidR="00000000" w:rsidRPr="00000000">
        <w:rPr>
          <w:rtl w:val="0"/>
        </w:rPr>
      </w:r>
    </w:p>
    <w:p w:rsidR="00000000" w:rsidDel="00000000" w:rsidP="00000000" w:rsidRDefault="00000000" w:rsidRPr="00000000" w14:paraId="0000059E">
      <w:pPr>
        <w:pStyle w:val="Heading4"/>
        <w:jc w:val="both"/>
        <w:rPr/>
      </w:pPr>
      <w:bookmarkStart w:colFirst="0" w:colLast="0" w:name="_o8l8wnr05peu" w:id="160"/>
      <w:bookmarkEnd w:id="160"/>
      <w:r w:rsidDel="00000000" w:rsidR="00000000" w:rsidRPr="00000000">
        <w:rPr>
          <w:rtl w:val="0"/>
        </w:rPr>
        <w:t xml:space="preserve">3.5.2.4 Cellular Senescence</w:t>
      </w:r>
    </w:p>
    <w:p w:rsidR="00000000" w:rsidDel="00000000" w:rsidP="00000000" w:rsidRDefault="00000000" w:rsidRPr="00000000" w14:paraId="0000059F">
      <w:pPr>
        <w:jc w:val="both"/>
        <w:rPr/>
      </w:pPr>
      <w:r w:rsidDel="00000000" w:rsidR="00000000" w:rsidRPr="00000000">
        <w:rPr>
          <w:rtl w:val="0"/>
        </w:rPr>
      </w:r>
    </w:p>
    <w:p w:rsidR="00000000" w:rsidDel="00000000" w:rsidP="00000000" w:rsidRDefault="00000000" w:rsidRPr="00000000" w14:paraId="000005A0">
      <w:pPr>
        <w:jc w:val="both"/>
        <w:rPr/>
      </w:pPr>
      <w:r w:rsidDel="00000000" w:rsidR="00000000" w:rsidRPr="00000000">
        <w:rPr>
          <w:rtl w:val="0"/>
        </w:rPr>
        <w:t xml:space="preserve">Mechanism: Centriole abnormalities trigger cellular senescence through mitotic errors or DNA damage responses. Cellular senescence is a state of permanent cell cycle arrest that is induced by various stressors, including DNA damage, oxidative stress, and mitotic errors. Centrioles play a critical role in ensuring accurate chromosome segregation during cell division, and defects in centriole structure or function can lead to mitotic errors such as multipolar spindle formation, chromosome missegregation, and aneuploidy (Nigg &amp; Holland, 2018). These errors can activate the DNA damage response (DDR) pathway, leading to the upregulation of tumor suppressors such as p53 and p16INK4a, which enforce cell cycle arrest and induce senescence (Funk et al., 2012). Additionally, centriole abnormalities can disrupt centrosome function, further contributing to genomic instability and senescence (Prosser &amp; Morrison, 2015).</w:t>
      </w:r>
    </w:p>
    <w:p w:rsidR="00000000" w:rsidDel="00000000" w:rsidP="00000000" w:rsidRDefault="00000000" w:rsidRPr="00000000" w14:paraId="000005A1">
      <w:pPr>
        <w:jc w:val="both"/>
        <w:rPr/>
      </w:pPr>
      <w:r w:rsidDel="00000000" w:rsidR="00000000" w:rsidRPr="00000000">
        <w:rPr>
          <w:rtl w:val="0"/>
        </w:rPr>
      </w:r>
    </w:p>
    <w:p w:rsidR="00000000" w:rsidDel="00000000" w:rsidP="00000000" w:rsidRDefault="00000000" w:rsidRPr="00000000" w14:paraId="000005A2">
      <w:pPr>
        <w:jc w:val="both"/>
        <w:rPr/>
      </w:pPr>
      <w:r w:rsidDel="00000000" w:rsidR="00000000" w:rsidRPr="00000000">
        <w:rPr>
          <w:rtl w:val="0"/>
        </w:rPr>
        <w:t xml:space="preserve">Evidence: Senescent cells with centrosome defects have been identified in aged tissues. Studies have shown that aged tissues, such as skin, liver, and lung, exhibit an increased prevalence of senescent cells with centrosome abnormalities (Rodier et al., 2011). For example, in aged human fibroblasts, centrosome amplification and structural defects are frequently observed, and these cells often display markers of senescence, such as senescence-associated β-galactosidase (SA-β-gal) activity and elevated expression of p16INK4a (Funk et al., 2012). Similarly, in mouse models of aging, centrosome dysfunction has been linked to the accumulation of senescent cells in various tissues, contributing to age-related tissue degeneration (Pineault et al., 2019).</w:t>
      </w:r>
    </w:p>
    <w:p w:rsidR="00000000" w:rsidDel="00000000" w:rsidP="00000000" w:rsidRDefault="00000000" w:rsidRPr="00000000" w14:paraId="000005A3">
      <w:pPr>
        <w:jc w:val="both"/>
        <w:rPr/>
      </w:pPr>
      <w:r w:rsidDel="00000000" w:rsidR="00000000" w:rsidRPr="00000000">
        <w:rPr>
          <w:rtl w:val="0"/>
        </w:rPr>
      </w:r>
    </w:p>
    <w:p w:rsidR="00000000" w:rsidDel="00000000" w:rsidP="00000000" w:rsidRDefault="00000000" w:rsidRPr="00000000" w14:paraId="000005A4">
      <w:pPr>
        <w:jc w:val="both"/>
        <w:rPr/>
      </w:pPr>
      <w:r w:rsidDel="00000000" w:rsidR="00000000" w:rsidRPr="00000000">
        <w:rPr>
          <w:rtl w:val="0"/>
        </w:rPr>
        <w:t xml:space="preserve">Implications: The senescence-associated secretory phenotype (SASP) contributes to chronic inflammation and tissue degeneration. Senescent cells secrete a variety of pro-inflammatory cytokines, chemokines, and proteases, collectively known as the SASP, which can disrupt tissue architecture and promote chronic inflammation (Campisi, 2013). This low-grade, systemic inflammation, often referred to as "inflammaging," is a hallmark of aging and is implicated in the pathogenesis of numerous age-related diseases, including cancer, cardiovascular disease, and neurodegenerative disorders (López-Otín et al., 2013). Centriole dysfunction and the resulting cellular senescence may thus play a key role in driving inflammaging and age-related tissue dysfunction. Targeting senescent cells or modulating the SASP could provide new therapeutic strategies for mitigating the effects of aging and preventing age-related diseases.</w:t>
      </w:r>
    </w:p>
    <w:p w:rsidR="00000000" w:rsidDel="00000000" w:rsidP="00000000" w:rsidRDefault="00000000" w:rsidRPr="00000000" w14:paraId="000005A5">
      <w:pPr>
        <w:jc w:val="both"/>
        <w:rPr/>
      </w:pPr>
      <w:r w:rsidDel="00000000" w:rsidR="00000000" w:rsidRPr="00000000">
        <w:rPr>
          <w:rtl w:val="0"/>
        </w:rPr>
      </w:r>
    </w:p>
    <w:p w:rsidR="00000000" w:rsidDel="00000000" w:rsidP="00000000" w:rsidRDefault="00000000" w:rsidRPr="00000000" w14:paraId="000005A6">
      <w:pPr>
        <w:pStyle w:val="Heading4"/>
        <w:jc w:val="both"/>
        <w:rPr/>
      </w:pPr>
      <w:bookmarkStart w:colFirst="0" w:colLast="0" w:name="_5wukhhc4nq74" w:id="161"/>
      <w:bookmarkEnd w:id="161"/>
      <w:r w:rsidDel="00000000" w:rsidR="00000000" w:rsidRPr="00000000">
        <w:rPr>
          <w:rtl w:val="0"/>
        </w:rPr>
        <w:t xml:space="preserve">3.5.2.5 Oxidative Stress and Centriole Damage</w:t>
      </w:r>
    </w:p>
    <w:p w:rsidR="00000000" w:rsidDel="00000000" w:rsidP="00000000" w:rsidRDefault="00000000" w:rsidRPr="00000000" w14:paraId="000005A7">
      <w:pPr>
        <w:jc w:val="both"/>
        <w:rPr/>
      </w:pPr>
      <w:r w:rsidDel="00000000" w:rsidR="00000000" w:rsidRPr="00000000">
        <w:rPr>
          <w:rtl w:val="0"/>
        </w:rPr>
        <w:br w:type="textWrapping"/>
        <w:t xml:space="preserve">Mechanism: Reactive oxygen species (ROS) damage centriolar proteins and microtubules. ROS are highly reactive molecules generated as byproducts of cellular metabolism, particularly in mitochondria. While ROS play important roles in cellular signaling, excessive ROS levels can cause oxidative damage to cellular components, including proteins, lipids, and DNA (Schieber &amp; Chandel, 2014). Centrioles, which are composed of microtubules and associated proteins, are particularly vulnerable to oxidative damage due to their structural complexity and critical role in cell division and cilia formation. ROS can modify centriolar proteins, disrupt microtubule dynamics, and impair centrosome function, leading to defects in mitosis, ciliogenesis, and cellular organization (Funk et al., 2012).</w:t>
      </w:r>
    </w:p>
    <w:p w:rsidR="00000000" w:rsidDel="00000000" w:rsidP="00000000" w:rsidRDefault="00000000" w:rsidRPr="00000000" w14:paraId="000005A8">
      <w:pPr>
        <w:jc w:val="both"/>
        <w:rPr/>
      </w:pPr>
      <w:r w:rsidDel="00000000" w:rsidR="00000000" w:rsidRPr="00000000">
        <w:rPr>
          <w:rtl w:val="0"/>
        </w:rPr>
      </w:r>
    </w:p>
    <w:p w:rsidR="00000000" w:rsidDel="00000000" w:rsidP="00000000" w:rsidRDefault="00000000" w:rsidRPr="00000000" w14:paraId="000005A9">
      <w:pPr>
        <w:jc w:val="both"/>
        <w:rPr/>
      </w:pPr>
      <w:r w:rsidDel="00000000" w:rsidR="00000000" w:rsidRPr="00000000">
        <w:rPr>
          <w:rtl w:val="0"/>
        </w:rPr>
        <w:t xml:space="preserve">Evidence: Increased oxidative damage to centrosomes has been observed in aged cells. Studies have shown that aged cells exhibit higher levels of oxidative stress markers, such as protein carbonylation and lipid peroxidation, which correlate with centrosome abnormalities (Funk et al., 2012). For example, in aged fibroblasts, oxidative damage to centrosomal proteins has been linked to centrosome amplification and mitotic defects (Prosser &amp; Morrison, 2015). Additionally, experimental induction of oxidative stress in cultured cells results in centrosome fragmentation and impaired cilia formation, further supporting the role of ROS in centriole dysfunction (Pihan, 2013).</w:t>
      </w:r>
    </w:p>
    <w:p w:rsidR="00000000" w:rsidDel="00000000" w:rsidP="00000000" w:rsidRDefault="00000000" w:rsidRPr="00000000" w14:paraId="000005AA">
      <w:pPr>
        <w:jc w:val="both"/>
        <w:rPr/>
      </w:pPr>
      <w:r w:rsidDel="00000000" w:rsidR="00000000" w:rsidRPr="00000000">
        <w:rPr>
          <w:rtl w:val="0"/>
        </w:rPr>
      </w:r>
    </w:p>
    <w:p w:rsidR="00000000" w:rsidDel="00000000" w:rsidP="00000000" w:rsidRDefault="00000000" w:rsidRPr="00000000" w14:paraId="000005AB">
      <w:pPr>
        <w:jc w:val="both"/>
        <w:rPr/>
      </w:pPr>
      <w:r w:rsidDel="00000000" w:rsidR="00000000" w:rsidRPr="00000000">
        <w:rPr>
          <w:rtl w:val="0"/>
        </w:rPr>
        <w:t xml:space="preserve">Implications: Cumulative damage to centrioles leads to impaired cell division and ciliary function. Oxidative damage to centrioles can disrupt their ability to organize the mitotic spindle, resulting in chromosome missegregation, aneuploidy, and genomic instability (Finkel &amp; Holbrook, 2000). These defects contribute to cellular senescence, tissue degeneration, and increased cancer risk. Furthermore, oxidative damage to centrioles can impair the formation and function of primary cilia, disrupting critical signaling pathways such as Hedgehog and Wnt, which are essential for tissue development and homeostasis (Anvarian et al., 2019). Over time, the accumulation of oxidative damage to centrioles and centrosomes may play a significant role in the decline of cellular and tissue function observed during aging.</w:t>
      </w:r>
    </w:p>
    <w:p w:rsidR="00000000" w:rsidDel="00000000" w:rsidP="00000000" w:rsidRDefault="00000000" w:rsidRPr="00000000" w14:paraId="000005AC">
      <w:pPr>
        <w:jc w:val="both"/>
        <w:rPr/>
      </w:pPr>
      <w:r w:rsidDel="00000000" w:rsidR="00000000" w:rsidRPr="00000000">
        <w:rPr>
          <w:rtl w:val="0"/>
        </w:rPr>
      </w:r>
    </w:p>
    <w:p w:rsidR="00000000" w:rsidDel="00000000" w:rsidP="00000000" w:rsidRDefault="00000000" w:rsidRPr="00000000" w14:paraId="000005AD">
      <w:pPr>
        <w:pStyle w:val="Heading4"/>
        <w:jc w:val="both"/>
        <w:rPr/>
      </w:pPr>
      <w:bookmarkStart w:colFirst="0" w:colLast="0" w:name="_c5im3ev8jz8f" w:id="162"/>
      <w:bookmarkEnd w:id="162"/>
      <w:r w:rsidDel="00000000" w:rsidR="00000000" w:rsidRPr="00000000">
        <w:rPr>
          <w:rtl w:val="0"/>
        </w:rPr>
        <w:t xml:space="preserve">3.5.2.6 Centrosome Aging Hypothesis</w:t>
      </w:r>
    </w:p>
    <w:p w:rsidR="00000000" w:rsidDel="00000000" w:rsidP="00000000" w:rsidRDefault="00000000" w:rsidRPr="00000000" w14:paraId="000005AE">
      <w:pPr>
        <w:jc w:val="both"/>
        <w:rPr/>
      </w:pPr>
      <w:r w:rsidDel="00000000" w:rsidR="00000000" w:rsidRPr="00000000">
        <w:rPr>
          <w:rtl w:val="0"/>
        </w:rPr>
        <w:br w:type="textWrapping"/>
        <w:t xml:space="preserve">Mechanism: Cumulative damage to centrosomes limits replicative potential (Hayflick limit). The centrosome aging hypothesis proposes that centrosomes, like other cellular components, accumulate damage over time, leading to a decline in their function and contributing to the finite replicative capacity of cells, known as the Hayflick limit (Hayflick &amp; Moorhead, 1961). Centrosomes are essential for organizing the mitotic spindle and ensuring accurate chromosome segregation during cell division. Over time, oxidative stress, DNA damage, and protein misfolding can impair centrosome function, leading to mitotic errors, genomic instability, and eventual cell cycle arrest (Nigg &amp; Holland, 2018). This progressive decline in centrosome function is thought to play a key role in cellular aging and the loss of tissue regenerative capacity.</w:t>
      </w:r>
    </w:p>
    <w:p w:rsidR="00000000" w:rsidDel="00000000" w:rsidP="00000000" w:rsidRDefault="00000000" w:rsidRPr="00000000" w14:paraId="000005AF">
      <w:pPr>
        <w:jc w:val="both"/>
        <w:rPr/>
      </w:pPr>
      <w:r w:rsidDel="00000000" w:rsidR="00000000" w:rsidRPr="00000000">
        <w:rPr>
          <w:rtl w:val="0"/>
        </w:rPr>
      </w:r>
    </w:p>
    <w:p w:rsidR="00000000" w:rsidDel="00000000" w:rsidP="00000000" w:rsidRDefault="00000000" w:rsidRPr="00000000" w14:paraId="000005B0">
      <w:pPr>
        <w:jc w:val="both"/>
        <w:rPr/>
      </w:pPr>
      <w:r w:rsidDel="00000000" w:rsidR="00000000" w:rsidRPr="00000000">
        <w:rPr>
          <w:rtl w:val="0"/>
        </w:rPr>
        <w:t xml:space="preserve">Evidence: Reduced centrosome function has been observed in senescent cells. Studies have shown that senescent cells, which have reached their replicative limit, often exhibit centrosome abnormalities such as fragmentation, overduplication, and mislocalization (Hinchcliffe &amp; Sluder, 2001). For example, in aged human fibroblasts, centrosome dysfunction is associated with increased levels of p16INK4a, a marker of cellular senescence, and reduced ability to form functional mitotic spindles (Funk et al., 2012). Additionally, experiments in model organisms, such as Drosophila and mice, have demonstrated that centrosome defects accelerate aging phenotypes, including tissue atrophy and reduced lifespan (Basto et al., 2008; Pineault et al., 2019).</w:t>
      </w:r>
    </w:p>
    <w:p w:rsidR="00000000" w:rsidDel="00000000" w:rsidP="00000000" w:rsidRDefault="00000000" w:rsidRPr="00000000" w14:paraId="000005B1">
      <w:pPr>
        <w:jc w:val="both"/>
        <w:rPr/>
      </w:pPr>
      <w:r w:rsidDel="00000000" w:rsidR="00000000" w:rsidRPr="00000000">
        <w:rPr>
          <w:rtl w:val="0"/>
        </w:rPr>
      </w:r>
    </w:p>
    <w:p w:rsidR="00000000" w:rsidDel="00000000" w:rsidP="00000000" w:rsidRDefault="00000000" w:rsidRPr="00000000" w14:paraId="000005B2">
      <w:pPr>
        <w:jc w:val="both"/>
        <w:rPr/>
      </w:pPr>
      <w:r w:rsidDel="00000000" w:rsidR="00000000" w:rsidRPr="00000000">
        <w:rPr>
          <w:rtl w:val="0"/>
        </w:rPr>
        <w:t xml:space="preserve">Implications: Centrosome dysfunction contributes to tissue atrophy and aging. As centrosomes play a critical role in cell division and tissue homeostasis, their decline in function can lead to impaired tissue regeneration and repair. This is particularly evident in tissues with high turnover rates, such as the skin, blood, and intestinal epithelium, where centrosome dysfunction can result in stem cell depletion and reduced regenerative capacity (Rando &amp; Chang, 2012). Furthermore, centrosome abnormalities can promote the accumulation of senescent cells, which secrete pro-inflammatory factors that contribute to chronic inflammation and tissue degeneration, a hallmark of aging (Campisi, 2013). Understanding the role of centrosome aging in cellular and organismal aging could provide new insights into the mechanisms of aging and potential strategies for promoting healthy aging.</w:t>
      </w:r>
    </w:p>
    <w:p w:rsidR="00000000" w:rsidDel="00000000" w:rsidP="00000000" w:rsidRDefault="00000000" w:rsidRPr="00000000" w14:paraId="000005B3">
      <w:pPr>
        <w:jc w:val="both"/>
        <w:rPr/>
      </w:pPr>
      <w:r w:rsidDel="00000000" w:rsidR="00000000" w:rsidRPr="00000000">
        <w:rPr>
          <w:rtl w:val="0"/>
        </w:rPr>
      </w:r>
    </w:p>
    <w:p w:rsidR="00000000" w:rsidDel="00000000" w:rsidP="00000000" w:rsidRDefault="00000000" w:rsidRPr="00000000" w14:paraId="000005B4">
      <w:pPr>
        <w:pStyle w:val="Heading4"/>
        <w:jc w:val="both"/>
        <w:rPr/>
      </w:pPr>
      <w:bookmarkStart w:colFirst="0" w:colLast="0" w:name="_p7lr0l6vrk3l" w:id="163"/>
      <w:bookmarkEnd w:id="163"/>
      <w:r w:rsidDel="00000000" w:rsidR="00000000" w:rsidRPr="00000000">
        <w:rPr>
          <w:rtl w:val="0"/>
        </w:rPr>
        <w:t xml:space="preserve">3.5.2.7 Centriolar Theory of Organismal Aging</w:t>
      </w:r>
    </w:p>
    <w:p w:rsidR="00000000" w:rsidDel="00000000" w:rsidP="00000000" w:rsidRDefault="00000000" w:rsidRPr="00000000" w14:paraId="000005B5">
      <w:pPr>
        <w:jc w:val="both"/>
        <w:rPr/>
      </w:pPr>
      <w:r w:rsidDel="00000000" w:rsidR="00000000" w:rsidRPr="00000000">
        <w:rPr>
          <w:rtl w:val="0"/>
        </w:rPr>
      </w:r>
    </w:p>
    <w:p w:rsidR="00000000" w:rsidDel="00000000" w:rsidP="00000000" w:rsidRDefault="00000000" w:rsidRPr="00000000" w14:paraId="000005B6">
      <w:pPr>
        <w:jc w:val="both"/>
        <w:rPr/>
      </w:pPr>
      <w:r w:rsidDel="00000000" w:rsidR="00000000" w:rsidRPr="00000000">
        <w:rPr>
          <w:rtl w:val="0"/>
        </w:rPr>
        <w:t xml:space="preserve">Mechanism: In cells, processes for detecting and repairing defects are constantly active, ensuring the maintenance of cellular integrity. These mechanisms encompass a wide range of cellular components, including molecules, structures, organelles, and organoids. Moreover, during asymmetric divisions of human stem cells, new molecules, structures, organelles, and organoids are selectively segregated into the valuable sibling stem cell, while old molecules, structures, organelles, and organoids are preferentially directed into the expendable sibling cell, which embarks on the path of differentiation. However, centrioles stand as a remarkable exception. Unlike other cellular structures, damaged centrioles are not subject to repair. Even minor structural changes in centrioles can lead to severe consequences for the tissue. These consequences include cell cycle exit, resulting in cellular senescence, or uncontrolled division leading to tumorigenic transformation (Bettencourt-Dias &amp; Glover, 2007; Nigg &amp; Stearns, 2011). It is easy to imagine what happens over time in an organism filled with non-repairable centrioles.</w:t>
      </w:r>
    </w:p>
    <w:p w:rsidR="00000000" w:rsidDel="00000000" w:rsidP="00000000" w:rsidRDefault="00000000" w:rsidRPr="00000000" w14:paraId="000005B7">
      <w:pPr>
        <w:jc w:val="both"/>
        <w:rPr/>
      </w:pPr>
      <w:r w:rsidDel="00000000" w:rsidR="00000000" w:rsidRPr="00000000">
        <w:rPr>
          <w:rtl w:val="0"/>
        </w:rPr>
      </w:r>
    </w:p>
    <w:p w:rsidR="00000000" w:rsidDel="00000000" w:rsidP="00000000" w:rsidRDefault="00000000" w:rsidRPr="00000000" w14:paraId="000005B8">
      <w:pPr>
        <w:jc w:val="both"/>
        <w:rPr/>
      </w:pPr>
      <w:r w:rsidDel="00000000" w:rsidR="00000000" w:rsidRPr="00000000">
        <w:rPr>
          <w:rtl w:val="0"/>
        </w:rPr>
        <w:t xml:space="preserve">Evidence: Research has shown that centrioles retain their structure throughout the cell cycle, yet over time, they accumulate damage. This damage accumulates every second, contributing to cellular dysfunction and, as a result, the aging of the organism (Piel, Nordberg, Euteneuer, &amp; Bornens, 2001).</w:t>
      </w:r>
    </w:p>
    <w:p w:rsidR="00000000" w:rsidDel="00000000" w:rsidP="00000000" w:rsidRDefault="00000000" w:rsidRPr="00000000" w14:paraId="000005B9">
      <w:pPr>
        <w:jc w:val="both"/>
        <w:rPr/>
      </w:pPr>
      <w:r w:rsidDel="00000000" w:rsidR="00000000" w:rsidRPr="00000000">
        <w:rPr>
          <w:rtl w:val="0"/>
        </w:rPr>
      </w:r>
    </w:p>
    <w:p w:rsidR="00000000" w:rsidDel="00000000" w:rsidP="00000000" w:rsidRDefault="00000000" w:rsidRPr="00000000" w14:paraId="000005BA">
      <w:pPr>
        <w:jc w:val="both"/>
        <w:rPr/>
      </w:pPr>
      <w:r w:rsidDel="00000000" w:rsidR="00000000" w:rsidRPr="00000000">
        <w:rPr>
          <w:rtl w:val="0"/>
        </w:rPr>
        <w:t xml:space="preserve">Disruptions in centriole function are associated with chromosomal instability—a hallmark of cancer. The loss of centriole integrity can lead to the formation of an abnormal mitotic spindle, resulting in aneuploidy and tumorigenic transformation of cells (Ganem, Godinho, &amp; Pellman, 2009).</w:t>
      </w:r>
    </w:p>
    <w:p w:rsidR="00000000" w:rsidDel="00000000" w:rsidP="00000000" w:rsidRDefault="00000000" w:rsidRPr="00000000" w14:paraId="000005BB">
      <w:pPr>
        <w:jc w:val="both"/>
        <w:rPr/>
      </w:pPr>
      <w:r w:rsidDel="00000000" w:rsidR="00000000" w:rsidRPr="00000000">
        <w:rPr>
          <w:rtl w:val="0"/>
        </w:rPr>
      </w:r>
    </w:p>
    <w:p w:rsidR="00000000" w:rsidDel="00000000" w:rsidP="00000000" w:rsidRDefault="00000000" w:rsidRPr="00000000" w14:paraId="000005BC">
      <w:pPr>
        <w:jc w:val="both"/>
        <w:rPr/>
      </w:pPr>
      <w:r w:rsidDel="00000000" w:rsidR="00000000" w:rsidRPr="00000000">
        <w:rPr>
          <w:rtl w:val="0"/>
        </w:rPr>
        <w:t xml:space="preserve">Experimental interference with centriole structure can trigger cellular senescence—a state of permanent cell cycle arrest. This underscores the critical role of centrioles in maintaining the proliferative capacity of cells (Mikule, Pitluk, &amp; Buster, 2007).</w:t>
      </w:r>
    </w:p>
    <w:p w:rsidR="00000000" w:rsidDel="00000000" w:rsidP="00000000" w:rsidRDefault="00000000" w:rsidRPr="00000000" w14:paraId="000005BD">
      <w:pPr>
        <w:jc w:val="both"/>
        <w:rPr/>
      </w:pPr>
      <w:r w:rsidDel="00000000" w:rsidR="00000000" w:rsidRPr="00000000">
        <w:rPr>
          <w:rtl w:val="0"/>
        </w:rPr>
        <w:t xml:space="preserve">Consequences: The inability to repair centrioles has serious implications for tissue homeostasis and organismal aging. Over time, accumulated centriole damage can lead to:</w:t>
      </w:r>
    </w:p>
    <w:p w:rsidR="00000000" w:rsidDel="00000000" w:rsidP="00000000" w:rsidRDefault="00000000" w:rsidRPr="00000000" w14:paraId="000005BE">
      <w:pPr>
        <w:jc w:val="both"/>
        <w:rPr/>
      </w:pPr>
      <w:r w:rsidDel="00000000" w:rsidR="00000000" w:rsidRPr="00000000">
        <w:rPr>
          <w:rtl w:val="0"/>
        </w:rPr>
      </w:r>
    </w:p>
    <w:p w:rsidR="00000000" w:rsidDel="00000000" w:rsidP="00000000" w:rsidRDefault="00000000" w:rsidRPr="00000000" w14:paraId="000005BF">
      <w:pPr>
        <w:numPr>
          <w:ilvl w:val="0"/>
          <w:numId w:val="36"/>
        </w:numPr>
        <w:ind w:left="720" w:hanging="360"/>
        <w:jc w:val="both"/>
      </w:pPr>
      <w:r w:rsidDel="00000000" w:rsidR="00000000" w:rsidRPr="00000000">
        <w:rPr>
          <w:rtl w:val="0"/>
        </w:rPr>
        <w:t xml:space="preserve">Enhanced cellular senescence, which contributes to tissue degeneration and the aging process.</w:t>
      </w:r>
    </w:p>
    <w:p w:rsidR="00000000" w:rsidDel="00000000" w:rsidP="00000000" w:rsidRDefault="00000000" w:rsidRPr="00000000" w14:paraId="000005C0">
      <w:pPr>
        <w:numPr>
          <w:ilvl w:val="0"/>
          <w:numId w:val="36"/>
        </w:numPr>
        <w:ind w:left="720" w:hanging="360"/>
        <w:jc w:val="both"/>
      </w:pPr>
      <w:r w:rsidDel="00000000" w:rsidR="00000000" w:rsidRPr="00000000">
        <w:rPr>
          <w:rtl w:val="0"/>
        </w:rPr>
        <w:t xml:space="preserve">Increased cancer risk due to chromosomal instability caused by defective centrioles.</w:t>
      </w:r>
    </w:p>
    <w:p w:rsidR="00000000" w:rsidDel="00000000" w:rsidP="00000000" w:rsidRDefault="00000000" w:rsidRPr="00000000" w14:paraId="000005C1">
      <w:pPr>
        <w:numPr>
          <w:ilvl w:val="0"/>
          <w:numId w:val="36"/>
        </w:numPr>
        <w:ind w:left="720" w:hanging="360"/>
        <w:jc w:val="both"/>
      </w:pPr>
      <w:r w:rsidDel="00000000" w:rsidR="00000000" w:rsidRPr="00000000">
        <w:rPr>
          <w:rtl w:val="0"/>
        </w:rPr>
        <w:t xml:space="preserve">Reduced regenerative potential of tissues, as cells with damaged centrioles exit the mitotic cycle.</w:t>
      </w:r>
    </w:p>
    <w:p w:rsidR="00000000" w:rsidDel="00000000" w:rsidP="00000000" w:rsidRDefault="00000000" w:rsidRPr="00000000" w14:paraId="000005C2">
      <w:pPr>
        <w:jc w:val="both"/>
        <w:rPr/>
      </w:pPr>
      <w:r w:rsidDel="00000000" w:rsidR="00000000" w:rsidRPr="00000000">
        <w:rPr>
          <w:rtl w:val="0"/>
        </w:rPr>
      </w:r>
    </w:p>
    <w:p w:rsidR="00000000" w:rsidDel="00000000" w:rsidP="00000000" w:rsidRDefault="00000000" w:rsidRPr="00000000" w14:paraId="000005C3">
      <w:pPr>
        <w:jc w:val="both"/>
        <w:rPr/>
      </w:pPr>
      <w:r w:rsidDel="00000000" w:rsidR="00000000" w:rsidRPr="00000000">
        <w:rPr>
          <w:rtl w:val="0"/>
        </w:rPr>
        <w:t xml:space="preserve">Many terminally differentiated cells eliminate the centriole, effectively reducing their entropy to nearly zero. Unicellular organisms and plant cells function well without centrioles. However, they lack true tissues and irreversible differentiation. It is likely that non-repairable centrioles, which accumulate entropy and thereby drive organismal aging, are primarily necessary for complex processes of irreversible differentiation. Organismal aging appears to be the price paid for irreversible differentiation.</w:t>
      </w:r>
    </w:p>
    <w:p w:rsidR="00000000" w:rsidDel="00000000" w:rsidP="00000000" w:rsidRDefault="00000000" w:rsidRPr="00000000" w14:paraId="000005C4">
      <w:pPr>
        <w:jc w:val="both"/>
        <w:rPr/>
      </w:pPr>
      <w:r w:rsidDel="00000000" w:rsidR="00000000" w:rsidRPr="00000000">
        <w:rPr>
          <w:rtl w:val="0"/>
        </w:rPr>
      </w:r>
    </w:p>
    <w:p w:rsidR="00000000" w:rsidDel="00000000" w:rsidP="00000000" w:rsidRDefault="00000000" w:rsidRPr="00000000" w14:paraId="000005C5">
      <w:pPr>
        <w:pStyle w:val="Heading4"/>
        <w:jc w:val="both"/>
        <w:rPr/>
      </w:pPr>
      <w:bookmarkStart w:colFirst="0" w:colLast="0" w:name="_mdmt88dlrwk1" w:id="164"/>
      <w:bookmarkEnd w:id="164"/>
      <w:r w:rsidDel="00000000" w:rsidR="00000000" w:rsidRPr="00000000">
        <w:rPr>
          <w:rtl w:val="0"/>
        </w:rPr>
        <w:t xml:space="preserve">3.5.2.8 Centriolar Theory of Differentiation and Proliferative Cellular Aging</w:t>
      </w:r>
    </w:p>
    <w:p w:rsidR="00000000" w:rsidDel="00000000" w:rsidP="00000000" w:rsidRDefault="00000000" w:rsidRPr="00000000" w14:paraId="000005C6">
      <w:pPr>
        <w:jc w:val="both"/>
        <w:rPr/>
      </w:pPr>
      <w:r w:rsidDel="00000000" w:rsidR="00000000" w:rsidRPr="00000000">
        <w:rPr>
          <w:rtl w:val="0"/>
        </w:rPr>
      </w:r>
    </w:p>
    <w:p w:rsidR="00000000" w:rsidDel="00000000" w:rsidP="00000000" w:rsidRDefault="00000000" w:rsidRPr="00000000" w14:paraId="000005C7">
      <w:pPr>
        <w:jc w:val="both"/>
        <w:rPr/>
      </w:pPr>
      <w:r w:rsidDel="00000000" w:rsidR="00000000" w:rsidRPr="00000000">
        <w:rPr>
          <w:rtl w:val="0"/>
        </w:rPr>
        <w:t xml:space="preserve">Mechanism: During embryogenesis of multicellular animals, as zygotic progeny cells lose their totipotency, it is hypothesized that two distinct sets of irreversible differentiation inducers form based on nuclear and mitochondrial DNA. These sets of inducers double with each subsequent cell division. The irreversible differentiation inducer sets associate with centrioles (except in species with unlimited regeneration). Each pair of inducer sets is linked to one of the centrioles. During cell division, these sets double and bind to newly formed corresponding centrioles in parallel with centriole duplication.</w:t>
      </w:r>
    </w:p>
    <w:p w:rsidR="00000000" w:rsidDel="00000000" w:rsidP="00000000" w:rsidRDefault="00000000" w:rsidRPr="00000000" w14:paraId="000005C8">
      <w:pPr>
        <w:jc w:val="both"/>
        <w:rPr/>
      </w:pPr>
      <w:r w:rsidDel="00000000" w:rsidR="00000000" w:rsidRPr="00000000">
        <w:rPr>
          <w:rtl w:val="0"/>
        </w:rPr>
      </w:r>
    </w:p>
    <w:p w:rsidR="00000000" w:rsidDel="00000000" w:rsidP="00000000" w:rsidRDefault="00000000" w:rsidRPr="00000000" w14:paraId="000005C9">
      <w:pPr>
        <w:jc w:val="both"/>
        <w:rPr/>
      </w:pPr>
      <w:r w:rsidDel="00000000" w:rsidR="00000000" w:rsidRPr="00000000">
        <w:rPr>
          <w:rtl w:val="0"/>
        </w:rPr>
        <w:t xml:space="preserve">During asymmetric divisions, one irreversible differentiation inducer separates from the inducer set. There are two systems of asymmetric division:</w:t>
      </w:r>
    </w:p>
    <w:p w:rsidR="00000000" w:rsidDel="00000000" w:rsidP="00000000" w:rsidRDefault="00000000" w:rsidRPr="00000000" w14:paraId="000005CA">
      <w:pPr>
        <w:jc w:val="both"/>
        <w:rPr/>
      </w:pPr>
      <w:r w:rsidDel="00000000" w:rsidR="00000000" w:rsidRPr="00000000">
        <w:rPr>
          <w:rtl w:val="0"/>
        </w:rPr>
      </w:r>
    </w:p>
    <w:p w:rsidR="00000000" w:rsidDel="00000000" w:rsidP="00000000" w:rsidRDefault="00000000" w:rsidRPr="00000000" w14:paraId="000005CB">
      <w:pPr>
        <w:numPr>
          <w:ilvl w:val="0"/>
          <w:numId w:val="34"/>
        </w:numPr>
        <w:ind w:left="720" w:hanging="360"/>
        <w:jc w:val="both"/>
      </w:pPr>
      <w:r w:rsidDel="00000000" w:rsidR="00000000" w:rsidRPr="00000000">
        <w:rPr>
          <w:rtl w:val="0"/>
        </w:rPr>
        <w:t xml:space="preserve">Old (maternal) centrioles accumulate in sibling cells that are undergoing differentiation.</w:t>
      </w:r>
    </w:p>
    <w:p w:rsidR="00000000" w:rsidDel="00000000" w:rsidP="00000000" w:rsidRDefault="00000000" w:rsidRPr="00000000" w14:paraId="000005CC">
      <w:pPr>
        <w:numPr>
          <w:ilvl w:val="0"/>
          <w:numId w:val="34"/>
        </w:numPr>
        <w:ind w:left="720" w:hanging="360"/>
        <w:jc w:val="both"/>
      </w:pPr>
      <w:r w:rsidDel="00000000" w:rsidR="00000000" w:rsidRPr="00000000">
        <w:rPr>
          <w:rtl w:val="0"/>
        </w:rPr>
        <w:t xml:space="preserve">Old (maternal) centrioles accumulate in sibling stem cells.</w:t>
      </w:r>
    </w:p>
    <w:p w:rsidR="00000000" w:rsidDel="00000000" w:rsidP="00000000" w:rsidRDefault="00000000" w:rsidRPr="00000000" w14:paraId="000005CD">
      <w:pPr>
        <w:jc w:val="both"/>
        <w:rPr/>
      </w:pPr>
      <w:r w:rsidDel="00000000" w:rsidR="00000000" w:rsidRPr="00000000">
        <w:rPr>
          <w:rtl w:val="0"/>
        </w:rPr>
      </w:r>
    </w:p>
    <w:p w:rsidR="00000000" w:rsidDel="00000000" w:rsidP="00000000" w:rsidRDefault="00000000" w:rsidRPr="00000000" w14:paraId="000005CE">
      <w:pPr>
        <w:jc w:val="both"/>
        <w:rPr/>
      </w:pPr>
      <w:r w:rsidDel="00000000" w:rsidR="00000000" w:rsidRPr="00000000">
        <w:rPr>
          <w:rtl w:val="0"/>
        </w:rPr>
        <w:t xml:space="preserve">The choice of system depends on whether the irreversible differentiation inducer detaches from the old or young centriole. In the first system, the inducer detaches from the set attached to the old centriole, leaving the old centriole in the non-stem sibling cell. In the second system, the inducer detaches from the set attached to the young centriole, leaving the old centriole in the stem cell. It is likely that organisms can alternate between these two systems of asymmetric division.</w:t>
      </w:r>
    </w:p>
    <w:p w:rsidR="00000000" w:rsidDel="00000000" w:rsidP="00000000" w:rsidRDefault="00000000" w:rsidRPr="00000000" w14:paraId="000005CF">
      <w:pPr>
        <w:jc w:val="both"/>
        <w:rPr/>
      </w:pPr>
      <w:r w:rsidDel="00000000" w:rsidR="00000000" w:rsidRPr="00000000">
        <w:rPr>
          <w:rtl w:val="0"/>
        </w:rPr>
      </w:r>
    </w:p>
    <w:p w:rsidR="00000000" w:rsidDel="00000000" w:rsidP="00000000" w:rsidRDefault="00000000" w:rsidRPr="00000000" w14:paraId="000005D0">
      <w:pPr>
        <w:jc w:val="both"/>
        <w:rPr/>
      </w:pPr>
      <w:r w:rsidDel="00000000" w:rsidR="00000000" w:rsidRPr="00000000">
        <w:rPr>
          <w:rtl w:val="0"/>
        </w:rPr>
        <w:t xml:space="preserve">Studies have shown that centrioles exhibit age-dependent asymmetry during stem cell division. In Drosophila germline stem cells, the maternal centriole is preferentially retained in the stem cell, while the daughter centriole is passed on to the differentiating cell. This asymmetry plays a critical role in maintaining the identity and function of stem cells (Yamashita et al., 2007).</w:t>
      </w:r>
    </w:p>
    <w:p w:rsidR="00000000" w:rsidDel="00000000" w:rsidP="00000000" w:rsidRDefault="00000000" w:rsidRPr="00000000" w14:paraId="000005D1">
      <w:pPr>
        <w:jc w:val="both"/>
        <w:rPr/>
      </w:pPr>
      <w:r w:rsidDel="00000000" w:rsidR="00000000" w:rsidRPr="00000000">
        <w:rPr>
          <w:rtl w:val="0"/>
        </w:rPr>
      </w:r>
    </w:p>
    <w:p w:rsidR="00000000" w:rsidDel="00000000" w:rsidP="00000000" w:rsidRDefault="00000000" w:rsidRPr="00000000" w14:paraId="000005D2">
      <w:pPr>
        <w:jc w:val="both"/>
        <w:rPr/>
      </w:pPr>
      <w:r w:rsidDel="00000000" w:rsidR="00000000" w:rsidRPr="00000000">
        <w:rPr>
          <w:rtl w:val="0"/>
        </w:rPr>
        <w:t xml:space="preserve">The centriole serves as a structure for transporting, distributing, and releasing irreversible differentiation inducers. It is clear that any crude interference with such a structure would disrupt the finely tuned mechanism of differentiation. Therefore, centrioles are not repaired and are neither removed nor inactivated before terminal differentiation.</w:t>
      </w:r>
    </w:p>
    <w:p w:rsidR="00000000" w:rsidDel="00000000" w:rsidP="00000000" w:rsidRDefault="00000000" w:rsidRPr="00000000" w14:paraId="000005D3">
      <w:pPr>
        <w:jc w:val="both"/>
        <w:rPr/>
      </w:pPr>
      <w:r w:rsidDel="00000000" w:rsidR="00000000" w:rsidRPr="00000000">
        <w:rPr>
          <w:rtl w:val="0"/>
        </w:rPr>
      </w:r>
    </w:p>
    <w:p w:rsidR="00000000" w:rsidDel="00000000" w:rsidP="00000000" w:rsidRDefault="00000000" w:rsidRPr="00000000" w14:paraId="000005D4">
      <w:pPr>
        <w:jc w:val="both"/>
        <w:rPr/>
      </w:pPr>
      <w:r w:rsidDel="00000000" w:rsidR="00000000" w:rsidRPr="00000000">
        <w:rPr>
          <w:rtl w:val="0"/>
        </w:rPr>
        <w:t xml:space="preserve">Evidence: Research indicates that centriole dysfunction accumulates with age, leading to impaired cell division and tissue homeostasis. For instance, in mammals, aging centrioles exhibit structural defects that disrupt mitotic spindle formation, promoting cellular senescence and tissue degeneration (Piel et al., 2001).</w:t>
      </w:r>
    </w:p>
    <w:p w:rsidR="00000000" w:rsidDel="00000000" w:rsidP="00000000" w:rsidRDefault="00000000" w:rsidRPr="00000000" w14:paraId="000005D5">
      <w:pPr>
        <w:jc w:val="both"/>
        <w:rPr/>
      </w:pPr>
      <w:r w:rsidDel="00000000" w:rsidR="00000000" w:rsidRPr="00000000">
        <w:rPr>
          <w:rtl w:val="0"/>
        </w:rPr>
      </w:r>
    </w:p>
    <w:p w:rsidR="00000000" w:rsidDel="00000000" w:rsidP="00000000" w:rsidRDefault="00000000" w:rsidRPr="00000000" w14:paraId="000005D6">
      <w:pPr>
        <w:jc w:val="both"/>
        <w:rPr/>
      </w:pPr>
      <w:r w:rsidDel="00000000" w:rsidR="00000000" w:rsidRPr="00000000">
        <w:rPr>
          <w:rtl w:val="0"/>
        </w:rPr>
        <w:t xml:space="preserve">In neural progenitor cells, asymmetric centriole inheritance is observed, where the maternal centriole is retained in the progenitor cell while the daughter centriole is passed to the differentiating cell. This process ensures the maintenance of the progenitor cell pool while allowing simultaneous tissue differentiation (Wang et al., 2009).</w:t>
      </w:r>
    </w:p>
    <w:p w:rsidR="00000000" w:rsidDel="00000000" w:rsidP="00000000" w:rsidRDefault="00000000" w:rsidRPr="00000000" w14:paraId="000005D7">
      <w:pPr>
        <w:jc w:val="both"/>
        <w:rPr/>
      </w:pPr>
      <w:r w:rsidDel="00000000" w:rsidR="00000000" w:rsidRPr="00000000">
        <w:rPr>
          <w:rtl w:val="0"/>
        </w:rPr>
      </w:r>
    </w:p>
    <w:p w:rsidR="00000000" w:rsidDel="00000000" w:rsidP="00000000" w:rsidRDefault="00000000" w:rsidRPr="00000000" w14:paraId="000005D8">
      <w:pPr>
        <w:jc w:val="both"/>
        <w:rPr/>
      </w:pPr>
      <w:r w:rsidDel="00000000" w:rsidR="00000000" w:rsidRPr="00000000">
        <w:rPr>
          <w:rtl w:val="0"/>
        </w:rPr>
        <w:t xml:space="preserve">Centriole defects are linked to chromosomal instability and cancer development. Dysfunctional centrioles can lead to improper chromosome segregation, resulting in aneuploidy and tumorigenic transformation. This highlights the importance of centriole structural integrity in preventing oncogenic processes (Ganem et al., 2009).</w:t>
      </w:r>
    </w:p>
    <w:p w:rsidR="00000000" w:rsidDel="00000000" w:rsidP="00000000" w:rsidRDefault="00000000" w:rsidRPr="00000000" w14:paraId="000005D9">
      <w:pPr>
        <w:jc w:val="both"/>
        <w:rPr/>
      </w:pPr>
      <w:r w:rsidDel="00000000" w:rsidR="00000000" w:rsidRPr="00000000">
        <w:rPr>
          <w:rtl w:val="0"/>
        </w:rPr>
      </w:r>
    </w:p>
    <w:p w:rsidR="00000000" w:rsidDel="00000000" w:rsidP="00000000" w:rsidRDefault="00000000" w:rsidRPr="00000000" w14:paraId="000005DA">
      <w:pPr>
        <w:jc w:val="both"/>
        <w:rPr/>
      </w:pPr>
      <w:r w:rsidDel="00000000" w:rsidR="00000000" w:rsidRPr="00000000">
        <w:rPr>
          <w:rtl w:val="0"/>
        </w:rPr>
        <w:t xml:space="preserve">In stem cells, the accumulation of aging centrioles is associated with a decline in regenerative capacity. For example, in aging hematopoietic stem cells, centriole dysfunction leads to reduced proliferation and differentiation potential, impairing tissue repair (Loncarek &amp; Bettencourt-Dias, 2018).</w:t>
      </w:r>
    </w:p>
    <w:p w:rsidR="00000000" w:rsidDel="00000000" w:rsidP="00000000" w:rsidRDefault="00000000" w:rsidRPr="00000000" w14:paraId="000005DB">
      <w:pPr>
        <w:jc w:val="both"/>
        <w:rPr/>
      </w:pPr>
      <w:r w:rsidDel="00000000" w:rsidR="00000000" w:rsidRPr="00000000">
        <w:rPr>
          <w:rtl w:val="0"/>
        </w:rPr>
      </w:r>
    </w:p>
    <w:p w:rsidR="00000000" w:rsidDel="00000000" w:rsidP="00000000" w:rsidRDefault="00000000" w:rsidRPr="00000000" w14:paraId="000005DC">
      <w:pPr>
        <w:pStyle w:val="Heading6"/>
        <w:jc w:val="both"/>
        <w:rPr/>
      </w:pPr>
      <w:bookmarkStart w:colFirst="0" w:colLast="0" w:name="_fd95x8ppfru5" w:id="165"/>
      <w:bookmarkEnd w:id="165"/>
      <w:r w:rsidDel="00000000" w:rsidR="00000000" w:rsidRPr="00000000">
        <w:rPr>
          <w:rtl w:val="0"/>
        </w:rPr>
        <w:t xml:space="preserve">Picture 3528 1. Asymmetric distribution of hypothetical inducers of irreversible differentiation. A possible scenario in asymmetric division systems is shown, where an old centriole selectively enters the descendant stem cell.</w:t>
      </w:r>
    </w:p>
    <w:p w:rsidR="00000000" w:rsidDel="00000000" w:rsidP="00000000" w:rsidRDefault="00000000" w:rsidRPr="00000000" w14:paraId="000005DD">
      <w:pPr>
        <w:pStyle w:val="Heading6"/>
        <w:jc w:val="both"/>
        <w:rPr>
          <w:rFonts w:ascii="Calibri" w:cs="Calibri" w:eastAsia="Calibri" w:hAnsi="Calibri"/>
        </w:rPr>
      </w:pPr>
      <w:bookmarkStart w:colFirst="0" w:colLast="0" w:name="_gtt50suwexbd" w:id="166"/>
      <w:bookmarkEnd w:id="166"/>
      <w:r w:rsidDel="00000000" w:rsidR="00000000" w:rsidRPr="00000000">
        <w:rPr>
          <w:rFonts w:ascii="Calibri" w:cs="Calibri" w:eastAsia="Calibri" w:hAnsi="Calibri"/>
        </w:rPr>
        <w:drawing>
          <wp:inline distB="114300" distT="114300" distL="114300" distR="114300">
            <wp:extent cx="5715000" cy="4733925"/>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The upper left part shows a pluripotent  blast in the G1 phase, in which the de novo assembled centrioles are numbered "1" and "2". For ease of perception, only two inducers of irreversible differentiation are shown quantitatively. Each de novo assembled centriole has a corresponding set of inducers attached to it - for ease of perception, only two inducers in each set are taken. Inducers in/on centriole 1 are marked in blue and yellow. Inducers in/on centriole 2 are marked in red and green. When a progenitor cell divides, descendant cells receive different centrioles with corresponding (different) inducers. The sets of inducers are duplicated in the daughter cells together with the centrioles. During an asymmetric division, one inducer is split off from the set of inducers. Depending on the system of asymmetric divisions, it is either from the new or from the old centriole. Once released, the irreversible differentiation inducer switches off the active gene network and switches on another gene network corresponding to this specific irreversible differentiation inducer.</w:t>
      </w:r>
    </w:p>
    <w:p w:rsidR="00000000" w:rsidDel="00000000" w:rsidP="00000000" w:rsidRDefault="00000000" w:rsidRPr="00000000" w14:paraId="000005D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E0">
      <w:pPr>
        <w:pStyle w:val="Heading6"/>
        <w:rPr/>
      </w:pPr>
      <w:bookmarkStart w:colFirst="0" w:colLast="0" w:name="_9uyj7igisemr" w:id="167"/>
      <w:bookmarkEnd w:id="167"/>
      <w:r w:rsidDel="00000000" w:rsidR="00000000" w:rsidRPr="00000000">
        <w:rPr>
          <w:rtl w:val="0"/>
        </w:rPr>
        <w:t xml:space="preserve">Picture 3528 2. </w:t>
      </w:r>
    </w:p>
    <w:p w:rsidR="00000000" w:rsidDel="00000000" w:rsidP="00000000" w:rsidRDefault="00000000" w:rsidRPr="00000000" w14:paraId="000005E1">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15000" cy="4733925"/>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The upper left shows a multipotent cell in G1 phase in which the gene network was switched as a result of a previous asymmetric division, which irreversibly switched off the totipotency gene network and determined the fate of subsequent daughter cell differentiations. This occurred due to the fact that one inducer detached from centriole 3 and now only red inducer is in/onto centriole 3. And in/on centriole 1 there is a complete set (both green and red). Subsequent asymmetric division results in subsequent detachment of the inducer from centriole 5 and centriole 6. One daughter cell (centriole 1 and centriole 5) is identical in the set of inducers to the ancestor cell centriole 1 and centriole 3). The release of the green inducer once again involves the gene network, characterizing the cell- progenitor. In this way a pool of stem cells of appropriate potency is maintained. Price ago- accumulation of old irreparable centrioles. The second cell-descendant (centriole 3 and centriole 6) has from cell- ancestor corresponding centriole 3 red inducer. Its detachment from the newer centriole 6 will cause the incorporation of a corresponding gene network different from that of the progenitor cell - irreversible differentiation will occur.</w:t>
      </w:r>
    </w:p>
    <w:p w:rsidR="00000000" w:rsidDel="00000000" w:rsidP="00000000" w:rsidRDefault="00000000" w:rsidRPr="00000000" w14:paraId="000005E3">
      <w:pPr>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E4">
      <w:pPr>
        <w:pStyle w:val="Heading6"/>
        <w:rPr/>
      </w:pPr>
      <w:bookmarkStart w:colFirst="0" w:colLast="0" w:name="_w8wfh386tpwm" w:id="168"/>
      <w:bookmarkEnd w:id="168"/>
      <w:r w:rsidDel="00000000" w:rsidR="00000000" w:rsidRPr="00000000">
        <w:rPr>
          <w:rtl w:val="0"/>
        </w:rPr>
        <w:t xml:space="preserve">Picture 3528 3. </w:t>
      </w:r>
    </w:p>
    <w:p w:rsidR="00000000" w:rsidDel="00000000" w:rsidP="00000000" w:rsidRDefault="00000000" w:rsidRPr="00000000" w14:paraId="000005E5">
      <w:pPr>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715000" cy="4733925"/>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E7">
      <w:pPr>
        <w:jc w:val="both"/>
        <w:rPr/>
      </w:pPr>
      <w:r w:rsidDel="00000000" w:rsidR="00000000" w:rsidRPr="00000000">
        <w:rPr>
          <w:rFonts w:ascii="Calibri" w:cs="Calibri" w:eastAsia="Calibri" w:hAnsi="Calibri"/>
          <w:i w:val="1"/>
          <w:iCs w:val="1"/>
          <w:sz w:val="18"/>
          <w:szCs w:val="18"/>
          <w:rtl w:val="0"/>
        </w:rPr>
        <w:t xml:space="preserve">The upper left part shows a unipotent cell in the G1 phase. Centriole 3 has only one differentiation inducer. And centriole 6 has no differentiation inducers. During asymmetric division, one descendant cell, containing an older centriole 3 with one inducer, produces a daughter centriole 7, containing an inducer identical to the ancestor cell, which splits off from centriole 7. The second descendant cell does not have a differentiation inducer and therefore does not split off any inducers - as a result, neither it nor its descendants differentiate. In some generations, programmed apoptosis will be activated.</w:t>
      </w:r>
      <w:r w:rsidDel="00000000" w:rsidR="00000000" w:rsidRPr="00000000">
        <w:rPr>
          <w:rtl w:val="0"/>
        </w:rPr>
      </w:r>
    </w:p>
    <w:p w:rsidR="00000000" w:rsidDel="00000000" w:rsidP="00000000" w:rsidRDefault="00000000" w:rsidRPr="00000000" w14:paraId="000005E8">
      <w:pPr>
        <w:jc w:val="both"/>
        <w:rPr/>
      </w:pPr>
      <w:r w:rsidDel="00000000" w:rsidR="00000000" w:rsidRPr="00000000">
        <w:rPr>
          <w:rtl w:val="0"/>
        </w:rPr>
      </w:r>
    </w:p>
    <w:p w:rsidR="00000000" w:rsidDel="00000000" w:rsidP="00000000" w:rsidRDefault="00000000" w:rsidRPr="00000000" w14:paraId="000005E9">
      <w:pPr>
        <w:jc w:val="both"/>
        <w:rPr/>
      </w:pPr>
      <w:r w:rsidDel="00000000" w:rsidR="00000000" w:rsidRPr="00000000">
        <w:rPr>
          <w:rtl w:val="0"/>
        </w:rPr>
        <w:t xml:space="preserve">Experimental studies demonstrate that disruption of centriole structure or function can induce cellular senescence or apoptosis. For example, laser ablation of centrioles in cultured cells results in cell cycle arrest, emphasizing the critical role of centrioles in maintaining cellular viability (Mikule et al., 2007).</w:t>
      </w:r>
    </w:p>
    <w:p w:rsidR="00000000" w:rsidDel="00000000" w:rsidP="00000000" w:rsidRDefault="00000000" w:rsidRPr="00000000" w14:paraId="000005EA">
      <w:pPr>
        <w:jc w:val="both"/>
        <w:rPr/>
      </w:pPr>
      <w:r w:rsidDel="00000000" w:rsidR="00000000" w:rsidRPr="00000000">
        <w:rPr>
          <w:rtl w:val="0"/>
        </w:rPr>
      </w:r>
    </w:p>
    <w:p w:rsidR="00000000" w:rsidDel="00000000" w:rsidP="00000000" w:rsidRDefault="00000000" w:rsidRPr="00000000" w14:paraId="000005EB">
      <w:pPr>
        <w:jc w:val="both"/>
        <w:rPr/>
      </w:pPr>
      <w:r w:rsidDel="00000000" w:rsidR="00000000" w:rsidRPr="00000000">
        <w:rPr>
          <w:rtl w:val="0"/>
        </w:rPr>
        <w:t xml:space="preserve">Consequences: Organismal aging is the price of being a multicellular organism with true tissues composed of irreversibly differentiated, highly specialized cells. In both differentiation systems, aging is driven by the accumulation of non-repairable old centrioles.</w:t>
      </w:r>
    </w:p>
    <w:p w:rsidR="00000000" w:rsidDel="00000000" w:rsidP="00000000" w:rsidRDefault="00000000" w:rsidRPr="00000000" w14:paraId="000005EC">
      <w:pPr>
        <w:jc w:val="both"/>
        <w:rPr/>
      </w:pPr>
      <w:r w:rsidDel="00000000" w:rsidR="00000000" w:rsidRPr="00000000">
        <w:rPr>
          <w:rtl w:val="0"/>
        </w:rPr>
      </w:r>
    </w:p>
    <w:p w:rsidR="00000000" w:rsidDel="00000000" w:rsidP="00000000" w:rsidRDefault="00000000" w:rsidRPr="00000000" w14:paraId="000005ED">
      <w:pPr>
        <w:numPr>
          <w:ilvl w:val="0"/>
          <w:numId w:val="7"/>
        </w:numPr>
        <w:ind w:left="720" w:hanging="360"/>
        <w:jc w:val="both"/>
      </w:pPr>
      <w:r w:rsidDel="00000000" w:rsidR="00000000" w:rsidRPr="00000000">
        <w:rPr>
          <w:rtl w:val="0"/>
        </w:rPr>
        <w:t xml:space="preserve">First system: The oldest centrioles accumulate in terminally differentiated cells, directly impairing the organism’s function.</w:t>
      </w:r>
    </w:p>
    <w:p w:rsidR="00000000" w:rsidDel="00000000" w:rsidP="00000000" w:rsidRDefault="00000000" w:rsidRPr="00000000" w14:paraId="000005EE">
      <w:pPr>
        <w:numPr>
          <w:ilvl w:val="0"/>
          <w:numId w:val="7"/>
        </w:numPr>
        <w:ind w:left="720" w:hanging="360"/>
        <w:jc w:val="both"/>
      </w:pPr>
      <w:r w:rsidDel="00000000" w:rsidR="00000000" w:rsidRPr="00000000">
        <w:rPr>
          <w:rtl w:val="0"/>
        </w:rPr>
        <w:t xml:space="preserve">Second system: The oldest centrioles accumulate in stem cells, leading to a decline in regeneration rates and a gradual accumulation of increasingly aged centrioles (due to delayed replacement) in all cells. This impairs the function of non-stem cells by extending their lifespan, ultimately disrupting the organism’s functionality.</w:t>
      </w:r>
    </w:p>
    <w:p w:rsidR="00000000" w:rsidDel="00000000" w:rsidP="00000000" w:rsidRDefault="00000000" w:rsidRPr="00000000" w14:paraId="000005EF">
      <w:pPr>
        <w:jc w:val="both"/>
        <w:rPr/>
      </w:pPr>
      <w:r w:rsidDel="00000000" w:rsidR="00000000" w:rsidRPr="00000000">
        <w:rPr>
          <w:rtl w:val="0"/>
        </w:rPr>
      </w:r>
    </w:p>
    <w:p w:rsidR="00000000" w:rsidDel="00000000" w:rsidP="00000000" w:rsidRDefault="00000000" w:rsidRPr="00000000" w14:paraId="000005F0">
      <w:pPr>
        <w:jc w:val="both"/>
        <w:rPr/>
      </w:pPr>
      <w:r w:rsidDel="00000000" w:rsidR="00000000" w:rsidRPr="00000000">
        <w:rPr>
          <w:rtl w:val="0"/>
        </w:rPr>
        <w:t xml:space="preserve">Most likely, both asymmetric division systems—and consequently, both systems of accumulating non-repairable old centrioles—coexist within organisms, ensuring the inheritance of both old and new centrioles. However, regardless of where old centrioles accumulate, their inability to be repaired leads to the relentless rise of entropy and the accumulation of defects. As a result, cells, tissues, and ultimately the entire organism inevitably age.</w:t>
      </w:r>
    </w:p>
    <w:p w:rsidR="00000000" w:rsidDel="00000000" w:rsidP="00000000" w:rsidRDefault="00000000" w:rsidRPr="00000000" w14:paraId="000005F1">
      <w:pPr>
        <w:jc w:val="both"/>
        <w:rPr/>
      </w:pPr>
      <w:r w:rsidDel="00000000" w:rsidR="00000000" w:rsidRPr="00000000">
        <w:rPr>
          <w:rtl w:val="0"/>
        </w:rPr>
      </w:r>
    </w:p>
    <w:p w:rsidR="00000000" w:rsidDel="00000000" w:rsidP="00000000" w:rsidRDefault="00000000" w:rsidRPr="00000000" w14:paraId="000005F2">
      <w:pPr>
        <w:pStyle w:val="Heading3"/>
        <w:jc w:val="both"/>
        <w:rPr/>
      </w:pPr>
      <w:bookmarkStart w:colFirst="0" w:colLast="0" w:name="_x95xico1t12m" w:id="169"/>
      <w:bookmarkEnd w:id="169"/>
      <w:r w:rsidDel="00000000" w:rsidR="00000000" w:rsidRPr="00000000">
        <w:rPr>
          <w:rtl w:val="0"/>
        </w:rPr>
        <w:t xml:space="preserve">3.5.3 Evidence from Model Organisms</w:t>
      </w:r>
    </w:p>
    <w:p w:rsidR="00000000" w:rsidDel="00000000" w:rsidP="00000000" w:rsidRDefault="00000000" w:rsidRPr="00000000" w14:paraId="000005F3">
      <w:pPr>
        <w:jc w:val="both"/>
        <w:rPr/>
      </w:pPr>
      <w:r w:rsidDel="00000000" w:rsidR="00000000" w:rsidRPr="00000000">
        <w:rPr>
          <w:rtl w:val="0"/>
        </w:rPr>
      </w:r>
    </w:p>
    <w:p w:rsidR="00000000" w:rsidDel="00000000" w:rsidP="00000000" w:rsidRDefault="00000000" w:rsidRPr="00000000" w14:paraId="000005F4">
      <w:pPr>
        <w:pStyle w:val="Heading4"/>
        <w:jc w:val="both"/>
        <w:rPr/>
      </w:pPr>
      <w:bookmarkStart w:colFirst="0" w:colLast="0" w:name="_qb2kpvd7eqpc" w:id="170"/>
      <w:bookmarkEnd w:id="170"/>
      <w:r w:rsidDel="00000000" w:rsidR="00000000" w:rsidRPr="00000000">
        <w:rPr>
          <w:rtl w:val="0"/>
        </w:rPr>
        <w:t xml:space="preserve">3.5.3.1 C. elegans</w:t>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jc w:val="both"/>
        <w:rPr/>
      </w:pPr>
      <w:r w:rsidDel="00000000" w:rsidR="00000000" w:rsidRPr="00000000">
        <w:rPr>
          <w:rtl w:val="0"/>
        </w:rPr>
        <w:t xml:space="preserve">Role of SAS-4 and other centriolar proteins in lifespan regulation: In the nematode Caenorhabditis elegans, centriolar proteins such as SAS-4 play a critical role in regulating lifespan. Studies have shown that mutations in SAS-4 and other centriole-associated genes disrupt normal cell division and cilia formation, leading to reduced lifespan and accelerated aging phenotypes (Kirkwood et al., 2005). These findings highlight the importance of centriole integrity in maintaining cellular and organismal homeostasis.</w:t>
      </w:r>
    </w:p>
    <w:p w:rsidR="00000000" w:rsidDel="00000000" w:rsidP="00000000" w:rsidRDefault="00000000" w:rsidRPr="00000000" w14:paraId="000005F7">
      <w:pPr>
        <w:jc w:val="both"/>
        <w:rPr/>
      </w:pPr>
      <w:r w:rsidDel="00000000" w:rsidR="00000000" w:rsidRPr="00000000">
        <w:rPr>
          <w:rtl w:val="0"/>
        </w:rPr>
      </w:r>
    </w:p>
    <w:p w:rsidR="00000000" w:rsidDel="00000000" w:rsidP="00000000" w:rsidRDefault="00000000" w:rsidRPr="00000000" w14:paraId="000005F8">
      <w:pPr>
        <w:jc w:val="both"/>
        <w:rPr/>
      </w:pPr>
      <w:r w:rsidDel="00000000" w:rsidR="00000000" w:rsidRPr="00000000">
        <w:rPr>
          <w:rtl w:val="0"/>
        </w:rPr>
        <w:t xml:space="preserve">Centriole dysfunction and its impact on germline stem cells: Centriole dysfunction in C. elegans has been shown to impair the division and maintenance of germline stem cells, leading to reduced fertility and premature aging (Pelletier et al., 2006). For example, mutations in centriole duplication genes result in defective spindle formation and chromosome missegregation, which compromise the regenerative capacity of germline stem cells and contribute to age-related decline.</w:t>
      </w:r>
    </w:p>
    <w:p w:rsidR="00000000" w:rsidDel="00000000" w:rsidP="00000000" w:rsidRDefault="00000000" w:rsidRPr="00000000" w14:paraId="000005F9">
      <w:pPr>
        <w:jc w:val="both"/>
        <w:rPr/>
      </w:pPr>
      <w:r w:rsidDel="00000000" w:rsidR="00000000" w:rsidRPr="00000000">
        <w:rPr>
          <w:rtl w:val="0"/>
        </w:rPr>
      </w:r>
    </w:p>
    <w:p w:rsidR="00000000" w:rsidDel="00000000" w:rsidP="00000000" w:rsidRDefault="00000000" w:rsidRPr="00000000" w14:paraId="000005FA">
      <w:pPr>
        <w:pStyle w:val="Heading4"/>
        <w:jc w:val="both"/>
        <w:rPr/>
      </w:pPr>
      <w:bookmarkStart w:colFirst="0" w:colLast="0" w:name="_k9hgulr1x87s" w:id="171"/>
      <w:bookmarkEnd w:id="171"/>
      <w:r w:rsidDel="00000000" w:rsidR="00000000" w:rsidRPr="00000000">
        <w:rPr>
          <w:rtl w:val="0"/>
        </w:rPr>
        <w:t xml:space="preserve">3.5.3.2 Drosophila</w:t>
      </w:r>
    </w:p>
    <w:p w:rsidR="00000000" w:rsidDel="00000000" w:rsidP="00000000" w:rsidRDefault="00000000" w:rsidRPr="00000000" w14:paraId="000005FB">
      <w:pPr>
        <w:jc w:val="both"/>
        <w:rPr/>
      </w:pPr>
      <w:r w:rsidDel="00000000" w:rsidR="00000000" w:rsidRPr="00000000">
        <w:rPr>
          <w:rtl w:val="0"/>
        </w:rPr>
        <w:br w:type="textWrapping"/>
        <w:t xml:space="preserve">Centrosome loss in intestinal stem cells and its effect on tissue homeostasis: In Drosophila melanogaster, the loss of centrosomes in intestinal stem cells disrupts tissue homeostasis and accelerates aging. Studies have demonstrated that centrosome loss leads to defective asymmetric cell division, resulting in stem cell depletion and impaired tissue regeneration (Basto et al., 2008). This disruption in stem cell function contributes to the decline in tissue integrity and organismal lifespan.</w:t>
      </w:r>
    </w:p>
    <w:p w:rsidR="00000000" w:rsidDel="00000000" w:rsidP="00000000" w:rsidRDefault="00000000" w:rsidRPr="00000000" w14:paraId="000005FC">
      <w:pPr>
        <w:jc w:val="both"/>
        <w:rPr/>
      </w:pPr>
      <w:r w:rsidDel="00000000" w:rsidR="00000000" w:rsidRPr="00000000">
        <w:rPr>
          <w:rtl w:val="0"/>
        </w:rPr>
      </w:r>
    </w:p>
    <w:p w:rsidR="00000000" w:rsidDel="00000000" w:rsidP="00000000" w:rsidRDefault="00000000" w:rsidRPr="00000000" w14:paraId="000005FD">
      <w:pPr>
        <w:jc w:val="both"/>
        <w:rPr/>
      </w:pPr>
      <w:r w:rsidDel="00000000" w:rsidR="00000000" w:rsidRPr="00000000">
        <w:rPr>
          <w:rtl w:val="0"/>
        </w:rPr>
        <w:t xml:space="preserve">Centriole defects in Drosophila have been linked to a shortened lifespan. For instance, mutations in centriole-associated genes such as DSAS-4 result in abnormal centrosome function, mitotic errors, and increased cellular senescence (Yamashita et al., 2007). These findings underscore the role of centrioles in maintaining cellular and organismal health.</w:t>
      </w:r>
    </w:p>
    <w:p w:rsidR="00000000" w:rsidDel="00000000" w:rsidP="00000000" w:rsidRDefault="00000000" w:rsidRPr="00000000" w14:paraId="000005FE">
      <w:pPr>
        <w:jc w:val="both"/>
        <w:rPr/>
      </w:pPr>
      <w:r w:rsidDel="00000000" w:rsidR="00000000" w:rsidRPr="00000000">
        <w:rPr>
          <w:rtl w:val="0"/>
        </w:rPr>
      </w:r>
    </w:p>
    <w:p w:rsidR="00000000" w:rsidDel="00000000" w:rsidP="00000000" w:rsidRDefault="00000000" w:rsidRPr="00000000" w14:paraId="000005FF">
      <w:pPr>
        <w:pStyle w:val="Heading4"/>
        <w:jc w:val="both"/>
        <w:rPr/>
      </w:pPr>
      <w:bookmarkStart w:colFirst="0" w:colLast="0" w:name="_li3e4l42ncz6" w:id="172"/>
      <w:bookmarkEnd w:id="172"/>
      <w:r w:rsidDel="00000000" w:rsidR="00000000" w:rsidRPr="00000000">
        <w:rPr>
          <w:rtl w:val="0"/>
        </w:rPr>
        <w:t xml:space="preserve">3.5.3.3 Mice</w:t>
      </w:r>
    </w:p>
    <w:p w:rsidR="00000000" w:rsidDel="00000000" w:rsidP="00000000" w:rsidRDefault="00000000" w:rsidRPr="00000000" w14:paraId="00000600">
      <w:pPr>
        <w:jc w:val="both"/>
        <w:rPr/>
      </w:pPr>
      <w:r w:rsidDel="00000000" w:rsidR="00000000" w:rsidRPr="00000000">
        <w:rPr>
          <w:rtl w:val="0"/>
        </w:rPr>
      </w:r>
    </w:p>
    <w:p w:rsidR="00000000" w:rsidDel="00000000" w:rsidP="00000000" w:rsidRDefault="00000000" w:rsidRPr="00000000" w14:paraId="00000601">
      <w:pPr>
        <w:jc w:val="both"/>
        <w:rPr/>
      </w:pPr>
      <w:r w:rsidDel="00000000" w:rsidR="00000000" w:rsidRPr="00000000">
        <w:rPr>
          <w:rtl w:val="0"/>
        </w:rPr>
        <w:t xml:space="preserve">Centriole dysfunction in aged tissues and its contribution to age-related diseases: In mice, centriole dysfunction has been observed in aged tissues and is associated with the development of age-related diseases. For example, aged mice exhibit increased centrosome abnormalities in tissues such as the liver, kidney, and brain, which correlate with impaired tissue function and increased susceptibility to diseases such as cancer and neurodegeneration (Prosser &amp; Morrison, 2015). These observations suggest that centriole dysfunction is a key contributor to the aging process.</w:t>
      </w:r>
    </w:p>
    <w:p w:rsidR="00000000" w:rsidDel="00000000" w:rsidP="00000000" w:rsidRDefault="00000000" w:rsidRPr="00000000" w14:paraId="00000602">
      <w:pPr>
        <w:jc w:val="both"/>
        <w:rPr/>
      </w:pPr>
      <w:r w:rsidDel="00000000" w:rsidR="00000000" w:rsidRPr="00000000">
        <w:rPr>
          <w:rtl w:val="0"/>
        </w:rPr>
      </w:r>
    </w:p>
    <w:p w:rsidR="00000000" w:rsidDel="00000000" w:rsidP="00000000" w:rsidRDefault="00000000" w:rsidRPr="00000000" w14:paraId="00000603">
      <w:pPr>
        <w:jc w:val="both"/>
        <w:rPr/>
      </w:pPr>
      <w:r w:rsidDel="00000000" w:rsidR="00000000" w:rsidRPr="00000000">
        <w:rPr>
          <w:rtl w:val="0"/>
        </w:rPr>
        <w:t xml:space="preserve">Genetic models of centriole-associated aging in mice have provided valuable insights into the role of centrioles in aging. For instance, mutations in centriole duplication genes such as PLK4 and CEP152 result in centrosome amplification, mitotic errors, and accelerated aging phenotypes (Nigg &amp; Raff, 2009). These models have helped elucidate the molecular mechanisms linking centriole dysfunction to age-related tissue degeneration.</w:t>
      </w:r>
    </w:p>
    <w:p w:rsidR="00000000" w:rsidDel="00000000" w:rsidP="00000000" w:rsidRDefault="00000000" w:rsidRPr="00000000" w14:paraId="00000604">
      <w:pPr>
        <w:jc w:val="both"/>
        <w:rPr/>
      </w:pPr>
      <w:r w:rsidDel="00000000" w:rsidR="00000000" w:rsidRPr="00000000">
        <w:rPr>
          <w:rtl w:val="0"/>
        </w:rPr>
      </w:r>
    </w:p>
    <w:p w:rsidR="00000000" w:rsidDel="00000000" w:rsidP="00000000" w:rsidRDefault="00000000" w:rsidRPr="00000000" w14:paraId="00000605">
      <w:pPr>
        <w:pStyle w:val="Heading3"/>
        <w:jc w:val="both"/>
        <w:rPr/>
      </w:pPr>
      <w:bookmarkStart w:colFirst="0" w:colLast="0" w:name="_r4pjt3ts7gu8" w:id="173"/>
      <w:bookmarkEnd w:id="173"/>
      <w:r w:rsidDel="00000000" w:rsidR="00000000" w:rsidRPr="00000000">
        <w:rPr>
          <w:rtl w:val="0"/>
        </w:rPr>
        <w:t xml:space="preserve">3.5.4 Human Studies and Clinical Implications</w:t>
      </w:r>
    </w:p>
    <w:p w:rsidR="00000000" w:rsidDel="00000000" w:rsidP="00000000" w:rsidRDefault="00000000" w:rsidRPr="00000000" w14:paraId="00000606">
      <w:pPr>
        <w:jc w:val="both"/>
        <w:rPr/>
      </w:pPr>
      <w:r w:rsidDel="00000000" w:rsidR="00000000" w:rsidRPr="00000000">
        <w:rPr>
          <w:rtl w:val="0"/>
        </w:rPr>
      </w:r>
    </w:p>
    <w:p w:rsidR="00000000" w:rsidDel="00000000" w:rsidP="00000000" w:rsidRDefault="00000000" w:rsidRPr="00000000" w14:paraId="00000607">
      <w:pPr>
        <w:pStyle w:val="Heading4"/>
        <w:jc w:val="both"/>
        <w:rPr/>
      </w:pPr>
      <w:bookmarkStart w:colFirst="0" w:colLast="0" w:name="_pcinlm7au93x" w:id="174"/>
      <w:bookmarkEnd w:id="174"/>
      <w:r w:rsidDel="00000000" w:rsidR="00000000" w:rsidRPr="00000000">
        <w:rPr>
          <w:rtl w:val="0"/>
        </w:rPr>
        <w:t xml:space="preserve">3.5.4.1 Centriole Dysfunction in Age-Related Diseases</w:t>
      </w:r>
    </w:p>
    <w:p w:rsidR="00000000" w:rsidDel="00000000" w:rsidP="00000000" w:rsidRDefault="00000000" w:rsidRPr="00000000" w14:paraId="00000608">
      <w:pPr>
        <w:jc w:val="both"/>
        <w:rPr/>
      </w:pPr>
      <w:r w:rsidDel="00000000" w:rsidR="00000000" w:rsidRPr="00000000">
        <w:rPr>
          <w:rtl w:val="0"/>
        </w:rPr>
        <w:br w:type="textWrapping"/>
        <w:t xml:space="preserve">Centrosome amplification, a hallmark of many cancers, is driven by centriole overduplication and dysfunction. This leads to mitotic errors, chromosomal instability, and aneuploidy, which are key drivers of tumor progression and metastasis (Ganem et al., 2009). For example, in breast and prostate cancers, centrosome amplification is associated with aggressive tumor behavior and poor prognosis. Understanding the role of centrioles in cancer biology provides potential targets for therapeutic interventions aimed at stabilizing centrosome function and reducing genomic instability.</w:t>
      </w:r>
    </w:p>
    <w:p w:rsidR="00000000" w:rsidDel="00000000" w:rsidP="00000000" w:rsidRDefault="00000000" w:rsidRPr="00000000" w14:paraId="00000609">
      <w:pPr>
        <w:jc w:val="both"/>
        <w:rPr/>
      </w:pPr>
      <w:r w:rsidDel="00000000" w:rsidR="00000000" w:rsidRPr="00000000">
        <w:rPr>
          <w:rtl w:val="0"/>
        </w:rPr>
      </w:r>
    </w:p>
    <w:p w:rsidR="00000000" w:rsidDel="00000000" w:rsidP="00000000" w:rsidRDefault="00000000" w:rsidRPr="00000000" w14:paraId="0000060A">
      <w:pPr>
        <w:jc w:val="both"/>
        <w:rPr/>
      </w:pPr>
      <w:r w:rsidDel="00000000" w:rsidR="00000000" w:rsidRPr="00000000">
        <w:rPr>
          <w:rtl w:val="0"/>
        </w:rPr>
        <w:t xml:space="preserve">Ciliary dysfunction in Alzheimer’s and Parkinson’s diseases: Primary cilia, which are anchored by centrioles, play critical roles in neuronal signaling and maintenance. Dysfunction of cilia has been implicated in neurodegenerative diseases such as Alzheimer’s and Parkinson’s. For instance, defective cilia disrupt Hedgehog and Wnt signaling pathways, which are essential for neuronal survival and function (Goetz &amp; Anderson, 2010). This disruption contributes to the progressive loss of neurons and cognitive decline observed in these diseases.</w:t>
      </w:r>
    </w:p>
    <w:p w:rsidR="00000000" w:rsidDel="00000000" w:rsidP="00000000" w:rsidRDefault="00000000" w:rsidRPr="00000000" w14:paraId="0000060B">
      <w:pPr>
        <w:jc w:val="both"/>
        <w:rPr/>
      </w:pPr>
      <w:r w:rsidDel="00000000" w:rsidR="00000000" w:rsidRPr="00000000">
        <w:rPr>
          <w:rtl w:val="0"/>
        </w:rPr>
        <w:t xml:space="preserve">Renal and Cardiovascular Diseases: Role of primary cilia in tissue homeostasis: Primary cilia are essential for maintaining tissue homeostasis in renal and cardiovascular systems. In the kidneys, cilia act as mechanosensors, detecting fluid flow and regulating cell proliferation and differentiation. Dysfunction of cilia, often due to centriole defects, is a key feature of polycystic kidney disease (PKD), a condition characterized by the formation of fluid-filled cysts that impair renal function (Fliegauf et al., 2007). Similarly, in the cardiovascular system, ciliary dysfunction contributes to hypertension and atherosclerosis, highlighting the importance of centriole integrity in maintaining tissue health.</w:t>
      </w:r>
    </w:p>
    <w:p w:rsidR="00000000" w:rsidDel="00000000" w:rsidP="00000000" w:rsidRDefault="00000000" w:rsidRPr="00000000" w14:paraId="0000060C">
      <w:pPr>
        <w:jc w:val="both"/>
        <w:rPr/>
      </w:pPr>
      <w:r w:rsidDel="00000000" w:rsidR="00000000" w:rsidRPr="00000000">
        <w:rPr>
          <w:rtl w:val="0"/>
        </w:rPr>
      </w:r>
    </w:p>
    <w:p w:rsidR="00000000" w:rsidDel="00000000" w:rsidP="00000000" w:rsidRDefault="00000000" w:rsidRPr="00000000" w14:paraId="0000060D">
      <w:pPr>
        <w:pStyle w:val="Heading4"/>
        <w:jc w:val="both"/>
        <w:rPr/>
      </w:pPr>
      <w:bookmarkStart w:colFirst="0" w:colLast="0" w:name="_sriofld3jeum" w:id="175"/>
      <w:bookmarkEnd w:id="175"/>
      <w:r w:rsidDel="00000000" w:rsidR="00000000" w:rsidRPr="00000000">
        <w:rPr>
          <w:rtl w:val="0"/>
        </w:rPr>
        <w:t xml:space="preserve">3.5.4.2 Biomarkers of Centriole Aging</w:t>
      </w:r>
    </w:p>
    <w:p w:rsidR="00000000" w:rsidDel="00000000" w:rsidP="00000000" w:rsidRDefault="00000000" w:rsidRPr="00000000" w14:paraId="0000060E">
      <w:pPr>
        <w:jc w:val="both"/>
        <w:rPr/>
      </w:pPr>
      <w:r w:rsidDel="00000000" w:rsidR="00000000" w:rsidRPr="00000000">
        <w:rPr>
          <w:rtl w:val="0"/>
        </w:rPr>
        <w:br w:type="textWrapping"/>
        <w:t xml:space="preserve">Centrosome abnormalities, such as overduplication, fragmentation, and mislocalization, have been proposed as biomarkers of cellular aging. These abnormalities are frequently observed in aged tissues and are associated with increased cellular senescence and tissue dysfunction (Hinchcliffe &amp; Sluder, 2001). For example, centrosome amplification in skin fibroblasts and epithelial cells correlates with age-related decline in tissue regenerative capacity.</w:t>
      </w:r>
    </w:p>
    <w:p w:rsidR="00000000" w:rsidDel="00000000" w:rsidP="00000000" w:rsidRDefault="00000000" w:rsidRPr="00000000" w14:paraId="0000060F">
      <w:pPr>
        <w:jc w:val="both"/>
        <w:rPr/>
      </w:pPr>
      <w:r w:rsidDel="00000000" w:rsidR="00000000" w:rsidRPr="00000000">
        <w:rPr>
          <w:rtl w:val="0"/>
        </w:rPr>
      </w:r>
    </w:p>
    <w:p w:rsidR="00000000" w:rsidDel="00000000" w:rsidP="00000000" w:rsidRDefault="00000000" w:rsidRPr="00000000" w14:paraId="00000610">
      <w:pPr>
        <w:jc w:val="both"/>
        <w:rPr/>
      </w:pPr>
      <w:r w:rsidDel="00000000" w:rsidR="00000000" w:rsidRPr="00000000">
        <w:rPr>
          <w:rtl w:val="0"/>
        </w:rPr>
        <w:t xml:space="preserve">Advances in imaging and molecular techniques have enabled the development of diagnostic tools for detecting centriole dysfunction. For instance, high-resolution microscopy and immunofluorescence staining can be used to visualize centrosome abnormalities in patient samples (Funk et al., 2012). Additionally, molecular markers such as p16INK4a and SA-β-gal, which are associated with cellular senescence, can be used to assess centriole-related aging phenotypes. These tools have the potential to improve early diagnosis and monitoring of age-related diseases.</w:t>
      </w:r>
    </w:p>
    <w:p w:rsidR="00000000" w:rsidDel="00000000" w:rsidP="00000000" w:rsidRDefault="00000000" w:rsidRPr="00000000" w14:paraId="00000611">
      <w:pPr>
        <w:jc w:val="both"/>
        <w:rPr/>
      </w:pPr>
      <w:r w:rsidDel="00000000" w:rsidR="00000000" w:rsidRPr="00000000">
        <w:rPr>
          <w:rtl w:val="0"/>
        </w:rPr>
      </w:r>
    </w:p>
    <w:p w:rsidR="00000000" w:rsidDel="00000000" w:rsidP="00000000" w:rsidRDefault="00000000" w:rsidRPr="00000000" w14:paraId="00000612">
      <w:pPr>
        <w:pStyle w:val="Heading3"/>
        <w:jc w:val="both"/>
        <w:rPr/>
      </w:pPr>
      <w:bookmarkStart w:colFirst="0" w:colLast="0" w:name="_xmddpuna5wws" w:id="176"/>
      <w:bookmarkEnd w:id="176"/>
      <w:r w:rsidDel="00000000" w:rsidR="00000000" w:rsidRPr="00000000">
        <w:rPr>
          <w:rtl w:val="0"/>
        </w:rPr>
        <w:t xml:space="preserve">3.5.5 Therapeutic Interventions</w:t>
      </w:r>
    </w:p>
    <w:p w:rsidR="00000000" w:rsidDel="00000000" w:rsidP="00000000" w:rsidRDefault="00000000" w:rsidRPr="00000000" w14:paraId="00000613">
      <w:pPr>
        <w:jc w:val="both"/>
        <w:rPr/>
      </w:pPr>
      <w:r w:rsidDel="00000000" w:rsidR="00000000" w:rsidRPr="00000000">
        <w:rPr>
          <w:rtl w:val="0"/>
        </w:rPr>
        <w:br w:type="textWrapping"/>
        <w:t xml:space="preserve">Centrioles have emerged as promising targets for interventions aimed at delaying aging and preventing age-related diseases. By addressing centriole dysfunction, it may be possible to mitigate the cellular and tissue-level declines associated with aging. For example, stabilizing centrosome function could reduce mitotic errors, genomic instability, and cellular senescence, all of which contribute to aging and age-related pathologies (Kirkwood, 2005). Additionally, restoring ciliary function could improve signaling pathways critical for tissue homeostasis, offering potential benefits for diseases such as neurodegeneration, polycystic kidney disease, and cardiovascular disorders.</w:t>
      </w:r>
    </w:p>
    <w:p w:rsidR="00000000" w:rsidDel="00000000" w:rsidP="00000000" w:rsidRDefault="00000000" w:rsidRPr="00000000" w14:paraId="00000614">
      <w:pPr>
        <w:jc w:val="both"/>
        <w:rPr/>
      </w:pPr>
      <w:r w:rsidDel="00000000" w:rsidR="00000000" w:rsidRPr="00000000">
        <w:rPr>
          <w:rtl w:val="0"/>
        </w:rPr>
        <w:t xml:space="preserve">Several strategies are being explored to target centrioles and centrosomes for therapeutic purposes. Small molecule inhibitors, such as those targeting Polo-like kinase 4 (PLK4), have shown promise in reducing centrosome amplification and restoring normal cell division in cancer cells (Nigg &amp; Raff, 2009). Similarly, gene therapies aimed at correcting mutations in centriole-associated genes, such as CEP152 and SAS-6, could help restore centriole function and improve tissue regeneration. For example, CRISPR-Cas9-based gene editing has been used to correct centriole defects in experimental models, demonstrating the potential for precision medicine approaches in treating centriole-related disorders (Doudna &amp; Charpentier, 2014).</w:t>
      </w:r>
    </w:p>
    <w:p w:rsidR="00000000" w:rsidDel="00000000" w:rsidP="00000000" w:rsidRDefault="00000000" w:rsidRPr="00000000" w14:paraId="00000615">
      <w:pPr>
        <w:jc w:val="both"/>
        <w:rPr/>
      </w:pPr>
      <w:r w:rsidDel="00000000" w:rsidR="00000000" w:rsidRPr="00000000">
        <w:rPr>
          <w:rtl w:val="0"/>
        </w:rPr>
      </w:r>
    </w:p>
    <w:p w:rsidR="00000000" w:rsidDel="00000000" w:rsidP="00000000" w:rsidRDefault="00000000" w:rsidRPr="00000000" w14:paraId="00000616">
      <w:pPr>
        <w:jc w:val="both"/>
        <w:rPr/>
      </w:pPr>
      <w:r w:rsidDel="00000000" w:rsidR="00000000" w:rsidRPr="00000000">
        <w:rPr>
          <w:rtl w:val="0"/>
        </w:rPr>
        <w:t xml:space="preserve">Furthermore, antioxidant therapies that reduce oxidative stress could help protect centrioles from damage, thereby preserving their function and delaying age-related decline (Finkel &amp; Holbrook, 2000). For instance, compounds such as N-acetylcysteine (NAC) and coenzyme Q10 have been shown to reduce oxidative damage to centrosomes and improve cellular function in aged tissues. These approaches highlight the potential for centriole-targeted therapies to promote healthy aging and prevent age-related diseases.</w:t>
      </w:r>
    </w:p>
    <w:p w:rsidR="00000000" w:rsidDel="00000000" w:rsidP="00000000" w:rsidRDefault="00000000" w:rsidRPr="00000000" w14:paraId="00000617">
      <w:pPr>
        <w:jc w:val="both"/>
        <w:rPr/>
      </w:pPr>
      <w:r w:rsidDel="00000000" w:rsidR="00000000" w:rsidRPr="00000000">
        <w:rPr>
          <w:rtl w:val="0"/>
        </w:rPr>
      </w:r>
    </w:p>
    <w:p w:rsidR="00000000" w:rsidDel="00000000" w:rsidP="00000000" w:rsidRDefault="00000000" w:rsidRPr="00000000" w14:paraId="00000618">
      <w:pPr>
        <w:pStyle w:val="Heading3"/>
        <w:jc w:val="both"/>
        <w:rPr/>
      </w:pPr>
      <w:bookmarkStart w:colFirst="0" w:colLast="0" w:name="_y7w7wes0ng0x" w:id="177"/>
      <w:bookmarkEnd w:id="177"/>
      <w:r w:rsidDel="00000000" w:rsidR="00000000" w:rsidRPr="00000000">
        <w:rPr>
          <w:rtl w:val="0"/>
        </w:rPr>
        <w:t xml:space="preserve">3.5.6 Future Directions</w:t>
      </w:r>
    </w:p>
    <w:p w:rsidR="00000000" w:rsidDel="00000000" w:rsidP="00000000" w:rsidRDefault="00000000" w:rsidRPr="00000000" w14:paraId="00000619">
      <w:pPr>
        <w:jc w:val="both"/>
        <w:rPr/>
      </w:pPr>
      <w:r w:rsidDel="00000000" w:rsidR="00000000" w:rsidRPr="00000000">
        <w:rPr>
          <w:rtl w:val="0"/>
        </w:rPr>
      </w:r>
    </w:p>
    <w:p w:rsidR="00000000" w:rsidDel="00000000" w:rsidP="00000000" w:rsidRDefault="00000000" w:rsidRPr="00000000" w14:paraId="0000061A">
      <w:pPr>
        <w:pStyle w:val="Heading3"/>
        <w:jc w:val="both"/>
        <w:rPr/>
      </w:pPr>
      <w:bookmarkStart w:colFirst="0" w:colLast="0" w:name="_48zlvv71d5aw" w:id="178"/>
      <w:bookmarkEnd w:id="178"/>
      <w:r w:rsidDel="00000000" w:rsidR="00000000" w:rsidRPr="00000000">
        <w:rPr>
          <w:rtl w:val="0"/>
        </w:rPr>
        <w:t xml:space="preserve">3.5.7 Unanswered Questions</w:t>
      </w:r>
    </w:p>
    <w:p w:rsidR="00000000" w:rsidDel="00000000" w:rsidP="00000000" w:rsidRDefault="00000000" w:rsidRPr="00000000" w14:paraId="0000061B">
      <w:pPr>
        <w:jc w:val="both"/>
        <w:rPr/>
      </w:pPr>
      <w:r w:rsidDel="00000000" w:rsidR="00000000" w:rsidRPr="00000000">
        <w:rPr>
          <w:rtl w:val="0"/>
        </w:rPr>
        <w:br w:type="textWrapping"/>
        <w:t xml:space="preserve">While significant progress has been made in understanding the role of centrioles in aging, establishing direct causal links between centriole dysfunction and aging in humans remains a critical challenge. Most studies have relied on model organisms or in vitro systems, and further research is needed to determine whether centriole dysfunction is a primary driver of aging or a secondary consequence of other aging processes (López-Otín et al., 2013). Longitudinal studies in human populations, combined with advanced genetic and molecular analyses, could help clarify the role of centrioles in human aging.</w:t>
      </w:r>
    </w:p>
    <w:p w:rsidR="00000000" w:rsidDel="00000000" w:rsidP="00000000" w:rsidRDefault="00000000" w:rsidRPr="00000000" w14:paraId="0000061C">
      <w:pPr>
        <w:jc w:val="both"/>
        <w:rPr/>
      </w:pPr>
      <w:r w:rsidDel="00000000" w:rsidR="00000000" w:rsidRPr="00000000">
        <w:rPr>
          <w:rtl w:val="0"/>
        </w:rPr>
      </w:r>
    </w:p>
    <w:p w:rsidR="00000000" w:rsidDel="00000000" w:rsidP="00000000" w:rsidRDefault="00000000" w:rsidRPr="00000000" w14:paraId="0000061D">
      <w:pPr>
        <w:jc w:val="both"/>
        <w:rPr/>
      </w:pPr>
      <w:r w:rsidDel="00000000" w:rsidR="00000000" w:rsidRPr="00000000">
        <w:rPr>
          <w:rtl w:val="0"/>
        </w:rPr>
        <w:t xml:space="preserve">Centrioles are traditionally studied in the context of cell division, but their roles in non-dividing cells and post-mitotic tissues, such as neurons and muscle cells, are less well understood. In these cells, centrioles are essential for the formation and function of primary cilia, which play critical roles in sensory and signaling processes (Kirkwood &amp; Austad, 2000). Investigating how centriole dysfunction contributes to age-related declines in post-mitotic tissues could provide new insights into the biology of aging and age-related diseases.</w:t>
      </w:r>
    </w:p>
    <w:p w:rsidR="00000000" w:rsidDel="00000000" w:rsidP="00000000" w:rsidRDefault="00000000" w:rsidRPr="00000000" w14:paraId="0000061E">
      <w:pPr>
        <w:jc w:val="both"/>
        <w:rPr/>
      </w:pPr>
      <w:r w:rsidDel="00000000" w:rsidR="00000000" w:rsidRPr="00000000">
        <w:rPr>
          <w:rtl w:val="0"/>
        </w:rPr>
      </w:r>
    </w:p>
    <w:p w:rsidR="00000000" w:rsidDel="00000000" w:rsidP="00000000" w:rsidRDefault="00000000" w:rsidRPr="00000000" w14:paraId="0000061F">
      <w:pPr>
        <w:pStyle w:val="Heading3"/>
        <w:jc w:val="both"/>
        <w:rPr/>
      </w:pPr>
      <w:bookmarkStart w:colFirst="0" w:colLast="0" w:name="_dc40v9yu9mpz" w:id="179"/>
      <w:bookmarkEnd w:id="179"/>
      <w:r w:rsidDel="00000000" w:rsidR="00000000" w:rsidRPr="00000000">
        <w:rPr>
          <w:rtl w:val="0"/>
        </w:rPr>
        <w:t xml:space="preserve">3.5.8 Emerging Technologies</w:t>
      </w:r>
    </w:p>
    <w:p w:rsidR="00000000" w:rsidDel="00000000" w:rsidP="00000000" w:rsidRDefault="00000000" w:rsidRPr="00000000" w14:paraId="00000620">
      <w:pPr>
        <w:jc w:val="both"/>
        <w:rPr/>
      </w:pPr>
      <w:r w:rsidDel="00000000" w:rsidR="00000000" w:rsidRPr="00000000">
        <w:rPr>
          <w:rtl w:val="0"/>
        </w:rPr>
      </w:r>
    </w:p>
    <w:p w:rsidR="00000000" w:rsidDel="00000000" w:rsidP="00000000" w:rsidRDefault="00000000" w:rsidRPr="00000000" w14:paraId="00000621">
      <w:pPr>
        <w:jc w:val="both"/>
        <w:rPr/>
      </w:pPr>
      <w:r w:rsidDel="00000000" w:rsidR="00000000" w:rsidRPr="00000000">
        <w:rPr>
          <w:rtl w:val="0"/>
        </w:rPr>
        <w:t xml:space="preserve">Advances in imaging technologies, such as super-resolution microscopy and live-cell imaging, have revolutionized the study of centriole dynamics. These techniques allow researchers to visualize centriole structure and function in real time, providing unprecedented insights into how centrioles change with age (Hinchcliffe &amp; Sluder, 2001). For example, super-resolution microscopy has revealed age-related changes in centrosome architecture and microtubule organization, shedding light on the mechanisms underlying centriole dysfunction.</w:t>
      </w:r>
    </w:p>
    <w:p w:rsidR="00000000" w:rsidDel="00000000" w:rsidP="00000000" w:rsidRDefault="00000000" w:rsidRPr="00000000" w14:paraId="00000622">
      <w:pPr>
        <w:jc w:val="both"/>
        <w:rPr/>
      </w:pPr>
      <w:r w:rsidDel="00000000" w:rsidR="00000000" w:rsidRPr="00000000">
        <w:rPr>
          <w:rtl w:val="0"/>
        </w:rPr>
      </w:r>
    </w:p>
    <w:p w:rsidR="00000000" w:rsidDel="00000000" w:rsidP="00000000" w:rsidRDefault="00000000" w:rsidRPr="00000000" w14:paraId="00000623">
      <w:pPr>
        <w:jc w:val="both"/>
        <w:rPr/>
      </w:pPr>
      <w:r w:rsidDel="00000000" w:rsidR="00000000" w:rsidRPr="00000000">
        <w:rPr>
          <w:rtl w:val="0"/>
        </w:rPr>
        <w:t xml:space="preserve">CRISPR-Cas9 gene editing has emerged as a powerful tool for studying centriole function and its role in aging. By creating targeted mutations in centriole-associated genes, researchers can investigate the effects of centriole dysfunction on cellular and organismal aging (Doudna &amp; Charpentier, 2014). Additionally, CRISPR-based approaches hold promise for developing gene therapies to correct centriole defects and restore normal cellular function in age-related diseases.</w:t>
      </w:r>
    </w:p>
    <w:p w:rsidR="00000000" w:rsidDel="00000000" w:rsidP="00000000" w:rsidRDefault="00000000" w:rsidRPr="00000000" w14:paraId="00000624">
      <w:pPr>
        <w:jc w:val="both"/>
        <w:rPr/>
      </w:pPr>
      <w:r w:rsidDel="00000000" w:rsidR="00000000" w:rsidRPr="00000000">
        <w:rPr>
          <w:rtl w:val="0"/>
        </w:rPr>
      </w:r>
    </w:p>
    <w:p w:rsidR="00000000" w:rsidDel="00000000" w:rsidP="00000000" w:rsidRDefault="00000000" w:rsidRPr="00000000" w14:paraId="00000625">
      <w:pPr>
        <w:jc w:val="both"/>
        <w:rPr/>
      </w:pPr>
      <w:r w:rsidDel="00000000" w:rsidR="00000000" w:rsidRPr="00000000">
        <w:rPr>
          <w:rtl w:val="0"/>
        </w:rPr>
        <w:t xml:space="preserve">Translating basic research on centrioles into clinical applications is a key goal for the future. Potential therapeutic strategies include small molecule inhibitors to stabilize centrosome function, gene therapies to correct centriole defects, and antioxidant treatments to protect centrioles from oxidative damage (Campisi, 2013). These approaches could help delay aging and prevent age-related diseases by maintaining centriole integrity and function.</w:t>
      </w:r>
    </w:p>
    <w:p w:rsidR="00000000" w:rsidDel="00000000" w:rsidP="00000000" w:rsidRDefault="00000000" w:rsidRPr="00000000" w14:paraId="00000626">
      <w:pPr>
        <w:jc w:val="both"/>
        <w:rPr/>
      </w:pPr>
      <w:r w:rsidDel="00000000" w:rsidR="00000000" w:rsidRPr="00000000">
        <w:rPr>
          <w:rtl w:val="0"/>
        </w:rPr>
      </w:r>
    </w:p>
    <w:p w:rsidR="00000000" w:rsidDel="00000000" w:rsidP="00000000" w:rsidRDefault="00000000" w:rsidRPr="00000000" w14:paraId="00000627">
      <w:pPr>
        <w:jc w:val="both"/>
        <w:rPr/>
      </w:pPr>
      <w:r w:rsidDel="00000000" w:rsidR="00000000" w:rsidRPr="00000000">
        <w:rPr>
          <w:rtl w:val="0"/>
        </w:rPr>
        <w:t xml:space="preserve">Centriole research should be integrated into broader studies of aging to better understand how centriole dysfunction interacts with other hallmarks of aging, such as genomic instability, mitochondrial dysfunction, and cellular senescence (Kirkwood, 2005). This integrative approach could provide a more comprehensive understanding of the aging process and identify new targets for interventions to promote healthy aging.</w:t>
      </w:r>
    </w:p>
    <w:p w:rsidR="00000000" w:rsidDel="00000000" w:rsidP="00000000" w:rsidRDefault="00000000" w:rsidRPr="00000000" w14:paraId="00000628">
      <w:pPr>
        <w:jc w:val="both"/>
        <w:rPr/>
      </w:pPr>
      <w:r w:rsidDel="00000000" w:rsidR="00000000" w:rsidRPr="00000000">
        <w:rPr>
          <w:rtl w:val="0"/>
        </w:rPr>
      </w:r>
    </w:p>
    <w:p w:rsidR="00000000" w:rsidDel="00000000" w:rsidP="00000000" w:rsidRDefault="00000000" w:rsidRPr="00000000" w14:paraId="00000629">
      <w:pPr>
        <w:pStyle w:val="Heading3"/>
        <w:jc w:val="both"/>
        <w:rPr/>
      </w:pPr>
      <w:bookmarkStart w:colFirst="0" w:colLast="0" w:name="_bb06zdcmmujv" w:id="180"/>
      <w:bookmarkEnd w:id="180"/>
      <w:r w:rsidDel="00000000" w:rsidR="00000000" w:rsidRPr="00000000">
        <w:rPr>
          <w:rtl w:val="0"/>
        </w:rPr>
        <w:t xml:space="preserve">3.5.9 Conclusion</w:t>
      </w:r>
    </w:p>
    <w:p w:rsidR="00000000" w:rsidDel="00000000" w:rsidP="00000000" w:rsidRDefault="00000000" w:rsidRPr="00000000" w14:paraId="0000062A">
      <w:pPr>
        <w:jc w:val="both"/>
        <w:rPr/>
      </w:pPr>
      <w:r w:rsidDel="00000000" w:rsidR="00000000" w:rsidRPr="00000000">
        <w:rPr>
          <w:rtl w:val="0"/>
        </w:rPr>
        <w:br w:type="textWrapping"/>
        <w:t xml:space="preserve">Centrioles, once considered mere structural components of the cell, are now recognized as key players in the aging process. Their roles in maintaining genomic stability, stem cell function, and cellular signaling make them critical to understanding the biology of aging. Centrioles ensure accurate chromosome segregation during cell division, support the regenerative capacity of stem cells, and facilitate the formation and function of primary cilia, which are essential for cellular communication and homeostasis (Nigg &amp; Holland, 2018; Goetz &amp; Anderson, 2010). Dysfunction in these processes contributes to the hallmarks of aging, including genomic instability, tissue degeneration, and chronic inflammation (López-Otín et al., 2013).</w:t>
      </w:r>
    </w:p>
    <w:p w:rsidR="00000000" w:rsidDel="00000000" w:rsidP="00000000" w:rsidRDefault="00000000" w:rsidRPr="00000000" w14:paraId="0000062B">
      <w:pPr>
        <w:jc w:val="both"/>
        <w:rPr/>
      </w:pPr>
      <w:r w:rsidDel="00000000" w:rsidR="00000000" w:rsidRPr="00000000">
        <w:rPr>
          <w:rtl w:val="0"/>
        </w:rPr>
        <w:t xml:space="preserve">By elucidating the mechanisms linking centrioles to aging, we can develop novel interventions to promote healthy aging and prevent age-related diseases. For example, targeting centriole dysfunction through small molecule inhibitors, gene therapies, or antioxidant treatments could help restore cellular function and delay the onset of age-related pathologies (Kirkwood, 2005; Nigg &amp; Raff, 2009). Additionally, understanding the evolutionary and maintenance theories of centriole aging provides insights into why centriole dysfunction occurs and how it can be mitigated.</w:t>
      </w:r>
    </w:p>
    <w:p w:rsidR="00000000" w:rsidDel="00000000" w:rsidP="00000000" w:rsidRDefault="00000000" w:rsidRPr="00000000" w14:paraId="0000062C">
      <w:pPr>
        <w:jc w:val="both"/>
        <w:rPr/>
      </w:pPr>
      <w:r w:rsidDel="00000000" w:rsidR="00000000" w:rsidRPr="00000000">
        <w:rPr>
          <w:rtl w:val="0"/>
        </w:rPr>
      </w:r>
    </w:p>
    <w:p w:rsidR="00000000" w:rsidDel="00000000" w:rsidP="00000000" w:rsidRDefault="00000000" w:rsidRPr="00000000" w14:paraId="0000062D">
      <w:pPr>
        <w:jc w:val="both"/>
        <w:rPr/>
      </w:pPr>
      <w:r w:rsidDel="00000000" w:rsidR="00000000" w:rsidRPr="00000000">
        <w:rPr>
          <w:rtl w:val="0"/>
        </w:rPr>
        <w:t xml:space="preserve">Future research should focus on translating these findings into clinical applications, offering hope for extending healthspan and improving quality of life in an aging population. This includes developing biomarkers for early detection of centriole dysfunction, advancing therapeutic strategies to stabilize centriole function, and integrating centriole research into broader studies of aging (Campisi, 2013; Hinchcliffe &amp; Sluder, 2001). By bridging the gap between basic science and clinical practice, we can unlock the potential of centriole-targeted therapies to enhance healthy aging and address the growing burden of age-related diseases.</w:t>
      </w:r>
    </w:p>
    <w:p w:rsidR="00000000" w:rsidDel="00000000" w:rsidP="00000000" w:rsidRDefault="00000000" w:rsidRPr="00000000" w14:paraId="0000062E">
      <w:pPr>
        <w:jc w:val="both"/>
        <w:rPr/>
      </w:pPr>
      <w:r w:rsidDel="00000000" w:rsidR="00000000" w:rsidRPr="00000000">
        <w:rPr>
          <w:rtl w:val="0"/>
        </w:rPr>
      </w:r>
    </w:p>
    <w:p w:rsidR="00000000" w:rsidDel="00000000" w:rsidP="00000000" w:rsidRDefault="00000000" w:rsidRPr="00000000" w14:paraId="0000062F">
      <w:pPr>
        <w:pStyle w:val="Heading2"/>
        <w:jc w:val="both"/>
        <w:rPr/>
      </w:pPr>
      <w:bookmarkStart w:colFirst="0" w:colLast="0" w:name="_hq75ps53zns6" w:id="181"/>
      <w:bookmarkEnd w:id="181"/>
      <w:r w:rsidDel="00000000" w:rsidR="00000000" w:rsidRPr="00000000">
        <w:rPr>
          <w:rtl w:val="0"/>
        </w:rPr>
        <w:t xml:space="preserve">3.6 Hypotheses</w:t>
      </w:r>
    </w:p>
    <w:p w:rsidR="00000000" w:rsidDel="00000000" w:rsidP="00000000" w:rsidRDefault="00000000" w:rsidRPr="00000000" w14:paraId="00000630">
      <w:pPr>
        <w:jc w:val="both"/>
        <w:rPr/>
      </w:pPr>
      <w:r w:rsidDel="00000000" w:rsidR="00000000" w:rsidRPr="00000000">
        <w:rPr>
          <w:rtl w:val="0"/>
        </w:rPr>
      </w:r>
    </w:p>
    <w:p w:rsidR="00000000" w:rsidDel="00000000" w:rsidP="00000000" w:rsidRDefault="00000000" w:rsidRPr="00000000" w14:paraId="00000631">
      <w:pPr>
        <w:pStyle w:val="Heading3"/>
        <w:jc w:val="both"/>
        <w:rPr/>
      </w:pPr>
      <w:bookmarkStart w:colFirst="0" w:colLast="0" w:name="_c2vsfwhlay2k" w:id="182"/>
      <w:bookmarkEnd w:id="182"/>
      <w:r w:rsidDel="00000000" w:rsidR="00000000" w:rsidRPr="00000000">
        <w:rPr>
          <w:rtl w:val="0"/>
        </w:rPr>
        <w:t xml:space="preserve">3.6.1 Hypothesis 1: Aging Due to Increased Proportion of Aged Centrioles</w:t>
      </w:r>
    </w:p>
    <w:p w:rsidR="00000000" w:rsidDel="00000000" w:rsidP="00000000" w:rsidRDefault="00000000" w:rsidRPr="00000000" w14:paraId="00000632">
      <w:pPr>
        <w:jc w:val="both"/>
        <w:rPr/>
      </w:pPr>
      <w:r w:rsidDel="00000000" w:rsidR="00000000" w:rsidRPr="00000000">
        <w:rPr>
          <w:rtl w:val="0"/>
        </w:rPr>
        <w:t xml:space="preserve">The presence of old centrioles in the body correlates with elevated markers of age-related cellular dysfunction, reduced regenerative capacity, and accelerated aging rates. Aged centrioles lose structural integrity, impairing their role in microtubule organization and cell division.</w:t>
      </w:r>
    </w:p>
    <w:p w:rsidR="00000000" w:rsidDel="00000000" w:rsidP="00000000" w:rsidRDefault="00000000" w:rsidRPr="00000000" w14:paraId="00000633">
      <w:pPr>
        <w:jc w:val="both"/>
        <w:rPr/>
      </w:pPr>
      <w:r w:rsidDel="00000000" w:rsidR="00000000" w:rsidRPr="00000000">
        <w:rPr>
          <w:rtl w:val="0"/>
        </w:rPr>
      </w:r>
    </w:p>
    <w:p w:rsidR="00000000" w:rsidDel="00000000" w:rsidP="00000000" w:rsidRDefault="00000000" w:rsidRPr="00000000" w14:paraId="00000634">
      <w:pPr>
        <w:pStyle w:val="Heading3"/>
        <w:jc w:val="both"/>
        <w:rPr/>
      </w:pPr>
      <w:bookmarkStart w:colFirst="0" w:colLast="0" w:name="_g1jc5vje5ae" w:id="183"/>
      <w:bookmarkEnd w:id="183"/>
      <w:r w:rsidDel="00000000" w:rsidR="00000000" w:rsidRPr="00000000">
        <w:rPr>
          <w:rtl w:val="0"/>
        </w:rPr>
        <w:t xml:space="preserve">3.6.2 Hypothesis 2: Rejuvenation via Increased Proportion of New Centrioles</w:t>
      </w:r>
    </w:p>
    <w:p w:rsidR="00000000" w:rsidDel="00000000" w:rsidP="00000000" w:rsidRDefault="00000000" w:rsidRPr="00000000" w14:paraId="00000635">
      <w:pPr>
        <w:jc w:val="both"/>
        <w:rPr/>
      </w:pPr>
      <w:r w:rsidDel="00000000" w:rsidR="00000000" w:rsidRPr="00000000">
        <w:rPr>
          <w:rtl w:val="0"/>
        </w:rPr>
      </w:r>
    </w:p>
    <w:p w:rsidR="00000000" w:rsidDel="00000000" w:rsidP="00000000" w:rsidRDefault="00000000" w:rsidRPr="00000000" w14:paraId="00000636">
      <w:pPr>
        <w:jc w:val="both"/>
        <w:rPr/>
      </w:pPr>
      <w:r w:rsidDel="00000000" w:rsidR="00000000" w:rsidRPr="00000000">
        <w:rPr>
          <w:rtl w:val="0"/>
        </w:rPr>
        <w:t xml:space="preserve">New centrioles correlate with reduced aging markers, enhanced regeneration, and slower aging. Fresh centrioles improve cytoskeletal dynamics and ensure accurate mitotic spindle formation, critical for maintaining genomic stability.</w:t>
      </w:r>
    </w:p>
    <w:p w:rsidR="00000000" w:rsidDel="00000000" w:rsidP="00000000" w:rsidRDefault="00000000" w:rsidRPr="00000000" w14:paraId="00000637">
      <w:pPr>
        <w:jc w:val="both"/>
        <w:rPr/>
      </w:pPr>
      <w:r w:rsidDel="00000000" w:rsidR="00000000" w:rsidRPr="00000000">
        <w:rPr>
          <w:rtl w:val="0"/>
        </w:rPr>
      </w:r>
    </w:p>
    <w:p w:rsidR="00000000" w:rsidDel="00000000" w:rsidP="00000000" w:rsidRDefault="00000000" w:rsidRPr="00000000" w14:paraId="00000638">
      <w:pPr>
        <w:pStyle w:val="Heading3"/>
        <w:jc w:val="both"/>
        <w:rPr/>
      </w:pPr>
      <w:bookmarkStart w:colFirst="0" w:colLast="0" w:name="_7rc8jy69bwpf" w:id="184"/>
      <w:bookmarkEnd w:id="184"/>
      <w:r w:rsidDel="00000000" w:rsidR="00000000" w:rsidRPr="00000000">
        <w:rPr>
          <w:rtl w:val="0"/>
        </w:rPr>
        <w:t xml:space="preserve">3.6.3 Hypothesis 3: Cytoskeletal Disorganization</w:t>
      </w:r>
    </w:p>
    <w:p w:rsidR="00000000" w:rsidDel="00000000" w:rsidP="00000000" w:rsidRDefault="00000000" w:rsidRPr="00000000" w14:paraId="00000639">
      <w:pPr>
        <w:jc w:val="both"/>
        <w:rPr/>
      </w:pPr>
      <w:r w:rsidDel="00000000" w:rsidR="00000000" w:rsidRPr="00000000">
        <w:rPr>
          <w:rtl w:val="0"/>
        </w:rPr>
      </w:r>
    </w:p>
    <w:p w:rsidR="00000000" w:rsidDel="00000000" w:rsidP="00000000" w:rsidRDefault="00000000" w:rsidRPr="00000000" w14:paraId="0000063A">
      <w:pPr>
        <w:jc w:val="both"/>
        <w:rPr/>
      </w:pPr>
      <w:r w:rsidDel="00000000" w:rsidR="00000000" w:rsidRPr="00000000">
        <w:rPr>
          <w:rtl w:val="0"/>
        </w:rPr>
        <w:t xml:space="preserve">Dysfunctional aged centrioles disrupt microtubule networks, impairing intracellular transport, organelle migration, and cell shape maintenance. This exacerbates oxidative stress and reduces cellular resilience 41115. For example, centrioles regulate actin filaments and microtubules essential for cellular architecture 15.</w:t>
      </w:r>
    </w:p>
    <w:p w:rsidR="00000000" w:rsidDel="00000000" w:rsidP="00000000" w:rsidRDefault="00000000" w:rsidRPr="00000000" w14:paraId="0000063B">
      <w:pPr>
        <w:jc w:val="both"/>
        <w:rPr/>
      </w:pPr>
      <w:r w:rsidDel="00000000" w:rsidR="00000000" w:rsidRPr="00000000">
        <w:rPr>
          <w:rtl w:val="0"/>
        </w:rPr>
      </w:r>
    </w:p>
    <w:p w:rsidR="00000000" w:rsidDel="00000000" w:rsidP="00000000" w:rsidRDefault="00000000" w:rsidRPr="00000000" w14:paraId="0000063C">
      <w:pPr>
        <w:pStyle w:val="Heading3"/>
        <w:jc w:val="both"/>
        <w:rPr/>
      </w:pPr>
      <w:bookmarkStart w:colFirst="0" w:colLast="0" w:name="_7hcyeec4u48y" w:id="185"/>
      <w:bookmarkEnd w:id="185"/>
      <w:r w:rsidDel="00000000" w:rsidR="00000000" w:rsidRPr="00000000">
        <w:rPr>
          <w:rtl w:val="0"/>
        </w:rPr>
        <w:t xml:space="preserve">3.6.4 Hypothesis 4: Autophagy Impairment</w:t>
      </w:r>
    </w:p>
    <w:p w:rsidR="00000000" w:rsidDel="00000000" w:rsidP="00000000" w:rsidRDefault="00000000" w:rsidRPr="00000000" w14:paraId="0000063D">
      <w:pPr>
        <w:jc w:val="both"/>
        <w:rPr/>
      </w:pPr>
      <w:r w:rsidDel="00000000" w:rsidR="00000000" w:rsidRPr="00000000">
        <w:rPr>
          <w:rtl w:val="0"/>
        </w:rPr>
      </w:r>
    </w:p>
    <w:p w:rsidR="00000000" w:rsidDel="00000000" w:rsidP="00000000" w:rsidRDefault="00000000" w:rsidRPr="00000000" w14:paraId="0000063E">
      <w:pPr>
        <w:jc w:val="both"/>
        <w:rPr/>
      </w:pPr>
      <w:r w:rsidDel="00000000" w:rsidR="00000000" w:rsidRPr="00000000">
        <w:rPr>
          <w:rtl w:val="0"/>
        </w:rPr>
        <w:t xml:space="preserve">Aged centrioles may fail to participate in phagophore cup formation, leading to accumulation of damaged organelles and proteins—a hallmark of age-related pathologies like neurodegeneration. New centrioles enhance autophagy, improving cellular clearance.</w:t>
      </w:r>
    </w:p>
    <w:p w:rsidR="00000000" w:rsidDel="00000000" w:rsidP="00000000" w:rsidRDefault="00000000" w:rsidRPr="00000000" w14:paraId="0000063F">
      <w:pPr>
        <w:jc w:val="both"/>
        <w:rPr/>
      </w:pPr>
      <w:r w:rsidDel="00000000" w:rsidR="00000000" w:rsidRPr="00000000">
        <w:rPr>
          <w:rtl w:val="0"/>
        </w:rPr>
      </w:r>
    </w:p>
    <w:p w:rsidR="00000000" w:rsidDel="00000000" w:rsidP="00000000" w:rsidRDefault="00000000" w:rsidRPr="00000000" w14:paraId="00000640">
      <w:pPr>
        <w:pStyle w:val="Heading3"/>
        <w:jc w:val="both"/>
        <w:rPr/>
      </w:pPr>
      <w:bookmarkStart w:colFirst="0" w:colLast="0" w:name="_j9i7kxfx9i3k" w:id="186"/>
      <w:bookmarkEnd w:id="186"/>
      <w:r w:rsidDel="00000000" w:rsidR="00000000" w:rsidRPr="00000000">
        <w:rPr>
          <w:rtl w:val="0"/>
        </w:rPr>
        <w:t xml:space="preserve">3.6.5 Hypothesis 5: Epigenetic Alterations</w:t>
      </w:r>
    </w:p>
    <w:p w:rsidR="00000000" w:rsidDel="00000000" w:rsidP="00000000" w:rsidRDefault="00000000" w:rsidRPr="00000000" w14:paraId="00000641">
      <w:pPr>
        <w:jc w:val="both"/>
        <w:rPr/>
      </w:pPr>
      <w:r w:rsidDel="00000000" w:rsidR="00000000" w:rsidRPr="00000000">
        <w:rPr>
          <w:rtl w:val="0"/>
        </w:rPr>
      </w:r>
    </w:p>
    <w:p w:rsidR="00000000" w:rsidDel="00000000" w:rsidP="00000000" w:rsidRDefault="00000000" w:rsidRPr="00000000" w14:paraId="00000642">
      <w:pPr>
        <w:jc w:val="both"/>
        <w:rPr/>
      </w:pPr>
      <w:r w:rsidDel="00000000" w:rsidR="00000000" w:rsidRPr="00000000">
        <w:rPr>
          <w:rtl w:val="0"/>
        </w:rPr>
        <w:t xml:space="preserve">Age-related replication errors in centrioles (e.g., during S-phase duplication) disrupt gene expression linked to the cell cycle and DNA repair. Maternal centrioles carry additional proteins (e.g., tubulins) that influence transcriptional regulation, creating a feedback loop that accelerates aging.</w:t>
      </w:r>
    </w:p>
    <w:p w:rsidR="00000000" w:rsidDel="00000000" w:rsidP="00000000" w:rsidRDefault="00000000" w:rsidRPr="00000000" w14:paraId="00000643">
      <w:pPr>
        <w:jc w:val="both"/>
        <w:rPr/>
      </w:pPr>
      <w:r w:rsidDel="00000000" w:rsidR="00000000" w:rsidRPr="00000000">
        <w:rPr>
          <w:rtl w:val="0"/>
        </w:rPr>
      </w:r>
    </w:p>
    <w:p w:rsidR="00000000" w:rsidDel="00000000" w:rsidP="00000000" w:rsidRDefault="00000000" w:rsidRPr="00000000" w14:paraId="00000644">
      <w:pPr>
        <w:pStyle w:val="Heading3"/>
        <w:jc w:val="both"/>
        <w:rPr/>
      </w:pPr>
      <w:bookmarkStart w:colFirst="0" w:colLast="0" w:name="_kgtfmqv345zk" w:id="187"/>
      <w:bookmarkEnd w:id="187"/>
      <w:r w:rsidDel="00000000" w:rsidR="00000000" w:rsidRPr="00000000">
        <w:rPr>
          <w:rtl w:val="0"/>
        </w:rPr>
        <w:t xml:space="preserve">3.6.6 Hypothesis 6: Loss of Cell Polarity and Migration</w:t>
      </w:r>
    </w:p>
    <w:p w:rsidR="00000000" w:rsidDel="00000000" w:rsidP="00000000" w:rsidRDefault="00000000" w:rsidRPr="00000000" w14:paraId="00000645">
      <w:pPr>
        <w:jc w:val="both"/>
        <w:rPr/>
      </w:pPr>
      <w:r w:rsidDel="00000000" w:rsidR="00000000" w:rsidRPr="00000000">
        <w:rPr>
          <w:rtl w:val="0"/>
        </w:rPr>
      </w:r>
    </w:p>
    <w:p w:rsidR="00000000" w:rsidDel="00000000" w:rsidP="00000000" w:rsidRDefault="00000000" w:rsidRPr="00000000" w14:paraId="00000646">
      <w:pPr>
        <w:jc w:val="both"/>
        <w:rPr/>
      </w:pPr>
      <w:r w:rsidDel="00000000" w:rsidR="00000000" w:rsidRPr="00000000">
        <w:rPr>
          <w:rtl w:val="0"/>
        </w:rPr>
        <w:t xml:space="preserve">Aged centrioles impair cellular polarity, critical for tissue regeneration (e.g., in epithelial or stem cells). This reduces wound healing efficiency and tissue renewal. New centrioles restore microtubule organization, enhancing cell migration.</w:t>
      </w:r>
    </w:p>
    <w:p w:rsidR="00000000" w:rsidDel="00000000" w:rsidP="00000000" w:rsidRDefault="00000000" w:rsidRPr="00000000" w14:paraId="00000647">
      <w:pPr>
        <w:jc w:val="both"/>
        <w:rPr/>
      </w:pPr>
      <w:r w:rsidDel="00000000" w:rsidR="00000000" w:rsidRPr="00000000">
        <w:rPr>
          <w:rtl w:val="0"/>
        </w:rPr>
      </w:r>
    </w:p>
    <w:p w:rsidR="00000000" w:rsidDel="00000000" w:rsidP="00000000" w:rsidRDefault="00000000" w:rsidRPr="00000000" w14:paraId="00000648">
      <w:pPr>
        <w:pStyle w:val="Heading3"/>
        <w:jc w:val="both"/>
        <w:rPr/>
      </w:pPr>
      <w:bookmarkStart w:colFirst="0" w:colLast="0" w:name="_hnf66dcqy5qv" w:id="188"/>
      <w:bookmarkEnd w:id="188"/>
      <w:r w:rsidDel="00000000" w:rsidR="00000000" w:rsidRPr="00000000">
        <w:rPr>
          <w:rtl w:val="0"/>
        </w:rPr>
        <w:t xml:space="preserve">3.6.7 Hypothesis 7: Signaling Pathway Disruption</w:t>
      </w:r>
    </w:p>
    <w:p w:rsidR="00000000" w:rsidDel="00000000" w:rsidP="00000000" w:rsidRDefault="00000000" w:rsidRPr="00000000" w14:paraId="00000649">
      <w:pPr>
        <w:jc w:val="both"/>
        <w:rPr/>
      </w:pPr>
      <w:r w:rsidDel="00000000" w:rsidR="00000000" w:rsidRPr="00000000">
        <w:rPr>
          <w:rtl w:val="0"/>
        </w:rPr>
      </w:r>
    </w:p>
    <w:p w:rsidR="00000000" w:rsidDel="00000000" w:rsidP="00000000" w:rsidRDefault="00000000" w:rsidRPr="00000000" w14:paraId="0000064A">
      <w:pPr>
        <w:jc w:val="both"/>
        <w:rPr/>
      </w:pPr>
      <w:r w:rsidDel="00000000" w:rsidR="00000000" w:rsidRPr="00000000">
        <w:rPr>
          <w:rtl w:val="0"/>
        </w:rPr>
        <w:t xml:space="preserve">Centrioles modulate pathways like Wnt/Notch, regulating proliferation and differentiation. Aged centrioles activate pro-inflammatory pathways (e.g., NF-κB), promoting chronic inflammation—a key aging driver. New centrioles suppress senescence-associated secretory phenotype (SASP).</w:t>
      </w:r>
    </w:p>
    <w:p w:rsidR="00000000" w:rsidDel="00000000" w:rsidP="00000000" w:rsidRDefault="00000000" w:rsidRPr="00000000" w14:paraId="0000064B">
      <w:pPr>
        <w:jc w:val="both"/>
        <w:rPr/>
      </w:pPr>
      <w:r w:rsidDel="00000000" w:rsidR="00000000" w:rsidRPr="00000000">
        <w:rPr>
          <w:rtl w:val="0"/>
        </w:rPr>
      </w:r>
    </w:p>
    <w:p w:rsidR="00000000" w:rsidDel="00000000" w:rsidP="00000000" w:rsidRDefault="00000000" w:rsidRPr="00000000" w14:paraId="0000064C">
      <w:pPr>
        <w:pStyle w:val="Heading3"/>
        <w:jc w:val="both"/>
        <w:rPr/>
      </w:pPr>
      <w:bookmarkStart w:colFirst="0" w:colLast="0" w:name="_2q3d4uz4dp7k" w:id="189"/>
      <w:bookmarkEnd w:id="189"/>
      <w:r w:rsidDel="00000000" w:rsidR="00000000" w:rsidRPr="00000000">
        <w:rPr>
          <w:rtl w:val="0"/>
        </w:rPr>
        <w:t xml:space="preserve">3.6.8 Hypothesis 8: Genomic Instability</w:t>
      </w:r>
    </w:p>
    <w:p w:rsidR="00000000" w:rsidDel="00000000" w:rsidP="00000000" w:rsidRDefault="00000000" w:rsidRPr="00000000" w14:paraId="0000064D">
      <w:pPr>
        <w:jc w:val="both"/>
        <w:rPr/>
      </w:pPr>
      <w:r w:rsidDel="00000000" w:rsidR="00000000" w:rsidRPr="00000000">
        <w:rPr>
          <w:rtl w:val="0"/>
        </w:rPr>
      </w:r>
    </w:p>
    <w:p w:rsidR="00000000" w:rsidDel="00000000" w:rsidP="00000000" w:rsidRDefault="00000000" w:rsidRPr="00000000" w14:paraId="0000064E">
      <w:pPr>
        <w:jc w:val="both"/>
        <w:rPr/>
      </w:pPr>
      <w:r w:rsidDel="00000000" w:rsidR="00000000" w:rsidRPr="00000000">
        <w:rPr>
          <w:rtl w:val="0"/>
        </w:rPr>
        <w:t xml:space="preserve">Defective centrioles cause mitotic errors (e.g., aneuploidy), accelerating organismal aging, particularly in highly proliferative tissues (e.g., skin, gut). New centrioles reduce genomic instability risks.</w:t>
      </w:r>
    </w:p>
    <w:p w:rsidR="00000000" w:rsidDel="00000000" w:rsidP="00000000" w:rsidRDefault="00000000" w:rsidRPr="00000000" w14:paraId="0000064F">
      <w:pPr>
        <w:jc w:val="both"/>
        <w:rPr/>
      </w:pPr>
      <w:r w:rsidDel="00000000" w:rsidR="00000000" w:rsidRPr="00000000">
        <w:rPr>
          <w:rtl w:val="0"/>
        </w:rPr>
      </w:r>
    </w:p>
    <w:p w:rsidR="00000000" w:rsidDel="00000000" w:rsidP="00000000" w:rsidRDefault="00000000" w:rsidRPr="00000000" w14:paraId="00000650">
      <w:pPr>
        <w:pStyle w:val="Heading3"/>
        <w:jc w:val="both"/>
        <w:rPr/>
      </w:pPr>
      <w:bookmarkStart w:colFirst="0" w:colLast="0" w:name="_wz8t8qrmz4w0" w:id="190"/>
      <w:bookmarkEnd w:id="190"/>
      <w:r w:rsidDel="00000000" w:rsidR="00000000" w:rsidRPr="00000000">
        <w:rPr>
          <w:rtl w:val="0"/>
        </w:rPr>
        <w:t xml:space="preserve">Hypothesis 9: Mitochondrial Interaction</w:t>
      </w:r>
    </w:p>
    <w:p w:rsidR="00000000" w:rsidDel="00000000" w:rsidP="00000000" w:rsidRDefault="00000000" w:rsidRPr="00000000" w14:paraId="00000651">
      <w:pPr>
        <w:jc w:val="both"/>
        <w:rPr/>
      </w:pPr>
      <w:r w:rsidDel="00000000" w:rsidR="00000000" w:rsidRPr="00000000">
        <w:rPr>
          <w:rtl w:val="0"/>
        </w:rPr>
      </w:r>
    </w:p>
    <w:p w:rsidR="00000000" w:rsidDel="00000000" w:rsidP="00000000" w:rsidRDefault="00000000" w:rsidRPr="00000000" w14:paraId="00000652">
      <w:pPr>
        <w:jc w:val="both"/>
        <w:rPr/>
      </w:pPr>
      <w:r w:rsidDel="00000000" w:rsidR="00000000" w:rsidRPr="00000000">
        <w:rPr>
          <w:rtl w:val="0"/>
        </w:rPr>
        <w:t xml:space="preserve">Aged centrioles disrupt mitochondrial transport along microtubules, reducing energy metabolism efficiency and increasing reactive oxygen species (ROS). New centrioles improve mitochondrial distribution, supporting metabolic health.</w:t>
      </w:r>
    </w:p>
    <w:p w:rsidR="00000000" w:rsidDel="00000000" w:rsidP="00000000" w:rsidRDefault="00000000" w:rsidRPr="00000000" w14:paraId="00000653">
      <w:pPr>
        <w:jc w:val="both"/>
        <w:rPr/>
      </w:pPr>
      <w:r w:rsidDel="00000000" w:rsidR="00000000" w:rsidRPr="00000000">
        <w:rPr>
          <w:rtl w:val="0"/>
        </w:rPr>
      </w:r>
    </w:p>
    <w:p w:rsidR="00000000" w:rsidDel="00000000" w:rsidP="00000000" w:rsidRDefault="00000000" w:rsidRPr="00000000" w14:paraId="00000654">
      <w:pPr>
        <w:pStyle w:val="Heading3"/>
        <w:jc w:val="both"/>
        <w:rPr/>
      </w:pPr>
      <w:bookmarkStart w:colFirst="0" w:colLast="0" w:name="_h7742gb3c97t" w:id="191"/>
      <w:bookmarkEnd w:id="191"/>
      <w:r w:rsidDel="00000000" w:rsidR="00000000" w:rsidRPr="00000000">
        <w:rPr>
          <w:rtl w:val="0"/>
        </w:rPr>
        <w:t xml:space="preserve">Hypothesis 10: Role in Intercellular Communication</w:t>
      </w:r>
    </w:p>
    <w:p w:rsidR="00000000" w:rsidDel="00000000" w:rsidP="00000000" w:rsidRDefault="00000000" w:rsidRPr="00000000" w14:paraId="00000655">
      <w:pPr>
        <w:jc w:val="both"/>
        <w:rPr/>
      </w:pPr>
      <w:r w:rsidDel="00000000" w:rsidR="00000000" w:rsidRPr="00000000">
        <w:rPr>
          <w:rtl w:val="0"/>
        </w:rPr>
      </w:r>
    </w:p>
    <w:p w:rsidR="00000000" w:rsidDel="00000000" w:rsidP="00000000" w:rsidRDefault="00000000" w:rsidRPr="00000000" w14:paraId="00000656">
      <w:pPr>
        <w:jc w:val="both"/>
        <w:rPr/>
      </w:pPr>
      <w:r w:rsidDel="00000000" w:rsidR="00000000" w:rsidRPr="00000000">
        <w:rPr>
          <w:rtl w:val="0"/>
        </w:rPr>
        <w:t xml:space="preserve">Centrioles influence cilia formation, which mediates signaling (e.g., Hedgehog). Aged centrioles impair ciliary function, reducing cellular responsiveness. New centrioles restore cilia, enhancing tissue coordination.</w:t>
      </w:r>
    </w:p>
    <w:p w:rsidR="00000000" w:rsidDel="00000000" w:rsidP="00000000" w:rsidRDefault="00000000" w:rsidRPr="00000000" w14:paraId="00000657">
      <w:pPr>
        <w:jc w:val="both"/>
        <w:rPr/>
      </w:pPr>
      <w:r w:rsidDel="00000000" w:rsidR="00000000" w:rsidRPr="00000000">
        <w:rPr>
          <w:rtl w:val="0"/>
        </w:rPr>
      </w:r>
    </w:p>
    <w:p w:rsidR="00000000" w:rsidDel="00000000" w:rsidP="00000000" w:rsidRDefault="00000000" w:rsidRPr="00000000" w14:paraId="00000658">
      <w:pPr>
        <w:pStyle w:val="Heading3"/>
        <w:jc w:val="both"/>
        <w:rPr/>
      </w:pPr>
      <w:bookmarkStart w:colFirst="0" w:colLast="0" w:name="_vwu6zfri8mr7" w:id="192"/>
      <w:bookmarkEnd w:id="192"/>
      <w:r w:rsidDel="00000000" w:rsidR="00000000" w:rsidRPr="00000000">
        <w:rPr>
          <w:rtl w:val="0"/>
        </w:rPr>
        <w:t xml:space="preserve">Hypothesis 11: Post-Translational Modifications</w:t>
      </w:r>
    </w:p>
    <w:p w:rsidR="00000000" w:rsidDel="00000000" w:rsidP="00000000" w:rsidRDefault="00000000" w:rsidRPr="00000000" w14:paraId="00000659">
      <w:pPr>
        <w:jc w:val="both"/>
        <w:rPr/>
      </w:pPr>
      <w:r w:rsidDel="00000000" w:rsidR="00000000" w:rsidRPr="00000000">
        <w:rPr>
          <w:rtl w:val="0"/>
        </w:rPr>
        <w:t xml:space="preserve">Aged (maternal) centrioles accumulate modifications (e.g., acetylation, polyglutamylation) and distinct proteins. Suppression of centriolar deacetylases (e.g., HDAC6) may mimic age-related changes by hyperacetylating tubulin.</w:t>
      </w:r>
    </w:p>
    <w:p w:rsidR="00000000" w:rsidDel="00000000" w:rsidP="00000000" w:rsidRDefault="00000000" w:rsidRPr="00000000" w14:paraId="0000065A">
      <w:pPr>
        <w:jc w:val="both"/>
        <w:rPr/>
      </w:pPr>
      <w:r w:rsidDel="00000000" w:rsidR="00000000" w:rsidRPr="00000000">
        <w:rPr>
          <w:rtl w:val="0"/>
        </w:rPr>
      </w:r>
    </w:p>
    <w:p w:rsidR="00000000" w:rsidDel="00000000" w:rsidP="00000000" w:rsidRDefault="00000000" w:rsidRPr="00000000" w14:paraId="0000065B">
      <w:pPr>
        <w:pStyle w:val="Heading6"/>
        <w:jc w:val="both"/>
        <w:rPr/>
      </w:pPr>
      <w:bookmarkStart w:colFirst="0" w:colLast="0" w:name="_n8s3r0lb2lrn" w:id="193"/>
      <w:bookmarkEnd w:id="193"/>
      <w:r w:rsidDel="00000000" w:rsidR="00000000" w:rsidRPr="00000000">
        <w:rPr>
          <w:rtl w:val="0"/>
        </w:rPr>
        <w:t xml:space="preserve">3.7 Research Questions</w:t>
      </w:r>
    </w:p>
    <w:p w:rsidR="00000000" w:rsidDel="00000000" w:rsidP="00000000" w:rsidRDefault="00000000" w:rsidRPr="00000000" w14:paraId="0000065C">
      <w:pPr>
        <w:jc w:val="both"/>
        <w:rPr/>
      </w:pPr>
      <w:r w:rsidDel="00000000" w:rsidR="00000000" w:rsidRPr="00000000">
        <w:rPr>
          <w:rtl w:val="0"/>
        </w:rPr>
      </w:r>
    </w:p>
    <w:p w:rsidR="00000000" w:rsidDel="00000000" w:rsidP="00000000" w:rsidRDefault="00000000" w:rsidRPr="00000000" w14:paraId="0000065D">
      <w:pPr>
        <w:pStyle w:val="Heading1"/>
        <w:jc w:val="both"/>
        <w:rPr/>
      </w:pPr>
      <w:bookmarkStart w:colFirst="0" w:colLast="0" w:name="_we7p8lh6pbh2" w:id="194"/>
      <w:bookmarkEnd w:id="194"/>
      <w:r w:rsidDel="00000000" w:rsidR="00000000" w:rsidRPr="00000000">
        <w:rPr>
          <w:rtl w:val="0"/>
        </w:rPr>
        <w:t xml:space="preserve">Chapter 4: Materials and Methods</w:t>
      </w:r>
    </w:p>
    <w:p w:rsidR="00000000" w:rsidDel="00000000" w:rsidP="00000000" w:rsidRDefault="00000000" w:rsidRPr="00000000" w14:paraId="0000065E">
      <w:pPr>
        <w:jc w:val="both"/>
        <w:rPr/>
      </w:pPr>
      <w:r w:rsidDel="00000000" w:rsidR="00000000" w:rsidRPr="00000000">
        <w:rPr>
          <w:rtl w:val="0"/>
        </w:rPr>
      </w:r>
    </w:p>
    <w:p w:rsidR="00000000" w:rsidDel="00000000" w:rsidP="00000000" w:rsidRDefault="00000000" w:rsidRPr="00000000" w14:paraId="0000065F">
      <w:pPr>
        <w:pStyle w:val="Heading6"/>
        <w:jc w:val="both"/>
        <w:rPr/>
      </w:pPr>
      <w:bookmarkStart w:colFirst="0" w:colLast="0" w:name="_siz9x11jqike" w:id="195"/>
      <w:bookmarkEnd w:id="195"/>
      <w:r w:rsidDel="00000000" w:rsidR="00000000" w:rsidRPr="00000000">
        <w:rPr>
          <w:rtl w:val="0"/>
        </w:rPr>
        <w:t xml:space="preserve">4.1 Experimental Design</w:t>
      </w:r>
    </w:p>
    <w:p w:rsidR="00000000" w:rsidDel="00000000" w:rsidP="00000000" w:rsidRDefault="00000000" w:rsidRPr="00000000" w14:paraId="00000660">
      <w:pPr>
        <w:pStyle w:val="Heading6"/>
        <w:numPr>
          <w:ilvl w:val="0"/>
          <w:numId w:val="12"/>
        </w:numPr>
        <w:ind w:left="720" w:hanging="360"/>
        <w:jc w:val="both"/>
      </w:pPr>
      <w:bookmarkStart w:colFirst="0" w:colLast="0" w:name="_nhzqh7276zhe" w:id="196"/>
      <w:bookmarkEnd w:id="196"/>
      <w:r w:rsidDel="00000000" w:rsidR="00000000" w:rsidRPr="00000000">
        <w:rPr>
          <w:rtl w:val="0"/>
        </w:rPr>
        <w:t xml:space="preserve">Description of study design.</w:t>
      </w:r>
    </w:p>
    <w:p w:rsidR="00000000" w:rsidDel="00000000" w:rsidP="00000000" w:rsidRDefault="00000000" w:rsidRPr="00000000" w14:paraId="00000661">
      <w:pPr>
        <w:pStyle w:val="Heading6"/>
        <w:jc w:val="both"/>
        <w:rPr/>
      </w:pPr>
      <w:bookmarkStart w:colFirst="0" w:colLast="0" w:name="_ldwhw8isr8gv" w:id="197"/>
      <w:bookmarkEnd w:id="197"/>
      <w:r w:rsidDel="00000000" w:rsidR="00000000" w:rsidRPr="00000000">
        <w:rPr>
          <w:rtl w:val="0"/>
        </w:rPr>
        <w:t xml:space="preserve">4.2 Sample Preparation</w:t>
      </w:r>
    </w:p>
    <w:p w:rsidR="00000000" w:rsidDel="00000000" w:rsidP="00000000" w:rsidRDefault="00000000" w:rsidRPr="00000000" w14:paraId="00000662">
      <w:pPr>
        <w:pStyle w:val="Heading6"/>
        <w:numPr>
          <w:ilvl w:val="0"/>
          <w:numId w:val="6"/>
        </w:numPr>
        <w:ind w:left="720" w:hanging="360"/>
        <w:jc w:val="both"/>
      </w:pPr>
      <w:bookmarkStart w:colFirst="0" w:colLast="0" w:name="_1xa8j8aq368d" w:id="198"/>
      <w:bookmarkEnd w:id="198"/>
      <w:r w:rsidDel="00000000" w:rsidR="00000000" w:rsidRPr="00000000">
        <w:rPr>
          <w:rtl w:val="0"/>
        </w:rPr>
        <w:t xml:space="preserve">Types of cells and conditions used.</w:t>
      </w:r>
    </w:p>
    <w:p w:rsidR="00000000" w:rsidDel="00000000" w:rsidP="00000000" w:rsidRDefault="00000000" w:rsidRPr="00000000" w14:paraId="00000663">
      <w:pPr>
        <w:pStyle w:val="Heading6"/>
        <w:jc w:val="both"/>
        <w:rPr/>
      </w:pPr>
      <w:bookmarkStart w:colFirst="0" w:colLast="0" w:name="_e6m3cytqngxj" w:id="199"/>
      <w:bookmarkEnd w:id="199"/>
      <w:r w:rsidDel="00000000" w:rsidR="00000000" w:rsidRPr="00000000">
        <w:rPr>
          <w:rtl w:val="0"/>
        </w:rPr>
        <w:t xml:space="preserve">4.3 Methods for Studying Centrioles</w:t>
      </w:r>
    </w:p>
    <w:p w:rsidR="00000000" w:rsidDel="00000000" w:rsidP="00000000" w:rsidRDefault="00000000" w:rsidRPr="00000000" w14:paraId="00000664">
      <w:pPr>
        <w:pStyle w:val="Heading6"/>
        <w:numPr>
          <w:ilvl w:val="0"/>
          <w:numId w:val="40"/>
        </w:numPr>
        <w:spacing w:after="0" w:afterAutospacing="0"/>
        <w:ind w:left="720" w:hanging="360"/>
        <w:jc w:val="both"/>
      </w:pPr>
      <w:bookmarkStart w:colFirst="0" w:colLast="0" w:name="_lw432h2cwzbl" w:id="200"/>
      <w:bookmarkEnd w:id="200"/>
      <w:r w:rsidDel="00000000" w:rsidR="00000000" w:rsidRPr="00000000">
        <w:rPr>
          <w:rtl w:val="0"/>
        </w:rPr>
        <w:t xml:space="preserve">Imaging techniques (e.g., super-resolution microscopy).</w:t>
      </w:r>
    </w:p>
    <w:p w:rsidR="00000000" w:rsidDel="00000000" w:rsidP="00000000" w:rsidRDefault="00000000" w:rsidRPr="00000000" w14:paraId="00000665">
      <w:pPr>
        <w:pStyle w:val="Heading6"/>
        <w:numPr>
          <w:ilvl w:val="0"/>
          <w:numId w:val="40"/>
        </w:numPr>
        <w:spacing w:before="0" w:beforeAutospacing="0"/>
        <w:ind w:left="720" w:hanging="360"/>
        <w:jc w:val="both"/>
      </w:pPr>
      <w:bookmarkStart w:colFirst="0" w:colLast="0" w:name="_yrp9lepd85p4" w:id="201"/>
      <w:bookmarkEnd w:id="201"/>
      <w:r w:rsidDel="00000000" w:rsidR="00000000" w:rsidRPr="00000000">
        <w:rPr>
          <w:rtl w:val="0"/>
        </w:rPr>
        <w:t xml:space="preserve">Molecular and genetic tools.</w:t>
      </w:r>
    </w:p>
    <w:p w:rsidR="00000000" w:rsidDel="00000000" w:rsidP="00000000" w:rsidRDefault="00000000" w:rsidRPr="00000000" w14:paraId="00000666">
      <w:pPr>
        <w:pStyle w:val="Heading6"/>
        <w:jc w:val="both"/>
        <w:rPr/>
      </w:pPr>
      <w:bookmarkStart w:colFirst="0" w:colLast="0" w:name="_ul1p9w2f7coj" w:id="202"/>
      <w:bookmarkEnd w:id="202"/>
      <w:r w:rsidDel="00000000" w:rsidR="00000000" w:rsidRPr="00000000">
        <w:rPr>
          <w:rtl w:val="0"/>
        </w:rPr>
        <w:t xml:space="preserve">4.4 Data Analysis</w:t>
      </w:r>
    </w:p>
    <w:p w:rsidR="00000000" w:rsidDel="00000000" w:rsidP="00000000" w:rsidRDefault="00000000" w:rsidRPr="00000000" w14:paraId="00000667">
      <w:pPr>
        <w:pStyle w:val="Heading6"/>
        <w:numPr>
          <w:ilvl w:val="0"/>
          <w:numId w:val="39"/>
        </w:numPr>
        <w:ind w:left="720" w:hanging="360"/>
        <w:jc w:val="both"/>
      </w:pPr>
      <w:bookmarkStart w:colFirst="0" w:colLast="0" w:name="_3vismqvks7s1" w:id="203"/>
      <w:bookmarkEnd w:id="203"/>
      <w:r w:rsidDel="00000000" w:rsidR="00000000" w:rsidRPr="00000000">
        <w:rPr>
          <w:rtl w:val="0"/>
        </w:rPr>
        <w:t xml:space="preserve">Statistical and computational tools used.</w:t>
      </w:r>
    </w:p>
    <w:p w:rsidR="00000000" w:rsidDel="00000000" w:rsidP="00000000" w:rsidRDefault="00000000" w:rsidRPr="00000000" w14:paraId="00000668">
      <w:pPr>
        <w:pStyle w:val="Heading6"/>
        <w:jc w:val="both"/>
        <w:rPr/>
      </w:pPr>
      <w:bookmarkStart w:colFirst="0" w:colLast="0" w:name="_q1feufyprqjv" w:id="204"/>
      <w:bookmarkEnd w:id="204"/>
      <w:r w:rsidDel="00000000" w:rsidR="00000000" w:rsidRPr="00000000">
        <w:rPr>
          <w:rtl w:val="0"/>
        </w:rPr>
        <w:t xml:space="preserve">4.5 Ethical Considerations</w:t>
      </w:r>
    </w:p>
    <w:p w:rsidR="00000000" w:rsidDel="00000000" w:rsidP="00000000" w:rsidRDefault="00000000" w:rsidRPr="00000000" w14:paraId="00000669">
      <w:pPr>
        <w:jc w:val="both"/>
        <w:rPr/>
      </w:pPr>
      <w:r w:rsidDel="00000000" w:rsidR="00000000" w:rsidRPr="00000000">
        <w:rPr>
          <w:rtl w:val="0"/>
        </w:rPr>
      </w:r>
    </w:p>
    <w:p w:rsidR="00000000" w:rsidDel="00000000" w:rsidP="00000000" w:rsidRDefault="00000000" w:rsidRPr="00000000" w14:paraId="0000066A">
      <w:pPr>
        <w:pStyle w:val="Heading1"/>
        <w:jc w:val="both"/>
        <w:rPr/>
      </w:pPr>
      <w:bookmarkStart w:colFirst="0" w:colLast="0" w:name="_bqdx2790a607" w:id="205"/>
      <w:bookmarkEnd w:id="205"/>
      <w:r w:rsidDel="00000000" w:rsidR="00000000" w:rsidRPr="00000000">
        <w:rPr>
          <w:rtl w:val="0"/>
        </w:rPr>
        <w:t xml:space="preserve">Chapter 5: Results</w:t>
      </w:r>
    </w:p>
    <w:p w:rsidR="00000000" w:rsidDel="00000000" w:rsidP="00000000" w:rsidRDefault="00000000" w:rsidRPr="00000000" w14:paraId="0000066B">
      <w:pPr>
        <w:jc w:val="both"/>
        <w:rPr/>
      </w:pPr>
      <w:r w:rsidDel="00000000" w:rsidR="00000000" w:rsidRPr="00000000">
        <w:rPr>
          <w:rtl w:val="0"/>
        </w:rPr>
      </w:r>
    </w:p>
    <w:p w:rsidR="00000000" w:rsidDel="00000000" w:rsidP="00000000" w:rsidRDefault="00000000" w:rsidRPr="00000000" w14:paraId="0000066C">
      <w:pPr>
        <w:pStyle w:val="Heading6"/>
        <w:jc w:val="both"/>
        <w:rPr/>
      </w:pPr>
      <w:bookmarkStart w:colFirst="0" w:colLast="0" w:name="_vh09voozgrhl" w:id="206"/>
      <w:bookmarkEnd w:id="206"/>
      <w:r w:rsidDel="00000000" w:rsidR="00000000" w:rsidRPr="00000000">
        <w:rPr>
          <w:rtl w:val="0"/>
        </w:rPr>
        <w:t xml:space="preserve">5.1 Centriolar Asymmetry and Differentiation</w:t>
      </w:r>
    </w:p>
    <w:p w:rsidR="00000000" w:rsidDel="00000000" w:rsidP="00000000" w:rsidRDefault="00000000" w:rsidRPr="00000000" w14:paraId="0000066D">
      <w:pPr>
        <w:pStyle w:val="Heading6"/>
        <w:numPr>
          <w:ilvl w:val="0"/>
          <w:numId w:val="10"/>
        </w:numPr>
        <w:ind w:left="720" w:hanging="360"/>
        <w:jc w:val="both"/>
      </w:pPr>
      <w:bookmarkStart w:colFirst="0" w:colLast="0" w:name="_8rhux9gjipj5" w:id="207"/>
      <w:bookmarkEnd w:id="207"/>
      <w:r w:rsidDel="00000000" w:rsidR="00000000" w:rsidRPr="00000000">
        <w:rPr>
          <w:rtl w:val="0"/>
        </w:rPr>
        <w:t xml:space="preserve">Observations and findings on centriole dynamics.</w:t>
      </w:r>
    </w:p>
    <w:p w:rsidR="00000000" w:rsidDel="00000000" w:rsidP="00000000" w:rsidRDefault="00000000" w:rsidRPr="00000000" w14:paraId="0000066E">
      <w:pPr>
        <w:pStyle w:val="Heading6"/>
        <w:jc w:val="both"/>
        <w:rPr/>
      </w:pPr>
      <w:bookmarkStart w:colFirst="0" w:colLast="0" w:name="_h1fy522k9icl" w:id="208"/>
      <w:bookmarkEnd w:id="208"/>
      <w:r w:rsidDel="00000000" w:rsidR="00000000" w:rsidRPr="00000000">
        <w:rPr>
          <w:rtl w:val="0"/>
        </w:rPr>
        <w:t xml:space="preserve">5.2 Centrioles and the Onset of the Hayflick Limit</w:t>
      </w:r>
    </w:p>
    <w:p w:rsidR="00000000" w:rsidDel="00000000" w:rsidP="00000000" w:rsidRDefault="00000000" w:rsidRPr="00000000" w14:paraId="0000066F">
      <w:pPr>
        <w:pStyle w:val="Heading6"/>
        <w:numPr>
          <w:ilvl w:val="0"/>
          <w:numId w:val="8"/>
        </w:numPr>
        <w:ind w:left="720" w:hanging="360"/>
        <w:jc w:val="both"/>
      </w:pPr>
      <w:bookmarkStart w:colFirst="0" w:colLast="0" w:name="_ipobwqnf6uiw" w:id="209"/>
      <w:bookmarkEnd w:id="209"/>
      <w:r w:rsidDel="00000000" w:rsidR="00000000" w:rsidRPr="00000000">
        <w:rPr>
          <w:rtl w:val="0"/>
        </w:rPr>
        <w:t xml:space="preserve">Evidence for centriolar involvement in cellular aging.</w:t>
      </w:r>
    </w:p>
    <w:p w:rsidR="00000000" w:rsidDel="00000000" w:rsidP="00000000" w:rsidRDefault="00000000" w:rsidRPr="00000000" w14:paraId="00000670">
      <w:pPr>
        <w:pStyle w:val="Heading6"/>
        <w:jc w:val="both"/>
        <w:rPr/>
      </w:pPr>
      <w:bookmarkStart w:colFirst="0" w:colLast="0" w:name="_1pl4smrjjntm" w:id="210"/>
      <w:bookmarkEnd w:id="210"/>
      <w:r w:rsidDel="00000000" w:rsidR="00000000" w:rsidRPr="00000000">
        <w:rPr>
          <w:rtl w:val="0"/>
        </w:rPr>
        <w:t xml:space="preserve">5.3 Comparative Analysis with Existing Models</w:t>
      </w:r>
    </w:p>
    <w:p w:rsidR="00000000" w:rsidDel="00000000" w:rsidP="00000000" w:rsidRDefault="00000000" w:rsidRPr="00000000" w14:paraId="00000671">
      <w:pPr>
        <w:pStyle w:val="Heading6"/>
        <w:jc w:val="both"/>
        <w:rPr/>
      </w:pPr>
      <w:bookmarkStart w:colFirst="0" w:colLast="0" w:name="_kjj27unjm282" w:id="211"/>
      <w:bookmarkEnd w:id="211"/>
      <w:r w:rsidDel="00000000" w:rsidR="00000000" w:rsidRPr="00000000">
        <w:rPr>
          <w:rtl w:val="0"/>
        </w:rPr>
        <w:t xml:space="preserve">5.4 Statistical Validation of Results</w:t>
      </w:r>
    </w:p>
    <w:p w:rsidR="00000000" w:rsidDel="00000000" w:rsidP="00000000" w:rsidRDefault="00000000" w:rsidRPr="00000000" w14:paraId="00000672">
      <w:pPr>
        <w:jc w:val="both"/>
        <w:rPr/>
      </w:pPr>
      <w:r w:rsidDel="00000000" w:rsidR="00000000" w:rsidRPr="00000000">
        <w:rPr>
          <w:rtl w:val="0"/>
        </w:rPr>
      </w:r>
    </w:p>
    <w:p w:rsidR="00000000" w:rsidDel="00000000" w:rsidP="00000000" w:rsidRDefault="00000000" w:rsidRPr="00000000" w14:paraId="00000673">
      <w:pPr>
        <w:pStyle w:val="Heading1"/>
        <w:jc w:val="both"/>
        <w:rPr/>
      </w:pPr>
      <w:bookmarkStart w:colFirst="0" w:colLast="0" w:name="_t0v7wq4gfmio" w:id="212"/>
      <w:bookmarkEnd w:id="212"/>
      <w:r w:rsidDel="00000000" w:rsidR="00000000" w:rsidRPr="00000000">
        <w:rPr>
          <w:rtl w:val="0"/>
        </w:rPr>
        <w:t xml:space="preserve">Chapter 6: Discussion</w:t>
      </w:r>
    </w:p>
    <w:p w:rsidR="00000000" w:rsidDel="00000000" w:rsidP="00000000" w:rsidRDefault="00000000" w:rsidRPr="00000000" w14:paraId="00000674">
      <w:pPr>
        <w:jc w:val="both"/>
        <w:rPr/>
      </w:pPr>
      <w:r w:rsidDel="00000000" w:rsidR="00000000" w:rsidRPr="00000000">
        <w:rPr>
          <w:rtl w:val="0"/>
        </w:rPr>
      </w:r>
    </w:p>
    <w:p w:rsidR="00000000" w:rsidDel="00000000" w:rsidP="00000000" w:rsidRDefault="00000000" w:rsidRPr="00000000" w14:paraId="00000675">
      <w:pPr>
        <w:pStyle w:val="Heading6"/>
        <w:jc w:val="both"/>
        <w:rPr/>
      </w:pPr>
      <w:bookmarkStart w:colFirst="0" w:colLast="0" w:name="_rt0kwcu435ie" w:id="213"/>
      <w:bookmarkEnd w:id="213"/>
      <w:r w:rsidDel="00000000" w:rsidR="00000000" w:rsidRPr="00000000">
        <w:rPr>
          <w:rtl w:val="0"/>
        </w:rPr>
        <w:t xml:space="preserve">6.1 Centriolar Theory of Differentiation</w:t>
      </w:r>
    </w:p>
    <w:p w:rsidR="00000000" w:rsidDel="00000000" w:rsidP="00000000" w:rsidRDefault="00000000" w:rsidRPr="00000000" w14:paraId="00000676">
      <w:pPr>
        <w:pStyle w:val="Heading6"/>
        <w:numPr>
          <w:ilvl w:val="0"/>
          <w:numId w:val="2"/>
        </w:numPr>
        <w:ind w:left="720" w:hanging="360"/>
        <w:jc w:val="both"/>
      </w:pPr>
      <w:bookmarkStart w:colFirst="0" w:colLast="0" w:name="_13033mhlr5o5" w:id="214"/>
      <w:bookmarkEnd w:id="214"/>
      <w:r w:rsidDel="00000000" w:rsidR="00000000" w:rsidRPr="00000000">
        <w:rPr>
          <w:rtl w:val="0"/>
        </w:rPr>
        <w:t xml:space="preserve">How findings support or challenge existing theories.</w:t>
      </w:r>
    </w:p>
    <w:p w:rsidR="00000000" w:rsidDel="00000000" w:rsidP="00000000" w:rsidRDefault="00000000" w:rsidRPr="00000000" w14:paraId="00000677">
      <w:pPr>
        <w:pStyle w:val="Heading6"/>
        <w:jc w:val="both"/>
        <w:rPr/>
      </w:pPr>
      <w:bookmarkStart w:colFirst="0" w:colLast="0" w:name="_mqn2im6dg5yd" w:id="215"/>
      <w:bookmarkEnd w:id="215"/>
      <w:r w:rsidDel="00000000" w:rsidR="00000000" w:rsidRPr="00000000">
        <w:rPr>
          <w:rtl w:val="0"/>
        </w:rPr>
        <w:t xml:space="preserve">6.2 The Role of Centrioles in Aging and the Hayflick Limit</w:t>
      </w:r>
    </w:p>
    <w:p w:rsidR="00000000" w:rsidDel="00000000" w:rsidP="00000000" w:rsidRDefault="00000000" w:rsidRPr="00000000" w14:paraId="00000678">
      <w:pPr>
        <w:pStyle w:val="Heading6"/>
        <w:numPr>
          <w:ilvl w:val="0"/>
          <w:numId w:val="25"/>
        </w:numPr>
        <w:ind w:left="720" w:hanging="360"/>
        <w:jc w:val="both"/>
      </w:pPr>
      <w:bookmarkStart w:colFirst="0" w:colLast="0" w:name="_f4wnd36fw723" w:id="216"/>
      <w:bookmarkEnd w:id="216"/>
      <w:r w:rsidDel="00000000" w:rsidR="00000000" w:rsidRPr="00000000">
        <w:rPr>
          <w:rtl w:val="0"/>
        </w:rPr>
        <w:t xml:space="preserve">Integrating results with known mechanisms of senescence.</w:t>
      </w:r>
    </w:p>
    <w:p w:rsidR="00000000" w:rsidDel="00000000" w:rsidP="00000000" w:rsidRDefault="00000000" w:rsidRPr="00000000" w14:paraId="00000679">
      <w:pPr>
        <w:pStyle w:val="Heading6"/>
        <w:jc w:val="both"/>
        <w:rPr/>
      </w:pPr>
      <w:bookmarkStart w:colFirst="0" w:colLast="0" w:name="_5t8a8eks6kw2" w:id="217"/>
      <w:bookmarkEnd w:id="217"/>
      <w:r w:rsidDel="00000000" w:rsidR="00000000" w:rsidRPr="00000000">
        <w:rPr>
          <w:rtl w:val="0"/>
        </w:rPr>
        <w:t xml:space="preserve">6.3 Implications for Cellular Rejuvenation and Therapy</w:t>
      </w:r>
    </w:p>
    <w:p w:rsidR="00000000" w:rsidDel="00000000" w:rsidP="00000000" w:rsidRDefault="00000000" w:rsidRPr="00000000" w14:paraId="0000067A">
      <w:pPr>
        <w:pStyle w:val="Heading6"/>
        <w:numPr>
          <w:ilvl w:val="0"/>
          <w:numId w:val="19"/>
        </w:numPr>
        <w:ind w:left="720" w:hanging="360"/>
        <w:jc w:val="both"/>
      </w:pPr>
      <w:bookmarkStart w:colFirst="0" w:colLast="0" w:name="_go0ggway5pwx" w:id="218"/>
      <w:bookmarkEnd w:id="218"/>
      <w:r w:rsidDel="00000000" w:rsidR="00000000" w:rsidRPr="00000000">
        <w:rPr>
          <w:rtl w:val="0"/>
        </w:rPr>
        <w:t xml:space="preserve">Potential applications of findings in medicine.</w:t>
      </w:r>
    </w:p>
    <w:p w:rsidR="00000000" w:rsidDel="00000000" w:rsidP="00000000" w:rsidRDefault="00000000" w:rsidRPr="00000000" w14:paraId="0000067B">
      <w:pPr>
        <w:pStyle w:val="Heading6"/>
        <w:jc w:val="both"/>
        <w:rPr/>
      </w:pPr>
      <w:bookmarkStart w:colFirst="0" w:colLast="0" w:name="_suim3hlxzljh" w:id="219"/>
      <w:bookmarkEnd w:id="219"/>
      <w:r w:rsidDel="00000000" w:rsidR="00000000" w:rsidRPr="00000000">
        <w:rPr>
          <w:rtl w:val="0"/>
        </w:rPr>
        <w:t xml:space="preserve">6.4 Limitations of the Study</w:t>
      </w:r>
    </w:p>
    <w:p w:rsidR="00000000" w:rsidDel="00000000" w:rsidP="00000000" w:rsidRDefault="00000000" w:rsidRPr="00000000" w14:paraId="0000067C">
      <w:pPr>
        <w:pStyle w:val="Heading6"/>
        <w:numPr>
          <w:ilvl w:val="0"/>
          <w:numId w:val="20"/>
        </w:numPr>
        <w:ind w:left="720" w:hanging="360"/>
        <w:jc w:val="both"/>
      </w:pPr>
      <w:bookmarkStart w:colFirst="0" w:colLast="0" w:name="_v7pus5o3ivb6" w:id="220"/>
      <w:bookmarkEnd w:id="220"/>
      <w:r w:rsidDel="00000000" w:rsidR="00000000" w:rsidRPr="00000000">
        <w:rPr>
          <w:rtl w:val="0"/>
        </w:rPr>
        <w:t xml:space="preserve">Technical and conceptual challenges faced.</w:t>
      </w:r>
    </w:p>
    <w:p w:rsidR="00000000" w:rsidDel="00000000" w:rsidP="00000000" w:rsidRDefault="00000000" w:rsidRPr="00000000" w14:paraId="0000067D">
      <w:pPr>
        <w:pStyle w:val="Heading6"/>
        <w:jc w:val="both"/>
        <w:rPr/>
      </w:pPr>
      <w:bookmarkStart w:colFirst="0" w:colLast="0" w:name="_rhj03340jgyu" w:id="221"/>
      <w:bookmarkEnd w:id="221"/>
      <w:r w:rsidDel="00000000" w:rsidR="00000000" w:rsidRPr="00000000">
        <w:rPr>
          <w:rtl w:val="0"/>
        </w:rPr>
        <w:t xml:space="preserve">6.5 Future Directions</w:t>
      </w:r>
    </w:p>
    <w:p w:rsidR="00000000" w:rsidDel="00000000" w:rsidP="00000000" w:rsidRDefault="00000000" w:rsidRPr="00000000" w14:paraId="0000067E">
      <w:pPr>
        <w:jc w:val="both"/>
        <w:rPr/>
      </w:pPr>
      <w:r w:rsidDel="00000000" w:rsidR="00000000" w:rsidRPr="00000000">
        <w:rPr>
          <w:rtl w:val="0"/>
        </w:rPr>
      </w:r>
    </w:p>
    <w:p w:rsidR="00000000" w:rsidDel="00000000" w:rsidP="00000000" w:rsidRDefault="00000000" w:rsidRPr="00000000" w14:paraId="0000067F">
      <w:pPr>
        <w:pStyle w:val="Heading1"/>
        <w:jc w:val="both"/>
        <w:rPr/>
      </w:pPr>
      <w:bookmarkStart w:colFirst="0" w:colLast="0" w:name="_f29qwjj0pe7v" w:id="222"/>
      <w:bookmarkEnd w:id="222"/>
      <w:r w:rsidDel="00000000" w:rsidR="00000000" w:rsidRPr="00000000">
        <w:rPr>
          <w:rtl w:val="0"/>
        </w:rPr>
        <w:t xml:space="preserve">Chapter 7: Conclusion </w:t>
      </w:r>
    </w:p>
    <w:p w:rsidR="00000000" w:rsidDel="00000000" w:rsidP="00000000" w:rsidRDefault="00000000" w:rsidRPr="00000000" w14:paraId="00000680">
      <w:pPr>
        <w:jc w:val="both"/>
        <w:rPr/>
      </w:pPr>
      <w:r w:rsidDel="00000000" w:rsidR="00000000" w:rsidRPr="00000000">
        <w:rPr>
          <w:rtl w:val="0"/>
        </w:rPr>
      </w:r>
    </w:p>
    <w:p w:rsidR="00000000" w:rsidDel="00000000" w:rsidP="00000000" w:rsidRDefault="00000000" w:rsidRPr="00000000" w14:paraId="00000681">
      <w:pPr>
        <w:pStyle w:val="Heading6"/>
        <w:numPr>
          <w:ilvl w:val="0"/>
          <w:numId w:val="24"/>
        </w:numPr>
        <w:spacing w:after="0" w:afterAutospacing="0"/>
        <w:ind w:left="720" w:hanging="360"/>
        <w:jc w:val="both"/>
      </w:pPr>
      <w:bookmarkStart w:colFirst="0" w:colLast="0" w:name="_3tetjv261hha" w:id="223"/>
      <w:bookmarkEnd w:id="223"/>
      <w:r w:rsidDel="00000000" w:rsidR="00000000" w:rsidRPr="00000000">
        <w:rPr>
          <w:rtl w:val="0"/>
        </w:rPr>
        <w:t xml:space="preserve">Summary of key findings.</w:t>
      </w:r>
    </w:p>
    <w:p w:rsidR="00000000" w:rsidDel="00000000" w:rsidP="00000000" w:rsidRDefault="00000000" w:rsidRPr="00000000" w14:paraId="00000682">
      <w:pPr>
        <w:pStyle w:val="Heading6"/>
        <w:numPr>
          <w:ilvl w:val="0"/>
          <w:numId w:val="24"/>
        </w:numPr>
        <w:spacing w:before="0" w:beforeAutospacing="0"/>
        <w:ind w:left="720" w:hanging="360"/>
        <w:jc w:val="both"/>
      </w:pPr>
      <w:bookmarkStart w:colFirst="0" w:colLast="0" w:name="_j4ikahd4quj4" w:id="224"/>
      <w:bookmarkEnd w:id="224"/>
      <w:r w:rsidDel="00000000" w:rsidR="00000000" w:rsidRPr="00000000">
        <w:rPr>
          <w:rtl w:val="0"/>
        </w:rPr>
        <w:t xml:space="preserve">Relevance to the broader field of cellular biology.</w:t>
      </w:r>
    </w:p>
    <w:p w:rsidR="00000000" w:rsidDel="00000000" w:rsidP="00000000" w:rsidRDefault="00000000" w:rsidRPr="00000000" w14:paraId="00000683">
      <w:pPr>
        <w:jc w:val="both"/>
        <w:rPr/>
      </w:pPr>
      <w:r w:rsidDel="00000000" w:rsidR="00000000" w:rsidRPr="00000000">
        <w:rPr>
          <w:rtl w:val="0"/>
        </w:rPr>
      </w:r>
    </w:p>
    <w:p w:rsidR="00000000" w:rsidDel="00000000" w:rsidP="00000000" w:rsidRDefault="00000000" w:rsidRPr="00000000" w14:paraId="00000684">
      <w:pPr>
        <w:pStyle w:val="Heading1"/>
        <w:jc w:val="both"/>
        <w:rPr/>
      </w:pPr>
      <w:bookmarkStart w:colFirst="0" w:colLast="0" w:name="_8ekel3ogq5i1" w:id="225"/>
      <w:bookmarkEnd w:id="225"/>
      <w:r w:rsidDel="00000000" w:rsidR="00000000" w:rsidRPr="00000000">
        <w:rPr>
          <w:rtl w:val="0"/>
        </w:rPr>
        <w:t xml:space="preserve">Chapter 8: References</w:t>
      </w:r>
    </w:p>
    <w:p w:rsidR="00000000" w:rsidDel="00000000" w:rsidP="00000000" w:rsidRDefault="00000000" w:rsidRPr="00000000" w14:paraId="00000685">
      <w:pPr>
        <w:numPr>
          <w:ilvl w:val="0"/>
          <w:numId w:val="32"/>
        </w:numPr>
        <w:ind w:left="720" w:hanging="360"/>
        <w:jc w:val="both"/>
      </w:pPr>
      <w:r w:rsidDel="00000000" w:rsidR="00000000" w:rsidRPr="00000000">
        <w:rPr>
          <w:rtl w:val="0"/>
        </w:rPr>
        <w:t xml:space="preserve">Comprehensive list of all sources cited.</w:t>
      </w:r>
    </w:p>
    <w:p w:rsidR="00000000" w:rsidDel="00000000" w:rsidP="00000000" w:rsidRDefault="00000000" w:rsidRPr="00000000" w14:paraId="00000686">
      <w:pPr>
        <w:jc w:val="both"/>
        <w:rPr/>
      </w:pPr>
      <w:r w:rsidDel="00000000" w:rsidR="00000000" w:rsidRPr="00000000">
        <w:rPr>
          <w:rtl w:val="0"/>
        </w:rPr>
      </w:r>
    </w:p>
    <w:p w:rsidR="00000000" w:rsidDel="00000000" w:rsidP="00000000" w:rsidRDefault="00000000" w:rsidRPr="00000000" w14:paraId="00000687">
      <w:pPr>
        <w:pStyle w:val="Heading1"/>
        <w:jc w:val="both"/>
        <w:rPr/>
      </w:pPr>
      <w:bookmarkStart w:colFirst="0" w:colLast="0" w:name="_xto8r5g7h62e" w:id="226"/>
      <w:bookmarkEnd w:id="226"/>
      <w:r w:rsidDel="00000000" w:rsidR="00000000" w:rsidRPr="00000000">
        <w:rPr>
          <w:rtl w:val="0"/>
        </w:rPr>
        <w:t xml:space="preserve">Chapter 9: Appendices (as needed)</w:t>
      </w:r>
    </w:p>
    <w:p w:rsidR="00000000" w:rsidDel="00000000" w:rsidP="00000000" w:rsidRDefault="00000000" w:rsidRPr="00000000" w14:paraId="00000688">
      <w:pPr>
        <w:numPr>
          <w:ilvl w:val="0"/>
          <w:numId w:val="30"/>
        </w:numPr>
        <w:ind w:left="720" w:hanging="360"/>
        <w:jc w:val="both"/>
      </w:pPr>
      <w:r w:rsidDel="00000000" w:rsidR="00000000" w:rsidRPr="00000000">
        <w:rPr>
          <w:rtl w:val="0"/>
        </w:rPr>
        <w:t xml:space="preserve">Supplementary data, figures, or methods.</w:t>
      </w:r>
    </w:p>
    <w:p w:rsidR="00000000" w:rsidDel="00000000" w:rsidP="00000000" w:rsidRDefault="00000000" w:rsidRPr="00000000" w14:paraId="00000689">
      <w:pPr>
        <w:jc w:val="both"/>
        <w:rPr/>
      </w:pPr>
      <w:r w:rsidDel="00000000" w:rsidR="00000000" w:rsidRPr="00000000">
        <w:rPr>
          <w:rtl w:val="0"/>
        </w:rPr>
      </w:r>
    </w:p>
    <w:p w:rsidR="00000000" w:rsidDel="00000000" w:rsidP="00000000" w:rsidRDefault="00000000" w:rsidRPr="00000000" w14:paraId="0000068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6.jpg"/><Relationship Id="rId13" Type="http://schemas.openxmlformats.org/officeDocument/2006/relationships/image" Target="media/image2.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7.jp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