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A1628" w:val="clear"/>
            <w:vAlign w:val="top"/>
          </w:tcPr>
          <w:p>
            <w:pPr>
              <w:spacing w:before="4596"/>
            </w:pPr>
          </w:p>
          <w:p>
            <w:pPr>
              <w:pBdr>
                <w:bottom w:val="single" w:color="4DA8DA" w:sz="6" w:space="8"/>
              </w:pBdr>
              <w:spacing w:after="500"/>
              <w:ind w:left="1200" w:right="800"/>
            </w:pPr>
            <w:r>
              <w:rPr>
                <w:rFonts w:ascii="Times New Roman" w:eastAsia="Times New Roman" w:hAnsi="Times New Roman"/>
                <w:color w:val="4DA8DA"/>
                <w:spacing w:val="40"/>
                <w:sz w:val="18"/>
                <w:szCs w:val="18"/>
              </w:rPr>
              <w:t xml:space="preserve">R A P P O R T   D ' A U D I T   T E C H N I Q U E</w:t>
            </w:r>
          </w:p>
          <w:p>
            <w:pPr>
              <w:spacing w:after="300" w:line="920" w:lineRule="atLeast"/>
              <w:ind w:left="1200"/>
            </w:pPr>
            <w:r>
              <w:rPr>
                <w:rFonts w:ascii="Times New Roman" w:eastAsia="Times New Roman" w:hAnsi="Times New Roman"/>
                <w:b/>
                <w:bCs/>
                <w:color w:val="E8F0F8"/>
                <w:sz w:val="80"/>
                <w:szCs w:val="80"/>
              </w:rPr>
              <w:t xml:space="preserve">SIG PLATFORM</w:t>
            </w:r>
          </w:p>
          <w:p>
            <w:pPr>
              <w:spacing w:after="800" w:line="340"/>
              <w:ind w:left="1200" w:right="800"/>
            </w:pPr>
            <w:r>
              <w:rPr>
                <w:rFonts w:ascii="Times New Roman" w:eastAsia="Times New Roman" w:hAnsi="Times New Roman"/>
                <w:color w:val="9FB6C9"/>
                <w:sz w:val="24"/>
                <w:szCs w:val="24"/>
              </w:rPr>
              <w:t xml:space="preserve">Audit de conformité au cahier des charges N°2, audit de sécurité OWASP et qualité logicielle de la plateforme métier de cartographie et d'analyse spatiale</w:t>
            </w:r>
          </w:p>
          <w:p>
            <w:pPr>
              <w:pBdr>
                <w:left w:val="single" w:color="4DA8DA" w:sz="8" w:space="12"/>
              </w:pBdr>
              <w:spacing w:after="80"/>
              <w:ind w:left="1400"/>
            </w:pPr>
            <w:r>
              <w:rPr>
                <w:rFonts w:ascii="Times New Roman" w:eastAsia="Times New Roman" w:hAnsi="Times New Roman"/>
                <w:color w:val="B8C9D9"/>
                <w:sz w:val="22"/>
                <w:szCs w:val="22"/>
              </w:rPr>
              <w:t xml:space="preserve">Projet : SIG.tg — plateforme métier sécurisée (sig-platform, Django 6.1 + GeoDjango)</w:t>
            </w:r>
          </w:p>
          <w:p>
            <w:pPr>
              <w:pBdr>
                <w:left w:val="single" w:color="4DA8DA" w:sz="8" w:space="12"/>
              </w:pBdr>
              <w:spacing w:after="80"/>
              <w:ind w:left="1400"/>
            </w:pPr>
            <w:r>
              <w:rPr>
                <w:rFonts w:ascii="Times New Roman" w:eastAsia="Times New Roman" w:hAnsi="Times New Roman"/>
                <w:color w:val="B8C9D9"/>
                <w:sz w:val="22"/>
                <w:szCs w:val="22"/>
              </w:rPr>
              <w:t xml:space="preserve">Référentiel : Cahier des charges N°2 « SIG PLATFORM » — 9 modules, 26 applications</w:t>
            </w:r>
          </w:p>
          <w:p>
            <w:pPr>
              <w:pBdr>
                <w:left w:val="single" w:color="4DA8DA" w:sz="8" w:space="12"/>
              </w:pBdr>
              <w:spacing w:after="80"/>
              <w:ind w:left="1400"/>
            </w:pPr>
            <w:r>
              <w:rPr>
                <w:rFonts w:ascii="Times New Roman" w:eastAsia="Times New Roman" w:hAnsi="Times New Roman"/>
                <w:color w:val="B8C9D9"/>
                <w:sz w:val="22"/>
                <w:szCs w:val="22"/>
              </w:rPr>
              <w:t xml:space="preserve">Périmètre : code source, tests, configuration, conteneurisation, sécurité, RGPD</w:t>
            </w:r>
          </w:p>
          <w:p>
            <w:pPr>
              <w:pBdr>
                <w:left w:val="single" w:color="4DA8DA" w:sz="8" w:space="12"/>
              </w:pBdr>
              <w:spacing w:after="80"/>
              <w:ind w:left="1400"/>
            </w:pPr>
            <w:r>
              <w:rPr>
                <w:rFonts w:ascii="Times New Roman" w:eastAsia="Times New Roman" w:hAnsi="Times New Roman"/>
                <w:color w:val="B8C9D9"/>
                <w:sz w:val="22"/>
                <w:szCs w:val="22"/>
              </w:rPr>
              <w:t xml:space="preserve">Date de l'audit : 18 septembre 2026</w:t>
            </w:r>
          </w:p>
          <w:p>
            <w:pPr>
              <w:spacing w:before="4596"/>
            </w:pPr>
          </w:p>
          <w:p>
            <w:pPr>
              <w:pBdr>
                <w:top w:val="single" w:color="4DA8DA" w:sz="2" w:space="8"/>
              </w:pBdr>
              <w:spacing w:before="200"/>
              <w:ind w:left="1200" w:right="800"/>
            </w:pPr>
            <w:r>
              <w:rPr>
                <w:rFonts w:ascii="Times New Roman" w:eastAsia="Times New Roman" w:hAnsi="Times New Roman"/>
                <w:color w:val="6E88A0"/>
                <w:sz w:val="16"/>
                <w:szCs w:val="16"/>
              </w:rPr>
              <w:t xml:space="preserve">GeoLight Service — SIG.tg SARL</w:t>
            </w:r>
            <w:r>
              <w:t xml:space="preserve">                                        </w:t>
            </w:r>
            <w:r>
              <w:rPr>
                <w:rFonts w:ascii="Times New Roman" w:eastAsia="Times New Roman" w:hAnsi="Times New Roman"/>
                <w:color w:val="6E88A0"/>
                <w:sz w:val="16"/>
                <w:szCs w:val="16"/>
              </w:rPr>
              <w:t xml:space="preserve">Septembre 2026</w:t>
            </w:r>
          </w:p>
        </w:tc>
      </w:tr>
    </w:tbl>
    <w:p>
      <w:pPr>
        <w:sectPr>
          <w:pgSz w:w="11906" w:h="16838" w:orient="portrait"/>
          <w:pgMar w:top="0" w:right="0" w:bottom="0" w:left="0" w:header="708" w:footer="708" w:gutter="0"/>
          <w:docGrid w:linePitch="360"/>
        </w:sectPr>
      </w:pPr>
    </w:p>
    <w:p>
      <w:pPr>
        <w:spacing w:after="360" w:before="480" w:line="400" w:lineRule="atLeast"/>
        <w:jc w:val="center"/>
      </w:pPr>
      <w:r>
        <w:rPr>
          <w:rFonts w:ascii="Times New Roman" w:eastAsia="Times New Roman" w:hAnsi="Times New Roman"/>
          <w:b/>
          <w:bCs/>
          <w:color w:val="1A4A7A"/>
          <w:sz w:val="32"/>
          <w:szCs w:val="32"/>
        </w:rPr>
        <w:t xml:space="preserve">Table des matières</w:t>
      </w:r>
    </w:p>
    <w:sdt>
      <w:sdtPr>
        <w:alias w:val="Table des matière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Synthèse exécutive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Contexte, objectifs et périmètre de l'audit</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Contexte du projet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Objectifs de l'audit</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1.3 Périmètre et documents de référence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1.4 Méthodologie et outils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2. Cartographie technique de l'existant</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2.1 Stack technique observée contre stack prévue</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2.2 Applications Django : 26 prévues contre 17 réelles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2.3 Modèles de données : les dix entités exigées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2.4 Qualité du dépôt et de la livraison</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3. Conformité fonctionnelle au cahier des charges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3.1 Avancement par module et score par domaine</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3.2 Écarts fonctionnels détaillés</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3.2.1 — Trois des cinq outils d'analyse spatiale exigés sont absents</w:t>
            </w:r>
            <w:r>
              <w:tab/>
            </w:r>
            <w:r>
              <w:fldChar w:fldCharType="begin"/>
            </w:r>
            <w:r>
              <w:instrText xml:space="preserve"> PAGEREF _Toc100014 \h </w:instrText>
            </w:r>
            <w:r>
              <w:fldChar w:fldCharType="separate"/>
            </w:r>
            <w:r>
              <w:t>6</w:t>
            </w:r>
            <w:r>
              <w:fldChar w:fldCharType="end"/>
            </w:r>
          </w:hyperlink>
        </w:p>
        <w:p>
          <w:pPr>
            <w:pStyle w:val="12"/>
            <w:ind w:left="720"/>
            <w:tabs>
              <w:tab w:val="right" w:leader="dot" w:pos="9026"/>
            </w:tabs>
            <w:spacing w:before="120" w:after="60"/>
          </w:pPr>
          <w:hyperlink w:anchor="_Toc100015" w:history="1">
            <w:r>
              <w:rPr>
                <w:rStyle w:val="Hyperlink"/>
              </w:rPr>
              <w:t>3.2.2 — Paramètres : deux onglets sur cinq incomplets ou absents</w:t>
            </w:r>
            <w:r>
              <w:tab/>
            </w:r>
            <w:r>
              <w:fldChar w:fldCharType="begin"/>
            </w:r>
            <w:r>
              <w:instrText xml:space="preserve"> PAGEREF _Toc100015 \h </w:instrText>
            </w:r>
            <w:r>
              <w:fldChar w:fldCharType="separate"/>
            </w:r>
            <w:r>
              <w:t>7</w:t>
            </w:r>
            <w:r>
              <w:fldChar w:fldCharType="end"/>
            </w:r>
          </w:hyperlink>
        </w:p>
        <w:p>
          <w:pPr>
            <w:pStyle w:val="12"/>
            <w:ind w:left="720"/>
            <w:tabs>
              <w:tab w:val="right" w:leader="dot" w:pos="9026"/>
            </w:tabs>
            <w:spacing w:before="120" w:after="60"/>
          </w:pPr>
          <w:hyperlink w:anchor="_Toc100016" w:history="1">
            <w:r>
              <w:rPr>
                <w:rStyle w:val="Hyperlink"/>
              </w:rPr>
              <w:t>3.2.3 — Exports et cartes : nuances de conformité</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3.3 Sécurité et conformité exigées (§ 5 du CDC)</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3.4 Performance et indicateurs chiffrés (§ 6 et § 11 du CDC)</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3.5 Les dix livrables contractuels (§ 8 du CDC)</w:t>
            </w:r>
            <w:r>
              <w:tab/>
            </w:r>
            <w:r>
              <w:fldChar w:fldCharType="begin"/>
            </w:r>
            <w:r>
              <w:instrText xml:space="preserve"> PAGEREF _Toc100019 \h </w:instrText>
            </w:r>
            <w:r>
              <w:fldChar w:fldCharType="separate"/>
            </w:r>
            <w:r>
              <w:t>8</w:t>
            </w:r>
            <w:r>
              <w:fldChar w:fldCharType="end"/>
            </w:r>
          </w:hyperlink>
        </w:p>
        <w:p>
          <w:pPr>
            <w:pStyle w:val="9"/>
            <w:tabs>
              <w:tab w:val="right" w:leader="dot" w:pos="9026"/>
            </w:tabs>
            <w:spacing w:before="120" w:after="60"/>
          </w:pPr>
          <w:hyperlink w:anchor="_Toc100020" w:history="1">
            <w:r>
              <w:rPr>
                <w:rStyle w:val="Hyperlink"/>
              </w:rPr>
              <w:t>4. Audit de sécurité — OWASP Top 10 et RGPD</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4.1 Grille OWASP Top 10</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4.2 A05 — La chaîne de service de production (constat critique C1)</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4.3 Conformité RGPD</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4.4 Points forts de sécurité à préserver</w:t>
            </w:r>
            <w:r>
              <w:tab/>
            </w:r>
            <w:r>
              <w:fldChar w:fldCharType="begin"/>
            </w:r>
            <w:r>
              <w:instrText xml:space="preserve"> PAGEREF _Toc100024 \h </w:instrText>
            </w:r>
            <w:r>
              <w:fldChar w:fldCharType="separate"/>
            </w:r>
            <w:r>
              <w:t>10</w:t>
            </w:r>
            <w:r>
              <w:fldChar w:fldCharType="end"/>
            </w:r>
          </w:hyperlink>
        </w:p>
        <w:p>
          <w:pPr>
            <w:pStyle w:val="9"/>
            <w:tabs>
              <w:tab w:val="right" w:leader="dot" w:pos="9026"/>
            </w:tabs>
            <w:spacing w:before="120" w:after="60"/>
          </w:pPr>
          <w:hyperlink w:anchor="_Toc100025" w:history="1">
            <w:r>
              <w:rPr>
                <w:rStyle w:val="Hyperlink"/>
              </w:rPr>
              <w:t>5. Qualité du code et tests</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5.1 Points forts à capitaliser</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5.2 Dette technique identifiée</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5.3 Reproductibilité de l'environnement de test</w:t>
            </w:r>
            <w:r>
              <w:tab/>
            </w:r>
            <w:r>
              <w:fldChar w:fldCharType="begin"/>
            </w:r>
            <w:r>
              <w:instrText xml:space="preserve"> PAGEREF _Toc100028 \h </w:instrText>
            </w:r>
            <w:r>
              <w:fldChar w:fldCharType="separate"/>
            </w:r>
            <w:r>
              <w:t>11</w:t>
            </w:r>
            <w:r>
              <w:fldChar w:fldCharType="end"/>
            </w:r>
          </w:hyperlink>
        </w:p>
        <w:p>
          <w:pPr>
            <w:pStyle w:val="9"/>
            <w:tabs>
              <w:tab w:val="right" w:leader="dot" w:pos="9026"/>
            </w:tabs>
            <w:spacing w:before="120" w:after="60"/>
          </w:pPr>
          <w:hyperlink w:anchor="_Toc100029" w:history="1">
            <w:r>
              <w:rPr>
                <w:rStyle w:val="Hyperlink"/>
              </w:rPr>
              <w:t>6. Plan d'action priorisé</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6.1 Vue d'ensemble des constats</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6.2 Actions critiques — à traiter avant toute recette</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6.3 Actions majeures — nécessaires à l'exploitation et à la monétisation</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6.4 Actions mineures — qualité et divergences à assumer</w:t>
            </w:r>
            <w:r>
              <w:tab/>
            </w:r>
            <w:r>
              <w:fldChar w:fldCharType="begin"/>
            </w:r>
            <w:r>
              <w:instrText xml:space="preserve"> PAGEREF _Toc100033 \h </w:instrText>
            </w:r>
            <w:r>
              <w:fldChar w:fldCharType="separate"/>
            </w:r>
            <w:r>
              <w:t>13</w:t>
            </w:r>
            <w:r>
              <w:fldChar w:fldCharType="end"/>
            </w:r>
          </w:hyperlink>
        </w:p>
        <w:p>
          <w:pPr>
            <w:pStyle w:val="11"/>
            <w:ind w:left="360"/>
            <w:tabs>
              <w:tab w:val="right" w:leader="dot" w:pos="9026"/>
            </w:tabs>
            <w:spacing w:before="120" w:after="60"/>
          </w:pPr>
          <w:hyperlink w:anchor="_Toc100034" w:history="1">
            <w:r>
              <w:rPr>
                <w:rStyle w:val="Hyperlink"/>
              </w:rPr>
              <w:t>6.5 Séquencement recommandé</w:t>
            </w:r>
            <w:r>
              <w:tab/>
            </w:r>
            <w:r>
              <w:fldChar w:fldCharType="begin"/>
            </w:r>
            <w:r>
              <w:instrText xml:space="preserve"> PAGEREF _Toc100034 \h </w:instrText>
            </w:r>
            <w:r>
              <w:fldChar w:fldCharType="separate"/>
            </w:r>
            <w:r>
              <w:t>13</w:t>
            </w:r>
            <w:r>
              <w:fldChar w:fldCharType="end"/>
            </w:r>
          </w:hyperlink>
        </w:p>
        <w:p>
          <w:pPr>
            <w:pStyle w:val="9"/>
            <w:tabs>
              <w:tab w:val="right" w:leader="dot" w:pos="9026"/>
            </w:tabs>
            <w:spacing w:before="120" w:after="60"/>
          </w:pPr>
          <w:hyperlink w:anchor="_Toc100035" w:history="1">
            <w:r>
              <w:rPr>
                <w:rStyle w:val="Hyperlink"/>
              </w:rPr>
              <w:t>7. Conclusion</w:t>
            </w:r>
            <w:r>
              <w:tab/>
            </w:r>
            <w:r>
              <w:fldChar w:fldCharType="begin"/>
            </w:r>
            <w:r>
              <w:instrText xml:space="preserve"> PAGEREF _Toc100035 \h </w:instrText>
            </w:r>
            <w:r>
              <w:fldChar w:fldCharType="separate"/>
            </w:r>
            <w:r>
              <w:t>13</w:t>
            </w:r>
            <w:r>
              <w:fldChar w:fldCharType="end"/>
            </w:r>
          </w:hyperlink>
        </w:p>
        <w:p>
          <w:r>
            <w:fldChar w:fldCharType="end"/>
          </w:r>
        </w:p>
      </w:sdtContent>
    </w:sdt>
    <w:p>
      <w:pPr>
        <w:spacing w:before="200" w:line="312"/>
      </w:pPr>
      <w:r>
        <w:rPr>
          <w:rFonts w:ascii="Times New Roman" w:eastAsia="Times New Roman" w:hAnsi="Times New Roman"/>
          <w:i/>
          <w:iCs/>
          <w:color w:val="888888"/>
          <w:sz w:val="18"/>
          <w:szCs w:val="18"/>
        </w:rPr>
        <w:t xml:space="preserve">Nota : cette table des matières est générée par champs. Après toute modification du document, faites un clic droit sur la table puis « Mettre à jour les champs » pour actualiser les numéros de page.</w:t>
      </w:r>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80" w:before="200" w:line="312"/>
      </w:pPr>
      <w:bookmarkStart w:id="100000" w:name="_Toc100000"/>
      <w:r>
        <w:rPr>
          <w:rFonts w:ascii="Times New Roman" w:eastAsia="Times New Roman" w:hAnsi="Times New Roman"/>
          <w:b/>
          <w:bCs/>
          <w:color w:val="1A4A7A"/>
          <w:sz w:val="32"/>
          <w:szCs w:val="32"/>
        </w:rPr>
        <w:t xml:space="preserve">Synthèse exécutive</w:t>
      </w:r>
      <w:bookmarkEnd w:id="100000"/>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présent rapport évalue la conformité du projet </w:t>
      </w:r>
      <w:r>
        <w:rPr>
          <w:rFonts w:ascii="Times New Roman" w:eastAsia="Times New Roman" w:hAnsi="Times New Roman"/>
          <w:b/>
          <w:bCs/>
          <w:i w:val="false"/>
          <w:iCs w:val="false"/>
          <w:color w:val="000000"/>
          <w:sz w:val="24"/>
          <w:szCs w:val="24"/>
        </w:rPr>
        <w:t xml:space="preserve">SIG Platform</w:t>
      </w:r>
      <w:r>
        <w:rPr>
          <w:rFonts w:ascii="Times New Roman" w:eastAsia="Times New Roman" w:hAnsi="Times New Roman"/>
          <w:b w:val="false"/>
          <w:bCs w:val="false"/>
          <w:i w:val="false"/>
          <w:iCs w:val="false"/>
          <w:color w:val="000000"/>
          <w:sz w:val="24"/>
          <w:szCs w:val="24"/>
        </w:rPr>
        <w:t xml:space="preserve"> — l'espace métier sécurisé de l'écosystème SIG.tg, développé par SIG.tg SARL / GeoLight Service — par rapport à son cahier des charges (document de référence « CAHIER DES CHARGES N°2 – SIG PLATFORM », 12 pages), et analyse l'état de sécurité et de qualité du code livré dans l'archive « sig-platform-audit.zip ». L'audit a porté sur l'intégralité du dépôt : dix-sept applications Django (Django 6.1 + GeoDjango), une configuration multi-environnements (dev, staging, production), une conteneurisation Docker (PostGIS 17-3.5, Redis 8, worker Celery), une API REST Django REST Framework et une suite de tests automatisés de 391 cas.</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premier constat est nettement favorable : le socle technique est </w:t>
      </w:r>
      <w:r>
        <w:rPr>
          <w:rFonts w:ascii="Times New Roman" w:eastAsia="Times New Roman" w:hAnsi="Times New Roman"/>
          <w:b/>
          <w:bCs/>
          <w:i w:val="false"/>
          <w:iCs w:val="false"/>
          <w:color w:val="000000"/>
          <w:sz w:val="24"/>
          <w:szCs w:val="24"/>
        </w:rPr>
        <w:t xml:space="preserve">remarquablement sain</w:t>
      </w:r>
      <w:r>
        <w:rPr>
          <w:rFonts w:ascii="Times New Roman" w:eastAsia="Times New Roman" w:hAnsi="Times New Roman"/>
          <w:b w:val="false"/>
          <w:bCs w:val="false"/>
          <w:i w:val="false"/>
          <w:iCs w:val="false"/>
          <w:color w:val="000000"/>
          <w:sz w:val="24"/>
          <w:szCs w:val="24"/>
        </w:rPr>
        <w:t xml:space="preserve">, et sensiblement plus abouti que celui de la vitrine au moment de son premier audit. La suite de tests exécutée par l'audit dans un environnement propre affiche </w:t>
      </w:r>
      <w:r>
        <w:rPr>
          <w:rFonts w:ascii="Times New Roman" w:eastAsia="Times New Roman" w:hAnsi="Times New Roman"/>
          <w:b/>
          <w:bCs/>
          <w:i w:val="false"/>
          <w:iCs w:val="false"/>
          <w:color w:val="000000"/>
          <w:sz w:val="24"/>
          <w:szCs w:val="24"/>
        </w:rPr>
        <w:t xml:space="preserve">391 tests réussis sur 391</w:t>
      </w:r>
      <w:r>
        <w:rPr>
          <w:rFonts w:ascii="Times New Roman" w:eastAsia="Times New Roman" w:hAnsi="Times New Roman"/>
          <w:b w:val="false"/>
          <w:bCs w:val="false"/>
          <w:i w:val="false"/>
          <w:iCs w:val="false"/>
          <w:color w:val="000000"/>
          <w:sz w:val="24"/>
          <w:szCs w:val="24"/>
        </w:rPr>
        <w:t xml:space="preserve"> en 81 secondes, avec une couverture mesurée d'environ 80 % — la cible « &gt; 80 % » du cahier des charges est atteinte à la limite. L'audit de configuration de production « check --deploy » ne remonte </w:t>
      </w:r>
      <w:r>
        <w:rPr>
          <w:rFonts w:ascii="Times New Roman" w:eastAsia="Times New Roman" w:hAnsi="Times New Roman"/>
          <w:b/>
          <w:bCs/>
          <w:i w:val="false"/>
          <w:iCs w:val="false"/>
          <w:color w:val="000000"/>
          <w:sz w:val="24"/>
          <w:szCs w:val="24"/>
        </w:rPr>
        <w:t xml:space="preserve">aucun avertissement</w:t>
      </w:r>
      <w:r>
        <w:rPr>
          <w:rFonts w:ascii="Times New Roman" w:eastAsia="Times New Roman" w:hAnsi="Times New Roman"/>
          <w:b w:val="false"/>
          <w:bCs w:val="false"/>
          <w:i w:val="false"/>
          <w:iCs w:val="false"/>
          <w:color w:val="000000"/>
          <w:sz w:val="24"/>
          <w:szCs w:val="24"/>
        </w:rPr>
        <w:t xml:space="preserve"> (contre six à l'époque du premier audit de la vitrine). Le multi-tenant est appliqué systématiquement (chaque requête est scopée par organisation), les rôles Admin / Éditeur / Visualisateur sont contrôlés côté serveur sur chaque vue d'écriture, un journal d'audit complet est alimenté, les quotas d'abonnement sont verrouillés serveur, et une politique de sécurité des contenus (CSP) stricte sans aucun CDN tiers complète le dispositif.</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En revanche, l'audit identifie </w:t>
      </w:r>
      <w:r>
        <w:rPr>
          <w:rFonts w:ascii="Times New Roman" w:eastAsia="Times New Roman" w:hAnsi="Times New Roman"/>
          <w:b/>
          <w:bCs/>
          <w:i w:val="false"/>
          <w:iCs w:val="false"/>
          <w:color w:val="000000"/>
          <w:sz w:val="24"/>
          <w:szCs w:val="24"/>
        </w:rPr>
        <w:t xml:space="preserve">17 constats</w:t>
      </w:r>
      <w:r>
        <w:rPr>
          <w:rFonts w:ascii="Times New Roman" w:eastAsia="Times New Roman" w:hAnsi="Times New Roman"/>
          <w:b w:val="false"/>
          <w:bCs w:val="false"/>
          <w:i w:val="false"/>
          <w:iCs w:val="false"/>
          <w:color w:val="000000"/>
          <w:sz w:val="24"/>
          <w:szCs w:val="24"/>
        </w:rPr>
        <w:t xml:space="preserve"> (2 critiques, 8 majeurs, 7 mineurs) et estime la conformité globale au cahier des charges à environ </w:t>
      </w:r>
      <w:r>
        <w:rPr>
          <w:rFonts w:ascii="Times New Roman" w:eastAsia="Times New Roman" w:hAnsi="Times New Roman"/>
          <w:b/>
          <w:bCs/>
          <w:i w:val="false"/>
          <w:iCs w:val="false"/>
          <w:color w:val="000000"/>
          <w:sz w:val="24"/>
          <w:szCs w:val="24"/>
        </w:rPr>
        <w:t xml:space="preserve">68 %</w:t>
      </w:r>
      <w:r>
        <w:rPr>
          <w:rFonts w:ascii="Times New Roman" w:eastAsia="Times New Roman" w:hAnsi="Times New Roman"/>
          <w:b w:val="false"/>
          <w:bCs w:val="false"/>
          <w:i w:val="false"/>
          <w:iCs w:val="false"/>
          <w:color w:val="000000"/>
          <w:sz w:val="24"/>
          <w:szCs w:val="24"/>
        </w:rPr>
        <w:t xml:space="preserve">. Les six des neuf modules fonctionnels décrits sont livrés de bout en bout ; les écarts les plus structurants portent d'une part sur la chaîne de mise en production (le conteneur applicatif lance le serveur de développement « runserver », sans Gunicorn, Nginx ni planificateur Celery Beat, et aucune sauvegarde n'est outillée), et d'autre part sur le module Analyses spatiales, cœur de la proposition de valeur : sur les cinq outils exigés, seuls deux (zone tampon, intersection/découpe) sont conformes — l'isochrone, le calcul de surfaces et périmètres et la requête spatiale sont absents. Les intégrations externes exigées (paiement Stripe/Flutterwave, stockage S3/OVH, SMTP transactionnel, Sentry, Prometheus/Grafana) ne sont pas encore intégrées, ce qui est cohérent avec une phase de développement mais doit être planifié.</w:t>
      </w:r>
    </w:p>
    <w:tbl>
      <w:tblPr>
        <w:tblW w:type="pct" w:w="100%"/>
        <w:tblBorders>
          <w:top w:val="single" w:color="4DA8DA" w:sz="8"/>
          <w:left w:val="none" w:color="FFFFFF" w:sz="0"/>
          <w:bottom w:val="single" w:color="4DA8DA" w:sz="8"/>
          <w:right w:val="none" w:color="FFFFFF" w:sz="0"/>
          <w:insideH w:val="none" w:color="FFFFFF" w:sz="0"/>
          <w:insideV w:val="single" w:color="C0D0E2" w:sz="2"/>
        </w:tblBorders>
        <w:tblLayout w:type="fixed"/>
      </w:tblPr>
      <w:tblGrid>
        <w:gridCol w:w="100"/>
        <w:gridCol w:w="100"/>
        <w:gridCol w:w="100"/>
        <w:gridCol w:w="100"/>
      </w:tblGrid>
      <w:tr>
        <w:trPr>
          <w:cantSplit/>
        </w:trPr>
        <w:tc>
          <w:tcPr>
            <w:tcW w:type="pct" w:w="25%"/>
            <w:shd w:fill="EEF3FA" w:val="clear"/>
            <w:tcMar>
              <w:top w:type="dxa" w:w="60"/>
              <w:left w:type="dxa" w:w="80"/>
              <w:bottom w:type="dxa" w:w="60"/>
              <w:right w:type="dxa" w:w="80"/>
            </w:tcMar>
          </w:tcPr>
          <w:p>
            <w:pPr>
              <w:spacing w:after="20" w:before="100" w:line="400" w:lineRule="atLeast"/>
              <w:jc w:val="center"/>
            </w:pPr>
            <w:r>
              <w:rPr>
                <w:rFonts w:ascii="Times New Roman" w:eastAsia="Times New Roman" w:hAnsi="Times New Roman"/>
                <w:b/>
                <w:bCs/>
                <w:color w:val="1E8449"/>
                <w:sz w:val="40"/>
                <w:szCs w:val="40"/>
              </w:rPr>
              <w:t xml:space="preserve">391/391</w:t>
            </w:r>
          </w:p>
          <w:p>
            <w:pPr>
              <w:spacing w:after="100" w:line="240"/>
              <w:jc w:val="center"/>
            </w:pPr>
            <w:r>
              <w:rPr>
                <w:rFonts w:ascii="Times New Roman" w:eastAsia="Times New Roman" w:hAnsi="Times New Roman"/>
                <w:color w:val="5A7A96"/>
                <w:sz w:val="18"/>
                <w:szCs w:val="18"/>
              </w:rPr>
              <w:t xml:space="preserve">tests automatisés réussis</w:t>
            </w:r>
          </w:p>
        </w:tc>
        <w:tc>
          <w:tcPr>
            <w:tcW w:type="pct" w:w="25%"/>
            <w:shd w:fill="EEF3FA" w:val="clear"/>
            <w:tcMar>
              <w:top w:type="dxa" w:w="60"/>
              <w:left w:type="dxa" w:w="80"/>
              <w:bottom w:type="dxa" w:w="60"/>
              <w:right w:type="dxa" w:w="80"/>
            </w:tcMar>
          </w:tcPr>
          <w:p>
            <w:pPr>
              <w:spacing w:after="20" w:before="100" w:line="400" w:lineRule="atLeast"/>
              <w:jc w:val="center"/>
            </w:pPr>
            <w:r>
              <w:rPr>
                <w:rFonts w:ascii="Times New Roman" w:eastAsia="Times New Roman" w:hAnsi="Times New Roman"/>
                <w:b/>
                <w:bCs/>
                <w:color w:val="1E8449"/>
                <w:sz w:val="40"/>
                <w:szCs w:val="40"/>
              </w:rPr>
              <w:t xml:space="preserve">0</w:t>
            </w:r>
          </w:p>
          <w:p>
            <w:pPr>
              <w:spacing w:after="100" w:line="240"/>
              <w:jc w:val="center"/>
            </w:pPr>
            <w:r>
              <w:rPr>
                <w:rFonts w:ascii="Times New Roman" w:eastAsia="Times New Roman" w:hAnsi="Times New Roman"/>
                <w:color w:val="5A7A96"/>
                <w:sz w:val="18"/>
                <w:szCs w:val="18"/>
              </w:rPr>
              <w:t xml:space="preserve">alerte check --deploy (config. prod)</w:t>
            </w:r>
          </w:p>
        </w:tc>
        <w:tc>
          <w:tcPr>
            <w:tcW w:type="pct" w:w="25%"/>
            <w:shd w:fill="EEF3FA" w:val="clear"/>
            <w:tcMar>
              <w:top w:type="dxa" w:w="60"/>
              <w:left w:type="dxa" w:w="80"/>
              <w:bottom w:type="dxa" w:w="60"/>
              <w:right w:type="dxa" w:w="80"/>
            </w:tcMar>
          </w:tcPr>
          <w:p>
            <w:pPr>
              <w:spacing w:after="20" w:before="100" w:line="400" w:lineRule="atLeast"/>
              <w:jc w:val="center"/>
            </w:pPr>
            <w:r>
              <w:rPr>
                <w:rFonts w:ascii="Times New Roman" w:eastAsia="Times New Roman" w:hAnsi="Times New Roman"/>
                <w:b/>
                <w:bCs/>
                <w:color w:val="B9770E"/>
                <w:sz w:val="40"/>
                <w:szCs w:val="40"/>
              </w:rPr>
              <w:t xml:space="preserve">17</w:t>
            </w:r>
          </w:p>
          <w:p>
            <w:pPr>
              <w:spacing w:after="100" w:line="240"/>
              <w:jc w:val="center"/>
            </w:pPr>
            <w:r>
              <w:rPr>
                <w:rFonts w:ascii="Times New Roman" w:eastAsia="Times New Roman" w:hAnsi="Times New Roman"/>
                <w:color w:val="5A7A96"/>
                <w:sz w:val="18"/>
                <w:szCs w:val="18"/>
              </w:rPr>
              <w:t xml:space="preserve">constats (2 critiques, 8 majeurs, 7 mineurs)</w:t>
            </w:r>
          </w:p>
        </w:tc>
        <w:tc>
          <w:tcPr>
            <w:tcW w:type="pct" w:w="25%"/>
            <w:shd w:fill="EEF3FA" w:val="clear"/>
            <w:tcMar>
              <w:top w:type="dxa" w:w="60"/>
              <w:left w:type="dxa" w:w="80"/>
              <w:bottom w:type="dxa" w:w="60"/>
              <w:right w:type="dxa" w:w="80"/>
            </w:tcMar>
          </w:tcPr>
          <w:p>
            <w:pPr>
              <w:spacing w:after="20" w:before="100" w:line="400" w:lineRule="atLeast"/>
              <w:jc w:val="center"/>
            </w:pPr>
            <w:r>
              <w:rPr>
                <w:rFonts w:ascii="Times New Roman" w:eastAsia="Times New Roman" w:hAnsi="Times New Roman"/>
                <w:b/>
                <w:bCs/>
                <w:color w:val="1A4A7A"/>
                <w:sz w:val="40"/>
                <w:szCs w:val="40"/>
              </w:rPr>
              <w:t xml:space="preserve">≈ 68 %</w:t>
            </w:r>
          </w:p>
          <w:p>
            <w:pPr>
              <w:spacing w:after="100" w:line="240"/>
              <w:jc w:val="center"/>
            </w:pPr>
            <w:r>
              <w:rPr>
                <w:rFonts w:ascii="Times New Roman" w:eastAsia="Times New Roman" w:hAnsi="Times New Roman"/>
                <w:color w:val="5A7A96"/>
                <w:sz w:val="18"/>
                <w:szCs w:val="18"/>
              </w:rPr>
              <w:t xml:space="preserve">conformité au cahier des charges N°2</w:t>
            </w:r>
          </w:p>
        </w:tc>
      </w:tr>
    </w:tbl>
    <w:p>
      <w:pPr>
        <w:spacing w:after="220" w:before="60" w:line="312"/>
        <w:jc w:val="center"/>
      </w:pPr>
      <w:r>
        <w:rPr>
          <w:rFonts w:ascii="Times New Roman" w:eastAsia="Times New Roman" w:hAnsi="Times New Roman"/>
          <w:i/>
          <w:iCs/>
          <w:color w:val="5A7A96"/>
          <w:sz w:val="18"/>
          <w:szCs w:val="18"/>
        </w:rPr>
        <w:t xml:space="preserve">Chiffres clés de l'audit — exécution des tests et vérifications du 18 septembre 2026</w:t>
      </w:r>
    </w:p>
    <w:p>
      <w:pPr>
        <w:keepNext w:val="false"/>
        <w:spacing w:after="240" w:line="312"/>
        <w:jc w:val="both"/>
      </w:pPr>
      <w:r>
        <w:rPr>
          <w:rFonts w:ascii="Times New Roman" w:eastAsia="Times New Roman" w:hAnsi="Times New Roman"/>
          <w:b w:val="false"/>
          <w:bCs w:val="false"/>
          <w:i w:val="false"/>
          <w:iCs w:val="false"/>
          <w:color w:val="000000"/>
          <w:sz w:val="24"/>
          <w:szCs w:val="24"/>
        </w:rPr>
        <w:t xml:space="preserve">Le plan d'action proposé chiffre l'effort de remise à niveau entre </w:t>
      </w:r>
      <w:r>
        <w:rPr>
          <w:rFonts w:ascii="Times New Roman" w:eastAsia="Times New Roman" w:hAnsi="Times New Roman"/>
          <w:b/>
          <w:bCs/>
          <w:i w:val="false"/>
          <w:iCs w:val="false"/>
          <w:color w:val="000000"/>
          <w:sz w:val="24"/>
          <w:szCs w:val="24"/>
        </w:rPr>
        <w:t xml:space="preserve">29 et 41 jours-homme</w:t>
      </w:r>
      <w:r>
        <w:rPr>
          <w:rFonts w:ascii="Times New Roman" w:eastAsia="Times New Roman" w:hAnsi="Times New Roman"/>
          <w:b w:val="false"/>
          <w:bCs w:val="false"/>
          <w:i w:val="false"/>
          <w:iCs w:val="false"/>
          <w:color w:val="000000"/>
          <w:sz w:val="24"/>
          <w:szCs w:val="24"/>
        </w:rPr>
        <w:t xml:space="preserve"> (environ sept à neuf semaines pour un développeur confirmé), ce qui reste compatible avec les phases « tests et recette » (3 semaines) et « déploiement et formation » (1 semaine) prévues au planning des 26 semaines du cahier des charges. Les deux actions critiques (chaîne de production, outils d'analyse manquants) conditionnent la recette ; les huit actions majeures couvrent la monétisation, l'API, la performance, les notifications et la documentation exigée.</w:t>
      </w:r>
    </w:p>
    <w:p>
      <w:pPr>
        <w:pStyle w:val="Heading1"/>
        <w:spacing w:after="180" w:before="400" w:line="312"/>
      </w:pPr>
      <w:bookmarkStart w:id="100001" w:name="_Toc100001"/>
      <w:r>
        <w:rPr>
          <w:rFonts w:ascii="Times New Roman" w:eastAsia="Times New Roman" w:hAnsi="Times New Roman"/>
          <w:b/>
          <w:bCs/>
          <w:color w:val="1A4A7A"/>
          <w:sz w:val="32"/>
          <w:szCs w:val="32"/>
        </w:rPr>
        <w:t xml:space="preserve">1. Contexte, objectifs et périmètre de l'audit</w:t>
      </w:r>
      <w:bookmarkEnd w:id="100001"/>
    </w:p>
    <w:p>
      <w:pPr>
        <w:pStyle w:val="Heading2"/>
        <w:spacing w:after="140" w:before="280" w:line="312"/>
      </w:pPr>
      <w:bookmarkStart w:id="100002" w:name="_Toc100002"/>
      <w:r>
        <w:rPr>
          <w:rFonts w:ascii="Times New Roman" w:eastAsia="Times New Roman" w:hAnsi="Times New Roman"/>
          <w:b/>
          <w:bCs/>
          <w:color w:val="1A4A7A"/>
          <w:sz w:val="28"/>
          <w:szCs w:val="28"/>
        </w:rPr>
        <w:t xml:space="preserve">1.1 Contexte du projet</w:t>
      </w:r>
      <w:bookmarkEnd w:id="100002"/>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L'offre SIG.tg se compose de deux entités complémentaires : la vitrine publique </w:t>
      </w:r>
      <w:r>
        <w:rPr>
          <w:rFonts w:ascii="Times New Roman" w:eastAsia="Times New Roman" w:hAnsi="Times New Roman"/>
          <w:b/>
          <w:bCs/>
          <w:i w:val="false"/>
          <w:iCs w:val="false"/>
          <w:color w:val="000000"/>
          <w:sz w:val="24"/>
          <w:szCs w:val="24"/>
        </w:rPr>
        <w:t xml:space="preserve">SIG Web Site</w:t>
      </w:r>
      <w:r>
        <w:rPr>
          <w:rFonts w:ascii="Times New Roman" w:eastAsia="Times New Roman" w:hAnsi="Times New Roman"/>
          <w:b w:val="false"/>
          <w:bCs w:val="false"/>
          <w:i w:val="false"/>
          <w:iCs w:val="false"/>
          <w:color w:val="000000"/>
          <w:sz w:val="24"/>
          <w:szCs w:val="24"/>
        </w:rPr>
        <w:t xml:space="preserve"> (auditée séparément le 16 septembre 2026), chargée de présenter la plateforme et de capturer les inscriptions, et l'espace métier </w:t>
      </w:r>
      <w:r>
        <w:rPr>
          <w:rFonts w:ascii="Times New Roman" w:eastAsia="Times New Roman" w:hAnsi="Times New Roman"/>
          <w:b/>
          <w:bCs/>
          <w:i w:val="false"/>
          <w:iCs w:val="false"/>
          <w:color w:val="000000"/>
          <w:sz w:val="24"/>
          <w:szCs w:val="24"/>
        </w:rPr>
        <w:t xml:space="preserve">SIG Platform</w:t>
      </w:r>
      <w:r>
        <w:rPr>
          <w:rFonts w:ascii="Times New Roman" w:eastAsia="Times New Roman" w:hAnsi="Times New Roman"/>
          <w:b w:val="false"/>
          <w:bCs w:val="false"/>
          <w:i w:val="false"/>
          <w:iCs w:val="false"/>
          <w:color w:val="000000"/>
          <w:sz w:val="24"/>
          <w:szCs w:val="24"/>
        </w:rPr>
        <w:t xml:space="preserve">, accessible uniquement aux utilisateurs authentifiés, où les organisations importent, visualisent, analysent et exportent leurs données géographiques. Le flux produit attendu relie les deux : un visiteur s'inscrit depuis la vitrine (« subscribe to the service »), l'administrateur reçoit l'inscription et crée le compte, et l'utilisateur accède alors à la plateforme pour y travailler.</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cahier des charges N°2 audité ici décrit une plateforme organisée en modules fonctionnels accessibles après authentification, bâtie sur Django 5.2+ avec GeoDjango, PostgreSQL/PostGIS, Redis et Celery, conteneurisée via Docker et destinée à être hébergée sur un VPS Contabo (Ubuntu 22.04, Nginx, Gunicorn, sauvegardes quotidiennes). Il fixe un budget estimé de </w:t>
      </w:r>
      <w:r>
        <w:rPr>
          <w:rFonts w:ascii="Times New Roman" w:eastAsia="Times New Roman" w:hAnsi="Times New Roman"/>
          <w:b/>
          <w:bCs/>
          <w:i w:val="false"/>
          <w:iCs w:val="false"/>
          <w:color w:val="000000"/>
          <w:sz w:val="24"/>
          <w:szCs w:val="24"/>
        </w:rPr>
        <w:t xml:space="preserve">63 000 € HT</w:t>
      </w:r>
      <w:r>
        <w:rPr>
          <w:rFonts w:ascii="Times New Roman" w:eastAsia="Times New Roman" w:hAnsi="Times New Roman"/>
          <w:b w:val="false"/>
          <w:bCs w:val="false"/>
          <w:i w:val="false"/>
          <w:iCs w:val="false"/>
          <w:color w:val="000000"/>
          <w:sz w:val="24"/>
          <w:szCs w:val="24"/>
        </w:rPr>
        <w:t xml:space="preserve">, un planning de </w:t>
      </w:r>
      <w:r>
        <w:rPr>
          <w:rFonts w:ascii="Times New Roman" w:eastAsia="Times New Roman" w:hAnsi="Times New Roman"/>
          <w:b/>
          <w:bCs/>
          <w:i w:val="false"/>
          <w:iCs w:val="false"/>
          <w:color w:val="000000"/>
          <w:sz w:val="24"/>
          <w:szCs w:val="24"/>
        </w:rPr>
        <w:t xml:space="preserve">26 semaines</w:t>
      </w:r>
      <w:r>
        <w:rPr>
          <w:rFonts w:ascii="Times New Roman" w:eastAsia="Times New Roman" w:hAnsi="Times New Roman"/>
          <w:b w:val="false"/>
          <w:bCs w:val="false"/>
          <w:i w:val="false"/>
          <w:iCs w:val="false"/>
          <w:color w:val="000000"/>
          <w:sz w:val="24"/>
          <w:szCs w:val="24"/>
        </w:rPr>
        <w:t xml:space="preserve"> réparties en six sprints, dix livrables contractuels et dix indicateurs de performance, dont « zéro faille critique » au score de sécurité.</w:t>
      </w:r>
    </w:p>
    <w:p>
      <w:pPr>
        <w:pStyle w:val="Heading2"/>
        <w:spacing w:after="140" w:before="280" w:line="312"/>
      </w:pPr>
      <w:bookmarkStart w:id="100003" w:name="_Toc100003"/>
      <w:r>
        <w:rPr>
          <w:rFonts w:ascii="Times New Roman" w:eastAsia="Times New Roman" w:hAnsi="Times New Roman"/>
          <w:b/>
          <w:bCs/>
          <w:color w:val="1A4A7A"/>
          <w:sz w:val="28"/>
          <w:szCs w:val="28"/>
        </w:rPr>
        <w:t xml:space="preserve">1.2 Objectifs de l'audit</w:t>
      </w:r>
      <w:bookmarkEnd w:id="100003"/>
    </w:p>
    <w:p>
      <w:pPr>
        <w:pStyle w:val="ListParagraph"/>
        <w:numPr>
          <w:ilvl w:val="0"/>
          <w:numId w:val="1"/>
        </w:numPr>
        <w:spacing w:after="90" w:line="312"/>
        <w:jc w:val="left"/>
      </w:pPr>
      <w:r>
        <w:rPr>
          <w:rFonts w:ascii="Times New Roman" w:eastAsia="Times New Roman" w:hAnsi="Times New Roman"/>
          <w:b w:val="false"/>
          <w:bCs w:val="false"/>
          <w:i w:val="false"/>
          <w:iCs w:val="false"/>
          <w:color w:val="000000"/>
          <w:sz w:val="24"/>
          <w:szCs w:val="24"/>
        </w:rPr>
        <w:t xml:space="preserve">Comparer le code livré au cahier des charges N°2, module par module et exigence par exigence (fait entièrement / partiellement / non fait) ;</w:t>
      </w:r>
    </w:p>
    <w:p>
      <w:pPr>
        <w:pStyle w:val="ListParagraph"/>
        <w:numPr>
          <w:ilvl w:val="0"/>
          <w:numId w:val="1"/>
        </w:numPr>
        <w:spacing w:after="90" w:line="312"/>
        <w:jc w:val="left"/>
      </w:pPr>
      <w:r>
        <w:rPr>
          <w:rFonts w:ascii="Times New Roman" w:eastAsia="Times New Roman" w:hAnsi="Times New Roman"/>
          <w:b w:val="false"/>
          <w:bCs w:val="false"/>
          <w:i w:val="false"/>
          <w:iCs w:val="false"/>
          <w:color w:val="000000"/>
          <w:sz w:val="24"/>
          <w:szCs w:val="24"/>
        </w:rPr>
        <w:t xml:space="preserve">évaluer la sécurité applicative selon le référentiel OWASP Top 10 (2021) et la conformité RGPD ;</w:t>
      </w:r>
    </w:p>
    <w:p>
      <w:pPr>
        <w:pStyle w:val="ListParagraph"/>
        <w:numPr>
          <w:ilvl w:val="0"/>
          <w:numId w:val="1"/>
        </w:numPr>
        <w:spacing w:after="90" w:line="312"/>
        <w:jc w:val="left"/>
      </w:pPr>
      <w:r>
        <w:rPr>
          <w:rFonts w:ascii="Times New Roman" w:eastAsia="Times New Roman" w:hAnsi="Times New Roman"/>
          <w:b w:val="false"/>
          <w:bCs w:val="false"/>
          <w:i w:val="false"/>
          <w:iCs w:val="false"/>
          <w:color w:val="000000"/>
          <w:sz w:val="24"/>
          <w:szCs w:val="24"/>
        </w:rPr>
        <w:t xml:space="preserve">apprécier la qualité du code, des tests, de la documentation et de la conteneurisation ;</w:t>
      </w:r>
    </w:p>
    <w:p>
      <w:pPr>
        <w:pStyle w:val="ListParagraph"/>
        <w:numPr>
          <w:ilvl w:val="0"/>
          <w:numId w:val="1"/>
        </w:numPr>
        <w:spacing w:after="90" w:line="312"/>
        <w:jc w:val="left"/>
      </w:pPr>
      <w:r>
        <w:rPr>
          <w:rFonts w:ascii="Times New Roman" w:eastAsia="Times New Roman" w:hAnsi="Times New Roman"/>
          <w:b w:val="false"/>
          <w:bCs w:val="false"/>
          <w:i w:val="false"/>
          <w:iCs w:val="false"/>
          <w:color w:val="000000"/>
          <w:sz w:val="24"/>
          <w:szCs w:val="24"/>
        </w:rPr>
        <w:t xml:space="preserve">proposer un plan d'action priorisé par gravité, avec correctifs concrets et estimation d'effort.</w:t>
      </w:r>
    </w:p>
    <w:p>
      <w:pPr>
        <w:pStyle w:val="Heading2"/>
        <w:spacing w:after="140" w:before="280" w:line="312"/>
      </w:pPr>
      <w:bookmarkStart w:id="100004" w:name="_Toc100004"/>
      <w:r>
        <w:rPr>
          <w:rFonts w:ascii="Times New Roman" w:eastAsia="Times New Roman" w:hAnsi="Times New Roman"/>
          <w:b/>
          <w:bCs/>
          <w:color w:val="1A4A7A"/>
          <w:sz w:val="28"/>
          <w:szCs w:val="28"/>
        </w:rPr>
        <w:t xml:space="preserve">1.3 Périmètre et documents de référence</w:t>
      </w:r>
      <w:bookmarkEnd w:id="100004"/>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Sont entrés dans le périmètre : le code source complet de « sig-platform-audit.zip » (18 septembre 2026 — 17 applications, configuration, gabarits, JavaScript, fichiers Docker, documentation), le cahier des charges N°2, l'exécution de la suite de tests, la mesure de couverture et l'audit de configuration de production. L'historique Git est fourni anonymisé (auteurs et dates neutralisés) : l'appréciation du respect du planning s'appuie donc exclusivement sur l'état du code, non sur sa chronologie. Sont hors périmètre : l'infrastructure d'hébergement réelle (VPS Contabo, domaine), les intégrations externes vivantes (Stripe, SendGrid, Sentry, stockage objet) et l'exploitation de production — ces points ne pourront être attestés que lors d'une revue d'exploitation.</w:t>
      </w:r>
    </w:p>
    <w:p>
      <w:pPr>
        <w:pStyle w:val="Heading2"/>
        <w:spacing w:after="140" w:before="280" w:line="312"/>
      </w:pPr>
      <w:bookmarkStart w:id="100005" w:name="_Toc100005"/>
      <w:r>
        <w:rPr>
          <w:rFonts w:ascii="Times New Roman" w:eastAsia="Times New Roman" w:hAnsi="Times New Roman"/>
          <w:b/>
          <w:bCs/>
          <w:color w:val="1A4A7A"/>
          <w:sz w:val="28"/>
          <w:szCs w:val="28"/>
        </w:rPr>
        <w:t xml:space="preserve">1.4 Méthodologie et outils</w:t>
      </w:r>
      <w:bookmarkEnd w:id="100005"/>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La méthode combine cinq techniques reproductibles. Premièrement, une revue manuelle approfondie du code (réglages, modèles, vues, formulaires, services, tâches Celery, gabarits, middleware, permissions) croisée avec chaque exigence du cahier des charges. Deuxièmement, l'exécution de la suite complète de tests du projet dans un environnement Python propre avec les dépendances du requirements (Django 6.1.1), sur base SpatiaLite — faute de PostgreSQL/PostGIS disponible sur le poste d'audit, l'option « SIG_DB_ENGINE=sqlite » prévue par le projet elle-même a été utilisée, ce qui garantit des tests rejouables mais peut masquer des spécificités PostGIS. Troisièmement, l'audit de configuration natif « manage.py check --deploy » sous le module de réglages de production (clé secrète de longueur suffisante, ALLOWED_HOSTS défini, HTTPS_ONLY activé). Quatrièmement, la mesure de couverture des tests avec coverage.py (3 303 instructions exécutables, hors migrations et tests). Cinquièmement, des contrôles ciblés : cohérence des migrations, quotas, permissions, conteneurisation et intégrations. Chaque constat est rattaché à un fichier et priorisé par gravité (Critique / Majeur / Mineur).</w:t>
      </w:r>
    </w:p>
    <w:p>
      <w:pPr>
        <w:pStyle w:val="Heading1"/>
        <w:spacing w:after="180" w:before="400" w:line="312"/>
      </w:pPr>
      <w:bookmarkStart w:id="100006" w:name="_Toc100006"/>
      <w:r>
        <w:rPr>
          <w:rFonts w:ascii="Times New Roman" w:eastAsia="Times New Roman" w:hAnsi="Times New Roman"/>
          <w:b/>
          <w:bCs/>
          <w:color w:val="1A4A7A"/>
          <w:sz w:val="32"/>
          <w:szCs w:val="32"/>
        </w:rPr>
        <w:t xml:space="preserve">2. Cartographie technique de l'existant</w:t>
      </w:r>
      <w:bookmarkEnd w:id="100006"/>
    </w:p>
    <w:p>
      <w:pPr>
        <w:pStyle w:val="Heading2"/>
        <w:spacing w:after="140" w:before="280" w:line="312"/>
      </w:pPr>
      <w:bookmarkStart w:id="100007" w:name="_Toc100007"/>
      <w:r>
        <w:rPr>
          <w:rFonts w:ascii="Times New Roman" w:eastAsia="Times New Roman" w:hAnsi="Times New Roman"/>
          <w:b/>
          <w:bCs/>
          <w:color w:val="1A4A7A"/>
          <w:sz w:val="28"/>
          <w:szCs w:val="28"/>
        </w:rPr>
        <w:t xml:space="preserve">2.1 Stack technique observée contre stack prévue</w:t>
      </w:r>
      <w:bookmarkEnd w:id="100007"/>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La stack réellement mise en œuvre est globalement conforme — et parfois supérieure — aux choix imposés par le cahier des charges. Django 6.1 avec GeoDjango dépasse l'exigence « Django 5.2+ », la base spatiale s'appuie sur PostGIS 17-3.5 dans Docker avec bascule SpatiaLite prévue pour le développement local, et le front-end respecte la consigne « JavaScript vanilla + Leaflet » tout en auto-hébergeant la bibliothèque et les polices, ce qui permet une politique CSP stricte sans CDN tiers. Les écarts se concentrent sur la couche d'exploitation : le conteneur applicatif lance le serveur de développement au lieu de Gunicorn, aucun cache Redis n'est configuré (Redis n'est utilisé que comme broker Celery), et le stockage objet S3/OVH exigé est absent.</w:t>
      </w:r>
    </w:p>
    <w:p>
      <w:pPr>
        <w:keepNext/>
        <w:spacing w:after="90" w:before="160" w:line="312"/>
      </w:pPr>
      <w:r>
        <w:rPr>
          <w:rFonts w:ascii="Times New Roman" w:eastAsia="Times New Roman" w:hAnsi="Times New Roman"/>
          <w:b/>
          <w:bCs/>
          <w:color w:val="1A4A7A"/>
          <w:sz w:val="20"/>
          <w:szCs w:val="20"/>
        </w:rPr>
        <w:t xml:space="preserve">Tableau 1 — Stack technique : prévisions du cahier des charges contre réalité du code</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gridCol w:w="100"/>
      </w:tblGrid>
      <w:tr>
        <w:trPr>
          <w:cantSplit/>
          <w:tblHeader/>
        </w:trPr>
        <w:tc>
          <w:tcPr>
            <w:tcW w:type="pct" w:w="15%"/>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Composant</w:t>
            </w:r>
          </w:p>
        </w:tc>
        <w:tc>
          <w:tcPr>
            <w:tcW w:type="pct" w:w="26%"/>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Prévu (CDC § 4.1)</w:t>
            </w:r>
          </w:p>
        </w:tc>
        <w:tc>
          <w:tcPr>
            <w:tcW w:type="pct" w:w="46%"/>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Observé dans le code</w:t>
            </w:r>
          </w:p>
        </w:tc>
        <w:tc>
          <w:tcPr>
            <w:tcW w:type="pct" w:w="13%"/>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Verdict</w:t>
            </w:r>
          </w:p>
        </w:tc>
      </w:tr>
      <w:tr>
        <w:trPr>
          <w:cantSplit/>
        </w:trPr>
        <w:tc>
          <w:tcPr>
            <w:tcW w:type="pct" w:w="15%"/>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Framework</w:t>
            </w:r>
          </w:p>
        </w:tc>
        <w:tc>
          <w:tcPr>
            <w:tcW w:type="pct" w:w="2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Django 5.2+ avec GeoDjango</w:t>
            </w:r>
          </w:p>
        </w:tc>
        <w:tc>
          <w:tcPr>
            <w:tcW w:type="pct" w:w="4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Django 6.1 + GeoDjango (django.contrib.gis activé, champ GeometryField, SRID 4326)</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E8449"/>
                <w:sz w:val="18"/>
                <w:szCs w:val="18"/>
              </w:rPr>
              <w:t xml:space="preserve">OK (supérieur)</w:t>
            </w:r>
          </w:p>
        </w:tc>
      </w:tr>
      <w:tr>
        <w:trPr>
          <w:cantSplit/>
        </w:trPr>
        <w:tc>
          <w:tcPr>
            <w:tcW w:type="pct" w:w="15%"/>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Base de données</w:t>
            </w:r>
          </w:p>
        </w:tc>
        <w:tc>
          <w:tcPr>
            <w:tcW w:type="pct" w:w="2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PostgreSQL 16+ / PostGIS 3.0+</w:t>
            </w:r>
          </w:p>
        </w:tc>
        <w:tc>
          <w:tcPr>
            <w:tcW w:type="pct" w:w="4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Image postgis/postgis:17-3.5 en Docker, moteur postgis configuré, 32 migrations cohérentes</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E8449"/>
                <w:sz w:val="18"/>
                <w:szCs w:val="18"/>
              </w:rPr>
              <w:t xml:space="preserve">OK</w:t>
            </w:r>
          </w:p>
        </w:tc>
      </w:tr>
      <w:tr>
        <w:trPr>
          <w:cantSplit/>
        </w:trPr>
        <w:tc>
          <w:tcPr>
            <w:tcW w:type="pct" w:w="15%"/>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API REST</w:t>
            </w:r>
          </w:p>
        </w:tc>
        <w:tc>
          <w:tcPr>
            <w:tcW w:type="pct" w:w="2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DRF + djangorestframework-gis (GeoJSON)</w:t>
            </w:r>
          </w:p>
        </w:tc>
        <w:tc>
          <w:tcPr>
            <w:tcW w:type="pct" w:w="4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DRF 3.16 présent, API lecture seule org-scopée ; djangorestframework-gis absent, aucune géométrie exposée</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B9770E"/>
                <w:sz w:val="18"/>
                <w:szCs w:val="18"/>
              </w:rPr>
              <w:t xml:space="preserve">Partiel</w:t>
            </w:r>
          </w:p>
        </w:tc>
      </w:tr>
      <w:tr>
        <w:trPr>
          <w:cantSplit/>
        </w:trPr>
        <w:tc>
          <w:tcPr>
            <w:tcW w:type="pct" w:w="15%"/>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Cache / queue</w:t>
            </w:r>
          </w:p>
        </w:tc>
        <w:tc>
          <w:tcPr>
            <w:tcW w:type="pct" w:w="2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Redis 6+ : cache des tuiles + broker Celery</w:t>
            </w:r>
          </w:p>
        </w:tc>
        <w:tc>
          <w:tcPr>
            <w:tcW w:type="pct" w:w="4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Redis 8 comme broker Celery uniquement ; CACHES non configuré (LocMem par défaut), aucun cache de tuiles</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B9770E"/>
                <w:sz w:val="18"/>
                <w:szCs w:val="18"/>
              </w:rPr>
              <w:t xml:space="preserve">Partiel</w:t>
            </w:r>
          </w:p>
        </w:tc>
      </w:tr>
      <w:tr>
        <w:trPr>
          <w:cantSplit/>
        </w:trPr>
        <w:tc>
          <w:tcPr>
            <w:tcW w:type="pct" w:w="15%"/>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Tâches asynchrones</w:t>
            </w:r>
          </w:p>
        </w:tc>
        <w:tc>
          <w:tcPr>
            <w:tcW w:type="pct" w:w="2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Celery + Celery Beat</w:t>
            </w:r>
          </w:p>
        </w:tc>
        <w:tc>
          <w:tcPr>
            <w:tcW w:type="pct" w:w="4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Celery 5.6 configuré (sérialisation JSON, limites de temps, planning Beat « reap-stale-jobs ») ; Beat absent du docker-compose</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B9770E"/>
                <w:sz w:val="18"/>
                <w:szCs w:val="18"/>
              </w:rPr>
              <w:t xml:space="preserve">Partiel</w:t>
            </w:r>
          </w:p>
        </w:tc>
      </w:tr>
      <w:tr>
        <w:trPr>
          <w:cantSplit/>
        </w:trPr>
        <w:tc>
          <w:tcPr>
            <w:tcW w:type="pct" w:w="15%"/>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Front-end</w:t>
            </w:r>
          </w:p>
        </w:tc>
        <w:tc>
          <w:tcPr>
            <w:tcW w:type="pct" w:w="2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HTML5 / CSS3 / JS vanilla + Mapbox GL ou Leaflet</w:t>
            </w:r>
          </w:p>
        </w:tc>
        <w:tc>
          <w:tcPr>
            <w:tcW w:type="pct" w:w="4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Conforme : Leaflet auto-hébergé (static/vendor), JavaScript vanilla modulaire, CSP stricte</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E8449"/>
                <w:sz w:val="18"/>
                <w:szCs w:val="18"/>
              </w:rPr>
              <w:t xml:space="preserve">OK</w:t>
            </w:r>
          </w:p>
        </w:tc>
      </w:tr>
      <w:tr>
        <w:trPr>
          <w:cantSplit/>
        </w:trPr>
        <w:tc>
          <w:tcPr>
            <w:tcW w:type="pct" w:w="15%"/>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Conteneurisation</w:t>
            </w:r>
          </w:p>
        </w:tc>
        <w:tc>
          <w:tcPr>
            <w:tcW w:type="pct" w:w="2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Docker + Docker Compose</w:t>
            </w:r>
          </w:p>
        </w:tc>
        <w:tc>
          <w:tcPr>
            <w:tcW w:type="pct" w:w="4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Dockerfile (GDAL/GEOS/PROJ) + compose (db, redis, web, celery) ; mais commande « runserver » — ni Gunicorn ni Nginx ni service Beat</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B9770E"/>
                <w:sz w:val="18"/>
                <w:szCs w:val="18"/>
              </w:rPr>
              <w:t xml:space="preserve">Partiel</w:t>
            </w:r>
          </w:p>
        </w:tc>
      </w:tr>
      <w:tr>
        <w:trPr>
          <w:cantSplit/>
        </w:trPr>
        <w:tc>
          <w:tcPr>
            <w:tcW w:type="pct" w:w="15%"/>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Stockage des fichiers</w:t>
            </w:r>
          </w:p>
        </w:tc>
        <w:tc>
          <w:tcPr>
            <w:tcW w:type="pct" w:w="2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S3-compatible (OVH Object Storage)</w:t>
            </w:r>
          </w:p>
        </w:tc>
        <w:tc>
          <w:tcPr>
            <w:tcW w:type="pct" w:w="4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Stockage local MEDIA_ROOT ; aucune dépendance S3/MinIO</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C0392B"/>
                <w:sz w:val="18"/>
                <w:szCs w:val="18"/>
              </w:rPr>
              <w:t xml:space="preserve">Manquant</w:t>
            </w:r>
          </w:p>
        </w:tc>
      </w:tr>
    </w:tbl>
    <w:p>
      <w:pPr>
        <w:spacing w:after="220" w:before="60" w:line="312"/>
        <w:jc w:val="center"/>
      </w:pPr>
      <w:r>
        <w:rPr>
          <w:rFonts w:ascii="Times New Roman" w:eastAsia="Times New Roman" w:hAnsi="Times New Roman"/>
          <w:i/>
          <w:iCs/>
          <w:color w:val="5A7A96"/>
          <w:sz w:val="18"/>
          <w:szCs w:val="18"/>
        </w:rPr>
        <w:t xml:space="preserve">Comparaison de la stack prévue et de la stack observée (source : requirements/, config/settings/, docker/)</w:t>
      </w:r>
    </w:p>
    <w:p>
      <w:pPr>
        <w:pStyle w:val="Heading2"/>
        <w:spacing w:after="140" w:before="280" w:line="312"/>
      </w:pPr>
      <w:bookmarkStart w:id="100008" w:name="_Toc100008"/>
      <w:r>
        <w:rPr>
          <w:rFonts w:ascii="Times New Roman" w:eastAsia="Times New Roman" w:hAnsi="Times New Roman"/>
          <w:b/>
          <w:bCs/>
          <w:color w:val="1A4A7A"/>
          <w:sz w:val="28"/>
          <w:szCs w:val="28"/>
        </w:rPr>
        <w:t xml:space="preserve">2.2 Applications Django : 26 prévues contre 17 réelles</w:t>
      </w:r>
      <w:bookmarkEnd w:id="100008"/>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cahier des charges organise le code en </w:t>
      </w:r>
      <w:r>
        <w:rPr>
          <w:rFonts w:ascii="Times New Roman" w:eastAsia="Times New Roman" w:hAnsi="Times New Roman"/>
          <w:b/>
          <w:bCs/>
          <w:i w:val="false"/>
          <w:iCs w:val="false"/>
          <w:color w:val="000000"/>
          <w:sz w:val="24"/>
          <w:szCs w:val="24"/>
        </w:rPr>
        <w:t xml:space="preserve">26 applications</w:t>
      </w:r>
      <w:r>
        <w:rPr>
          <w:rFonts w:ascii="Times New Roman" w:eastAsia="Times New Roman" w:hAnsi="Times New Roman"/>
          <w:b w:val="false"/>
          <w:bCs w:val="false"/>
          <w:i w:val="false"/>
          <w:iCs w:val="false"/>
          <w:color w:val="000000"/>
          <w:sz w:val="24"/>
          <w:szCs w:val="24"/>
        </w:rPr>
        <w:t xml:space="preserve"> réparties par domaine (socle, gestion utilisateur, géospatial, intégrations, interface, tests). Le dépôt en contient </w:t>
      </w:r>
      <w:r>
        <w:rPr>
          <w:rFonts w:ascii="Times New Roman" w:eastAsia="Times New Roman" w:hAnsi="Times New Roman"/>
          <w:b/>
          <w:bCs/>
          <w:i w:val="false"/>
          <w:iCs w:val="false"/>
          <w:color w:val="000000"/>
          <w:sz w:val="24"/>
          <w:szCs w:val="24"/>
        </w:rPr>
        <w:t xml:space="preserve">dix-sept</w:t>
      </w:r>
      <w:r>
        <w:rPr>
          <w:rFonts w:ascii="Times New Roman" w:eastAsia="Times New Roman" w:hAnsi="Times New Roman"/>
          <w:b w:val="false"/>
          <w:bCs w:val="false"/>
          <w:i w:val="false"/>
          <w:iCs w:val="false"/>
          <w:color w:val="000000"/>
          <w:sz w:val="24"/>
          <w:szCs w:val="24"/>
        </w:rPr>
        <w:t xml:space="preserve">, toutes documentées et testées. La comparaison montre que l'essentiel de la différence relève d'une consolidation assumée plutôt que d'un manque fonctionnel : les utilitaires, la gestion des fichiers, les tâches asynchrones ou les e-mails sont réalisés sans application dédiée. Deux absences sont toutefois réelles : l'application </w:t>
      </w:r>
      <w:r>
        <w:rPr>
          <w:rFonts w:ascii="Times New Roman" w:eastAsia="Times New Roman" w:hAnsi="Times New Roman"/>
          <w:b/>
          <w:bCs/>
          <w:i w:val="false"/>
          <w:iCs w:val="false"/>
          <w:color w:val="000000"/>
          <w:sz w:val="24"/>
          <w:szCs w:val="24"/>
        </w:rPr>
        <w:t xml:space="preserve">webhooks</w:t>
      </w:r>
      <w:r>
        <w:rPr>
          <w:rFonts w:ascii="Times New Roman" w:eastAsia="Times New Roman" w:hAnsi="Times New Roman"/>
          <w:b w:val="false"/>
          <w:bCs w:val="false"/>
          <w:i w:val="false"/>
          <w:iCs w:val="false"/>
          <w:color w:val="000000"/>
          <w:sz w:val="24"/>
          <w:szCs w:val="24"/>
        </w:rPr>
        <w:t xml:space="preserve"> (exigée en Sprint 6) n'a aucun équivalent fonctionnel dans le code, et le </w:t>
      </w:r>
      <w:r>
        <w:rPr>
          <w:rFonts w:ascii="Times New Roman" w:eastAsia="Times New Roman" w:hAnsi="Times New Roman"/>
          <w:b/>
          <w:bCs/>
          <w:i w:val="false"/>
          <w:iCs w:val="false"/>
          <w:color w:val="000000"/>
          <w:sz w:val="24"/>
          <w:szCs w:val="24"/>
        </w:rPr>
        <w:t xml:space="preserve">cache</w:t>
      </w:r>
      <w:r>
        <w:rPr>
          <w:rFonts w:ascii="Times New Roman" w:eastAsia="Times New Roman" w:hAnsi="Times New Roman"/>
          <w:b w:val="false"/>
          <w:bCs w:val="false"/>
          <w:i w:val="false"/>
          <w:iCs w:val="false"/>
          <w:color w:val="000000"/>
          <w:sz w:val="24"/>
          <w:szCs w:val="24"/>
        </w:rPr>
        <w:t xml:space="preserve"> n'est implémenté nulle part.</w:t>
      </w:r>
    </w:p>
    <w:p>
      <w:pPr>
        <w:keepNext/>
        <w:spacing w:after="90" w:before="160" w:line="312"/>
      </w:pPr>
      <w:r>
        <w:rPr>
          <w:rFonts w:ascii="Times New Roman" w:eastAsia="Times New Roman" w:hAnsi="Times New Roman"/>
          <w:b/>
          <w:bCs/>
          <w:color w:val="1A4A7A"/>
          <w:sz w:val="20"/>
          <w:szCs w:val="20"/>
        </w:rPr>
        <w:t xml:space="preserve">Tableau 2 — Correspondance entre les 26 applications prévues et le dépôt livré</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gridCol w:w="100"/>
      </w:tblGrid>
      <w:tr>
        <w:trPr>
          <w:cantSplit/>
          <w:tblHeader/>
        </w:trPr>
        <w:tc>
          <w:tcPr>
            <w:tcW w:type="pct" w:w="14%"/>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Domaine CDC</w:t>
            </w:r>
          </w:p>
        </w:tc>
        <w:tc>
          <w:tcPr>
            <w:tcW w:type="pct" w:w="30%"/>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Applications prévues</w:t>
            </w:r>
          </w:p>
        </w:tc>
        <w:tc>
          <w:tcPr>
            <w:tcW w:type="pct" w:w="44%"/>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Réalisation observée</w:t>
            </w:r>
          </w:p>
        </w:tc>
        <w:tc>
          <w:tcPr>
            <w:tcW w:type="pct" w:w="12%"/>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Verdict</w:t>
            </w:r>
          </w:p>
        </w:tc>
      </w:tr>
      <w:tr>
        <w:trPr>
          <w:cantSplit/>
        </w:trPr>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Socle</w:t>
            </w:r>
          </w:p>
        </w:tc>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core, common, files, cache, tasks, audit, email, search</w:t>
            </w:r>
          </w:p>
        </w:tc>
        <w:tc>
          <w:tcPr>
            <w:tcW w:type="pct" w:w="4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core (middleware, permissions, utils, preview, seo, tasks, templatetags), audit, search présents ; common et files consolidés (utils, FileField + services) ; email = django.core.mail direct ; cache absent</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B9770E"/>
                <w:sz w:val="18"/>
                <w:szCs w:val="18"/>
              </w:rPr>
              <w:t xml:space="preserve">Partiel</w:t>
            </w:r>
          </w:p>
        </w:tc>
      </w:tr>
      <w:tr>
        <w:trPr>
          <w:cantSplit/>
        </w:trPr>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Gestion utilisateur</w:t>
            </w:r>
          </w:p>
        </w:tc>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accounts, organizations, teams, subscriptions, preferences</w:t>
            </w:r>
          </w:p>
        </w:tc>
        <w:tc>
          <w:tcPr>
            <w:tcW w:type="pct" w:w="4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Les 5 applications présentes et conformes (User rôlié, Organization, Invitations, Plan/Invoice/quotas, UserPreference)</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E8449"/>
                <w:sz w:val="18"/>
                <w:szCs w:val="18"/>
              </w:rPr>
              <w:t xml:space="preserve">OK (5/5)</w:t>
            </w:r>
          </w:p>
        </w:tc>
      </w:tr>
      <w:tr>
        <w:trPr>
          <w:cantSplit/>
        </w:trPr>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Géospatial</w:t>
            </w:r>
          </w:p>
        </w:tc>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maps, layers, data_import, spatial_analysis, exports, projects</w:t>
            </w:r>
          </w:p>
        </w:tc>
        <w:tc>
          <w:tcPr>
            <w:tcW w:type="pct" w:w="4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Les 6 applications présentes ; spatial_analysis limité à 4 outils sur 5 exigés (cf. § 3.2.1)</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B9770E"/>
                <w:sz w:val="18"/>
                <w:szCs w:val="18"/>
              </w:rPr>
              <w:t xml:space="preserve">Partiel</w:t>
            </w:r>
          </w:p>
        </w:tc>
      </w:tr>
      <w:tr>
        <w:trPr>
          <w:cantSplit/>
        </w:trPr>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Intégrations</w:t>
            </w:r>
          </w:p>
        </w:tc>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osm_integration, api, webhooks</w:t>
            </w:r>
          </w:p>
        </w:tc>
        <w:tc>
          <w:tcPr>
            <w:tcW w:type="pct" w:w="4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api présente (DRF) ; osm_integration réduite aux fonds de tuiles du viewer (OSM, satellite, topographique) ; webhooks totalement absente</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C0392B"/>
                <w:sz w:val="18"/>
                <w:szCs w:val="18"/>
              </w:rPr>
              <w:t xml:space="preserve">Manquant</w:t>
            </w:r>
          </w:p>
        </w:tc>
      </w:tr>
      <w:tr>
        <w:trPr>
          <w:cantSplit/>
        </w:trPr>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Interface</w:t>
            </w:r>
          </w:p>
        </w:tc>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dashboard, notifications</w:t>
            </w:r>
          </w:p>
        </w:tc>
        <w:tc>
          <w:tcPr>
            <w:tcW w:type="pct" w:w="4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Les 2 présentes ; notifications non branchée sur les événements métier (cf. M5)</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B9770E"/>
                <w:sz w:val="18"/>
                <w:szCs w:val="18"/>
              </w:rPr>
              <w:t xml:space="preserve">Partiel</w:t>
            </w:r>
          </w:p>
        </w:tc>
      </w:tr>
      <w:tr>
        <w:trPr>
          <w:cantSplit/>
        </w:trPr>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Tests &amp; données</w:t>
            </w:r>
          </w:p>
        </w:tc>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tests, fixtures</w:t>
            </w:r>
          </w:p>
        </w:tc>
        <w:tc>
          <w:tcPr>
            <w:tcW w:type="pct" w:w="4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391 tests répartis par application (≈ 30 fichiers) ; jeu de démonstration fourni via la commande seed_demo (388 lignes, données Lomé)</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bCs/>
                <w:i w:val="false"/>
                <w:iCs w:val="false"/>
                <w:color w:val="1E8449"/>
                <w:sz w:val="18"/>
                <w:szCs w:val="18"/>
              </w:rPr>
              <w:t xml:space="preserve">OK (fonctionnel)</w:t>
            </w:r>
          </w:p>
        </w:tc>
      </w:tr>
    </w:tbl>
    <w:p>
      <w:pPr>
        <w:spacing w:after="220" w:before="60" w:line="312"/>
        <w:jc w:val="center"/>
      </w:pPr>
      <w:r>
        <w:rPr>
          <w:rFonts w:ascii="Times New Roman" w:eastAsia="Times New Roman" w:hAnsi="Times New Roman"/>
          <w:i/>
          <w:iCs/>
          <w:color w:val="5A7A96"/>
          <w:sz w:val="18"/>
          <w:szCs w:val="18"/>
        </w:rPr>
        <w:t xml:space="preserve">Le taux de couverture applicatif ressort à 17/26 (65 %) en découpage strict, 15/17 domaines fonctionnellement couverts</w:t>
      </w:r>
    </w:p>
    <w:p>
      <w:pPr>
        <w:pStyle w:val="Heading2"/>
        <w:spacing w:after="140" w:before="280" w:line="312"/>
      </w:pPr>
      <w:bookmarkStart w:id="100009" w:name="_Toc100009"/>
      <w:r>
        <w:rPr>
          <w:rFonts w:ascii="Times New Roman" w:eastAsia="Times New Roman" w:hAnsi="Times New Roman"/>
          <w:b/>
          <w:bCs/>
          <w:color w:val="1A4A7A"/>
          <w:sz w:val="28"/>
          <w:szCs w:val="28"/>
        </w:rPr>
        <w:t xml:space="preserve">2.3 Modèles de données : les dix entités exigées</w:t>
      </w:r>
      <w:bookmarkEnd w:id="100009"/>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Les dix modèles principaux listés au cahier des charges existent tous, avec des noms parfois différents mais des rôles équivalents : Organization (nom, slug, plan, période d'essai), User (e-mail, organisation, rôle, langue), Map (statut, fond de carte, centre, zoom, couches via table d'association MapLayer), Layer et Feature (géométrie SRID 4326, propriétés JSON), Project (statut, progression, membres, échéance), ImportJob (format, statut, CRS source, journal), AnalysisJob (type, couches source/superposée, distance, résultat), ExportJob (format, statut, fichier) et Plan/Invoice pour l'abonnement. Trois nuances de modèle méritent une décision produit documentée : l'entité Team est réalisée par un système d'invitations rôlisées (token aléatoire de 48 caractères, expiration 7 jours) plutôt que par un objet « équipe » ; l'entité Subscription est portée directement par le champ plan de l'Organization augmenté d'Invoice ; et l'Organization du cahier des charges prévoyait des champs e-mail, téléphone et adresse qui n'existent pas. Les index, contraintes d'unicité et relations sont soignés (uniques combinés, related_name systématiques, on_delete explicitement choisis).</w:t>
      </w:r>
    </w:p>
    <w:p>
      <w:pPr>
        <w:pStyle w:val="Heading2"/>
        <w:spacing w:after="140" w:before="280" w:line="312"/>
      </w:pPr>
      <w:bookmarkStart w:id="100010" w:name="_Toc100010"/>
      <w:r>
        <w:rPr>
          <w:rFonts w:ascii="Times New Roman" w:eastAsia="Times New Roman" w:hAnsi="Times New Roman"/>
          <w:b/>
          <w:bCs/>
          <w:color w:val="1A4A7A"/>
          <w:sz w:val="28"/>
          <w:szCs w:val="28"/>
        </w:rPr>
        <w:t xml:space="preserve">2.4 Qualité du dépôt et de la livraison</w:t>
      </w:r>
      <w:bookmarkEnd w:id="100010"/>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La livraison est propre et professionnelle, en net progrès par rapport à l'archive de la vitrine : aucun environnement virtuel, aucune base de données et aucun fichier .env avec secret réel n'ont été trouvés dans l'archive ; un .env.example complet documente toutes les variables attendues (dont les options SIG_DB_ENGINE, MAX_UPLOAD_MB, TRIAL_DAYS et le centre cartographique par défaut). Les fichiers de dépendances sont séparés par environnement (base, dev, prod), bornés par versions majeures et sans doublon — il manque toutefois un fichier de verrouillage et une analyse SCA (pip-audit) pour verrouiller la chaîne d'approvisionnement. La documentation README (25 Ko) couvre l'installation, PostgreSQL/PostGIS, Redis, les variables d'environnement, les migrations, Celery et les tests, avec des badges de versions exactes ; les fichiers de traduction .po/.mo français et anglais sont présents et compilés. Enfin, un mot sur l'incohérence interne du cahier des charges : la section 3 annonce « dix modules principaux » mais n'en décrit que neuf (§ 3.1 à 3.9) — cette divergence, sans conséquence technique, gagnera à être tranchée avec le donneur d'ordre.</w:t>
      </w:r>
    </w:p>
    <w:p>
      <w:pPr>
        <w:pStyle w:val="Heading1"/>
        <w:spacing w:after="180" w:before="400" w:line="312"/>
      </w:pPr>
      <w:bookmarkStart w:id="100011" w:name="_Toc100011"/>
      <w:r>
        <w:rPr>
          <w:rFonts w:ascii="Times New Roman" w:eastAsia="Times New Roman" w:hAnsi="Times New Roman"/>
          <w:b/>
          <w:bCs/>
          <w:color w:val="1A4A7A"/>
          <w:sz w:val="32"/>
          <w:szCs w:val="32"/>
        </w:rPr>
        <w:t xml:space="preserve">3. Conformité fonctionnelle au cahier des charges</w:t>
      </w:r>
      <w:bookmarkEnd w:id="100011"/>
    </w:p>
    <w:p>
      <w:pPr>
        <w:pStyle w:val="Heading2"/>
        <w:spacing w:after="140" w:before="280" w:line="312"/>
      </w:pPr>
      <w:bookmarkStart w:id="100012" w:name="_Toc100012"/>
      <w:r>
        <w:rPr>
          <w:rFonts w:ascii="Times New Roman" w:eastAsia="Times New Roman" w:hAnsi="Times New Roman"/>
          <w:b/>
          <w:bCs/>
          <w:color w:val="1A4A7A"/>
          <w:sz w:val="28"/>
          <w:szCs w:val="28"/>
        </w:rPr>
        <w:t xml:space="preserve">3.1 Avancement par module et score par domaine</w:t>
      </w:r>
      <w:bookmarkEnd w:id="100012"/>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La figure 1 présente le taux de couverture des exigences pour chacun des neuf modules décrits au cahier des charges : six modules sont livrés de bout en bout ou presque (tableau de bord, cartes, import, projets, bibliothèque de couches, collaborateurs), deux sont partiellement conformes (analyses spatiales : 40 % ; paramètres : 60 %) et un est presque complet (exports : la projection exigée manque). La figure 2 décompose la conformité globale — estimée à </w:t>
      </w:r>
      <w:r>
        <w:rPr>
          <w:rFonts w:ascii="Times New Roman" w:eastAsia="Times New Roman" w:hAnsi="Times New Roman"/>
          <w:b/>
          <w:bCs/>
          <w:i w:val="false"/>
          <w:iCs w:val="false"/>
          <w:color w:val="000000"/>
          <w:sz w:val="24"/>
          <w:szCs w:val="24"/>
        </w:rPr>
        <w:t xml:space="preserve">≈ 68 %</w:t>
      </w:r>
      <w:r>
        <w:rPr>
          <w:rFonts w:ascii="Times New Roman" w:eastAsia="Times New Roman" w:hAnsi="Times New Roman"/>
          <w:b w:val="false"/>
          <w:bCs w:val="false"/>
          <w:i w:val="false"/>
          <w:iCs w:val="false"/>
          <w:color w:val="000000"/>
          <w:sz w:val="24"/>
          <w:szCs w:val="24"/>
        </w:rPr>
        <w:t xml:space="preserve"> — par domaine, selon une pondération assumée : les modules fonctionnels pèsent 30 %, l'architecture et la sécurité 20 % chacune, le découpage applicatif, les intégrations externes et les livrables 10 % chacun.</w:t>
      </w:r>
    </w:p>
    <w:p>
      <w:pPr>
        <w:keepNext/>
        <w:spacing w:after="40" w:before="120"/>
        <w:jc w:val="center"/>
      </w:pPr>
      <w:r>
        <w:drawing>
          <wp:inline distT="0" distB="0" distL="0" distR="0">
            <wp:extent cx="55054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05450" cy="2943225"/>
                    </a:xfrm>
                    <a:prstGeom prst="rect">
                      <a:avLst/>
                    </a:prstGeom>
                  </pic:spPr>
                </pic:pic>
              </a:graphicData>
            </a:graphic>
          </wp:inline>
        </w:drawing>
      </w:r>
    </w:p>
    <w:p>
      <w:pPr>
        <w:spacing w:after="220" w:before="60" w:line="312"/>
        <w:jc w:val="center"/>
      </w:pPr>
      <w:r>
        <w:rPr>
          <w:rFonts w:ascii="Times New Roman" w:eastAsia="Times New Roman" w:hAnsi="Times New Roman"/>
          <w:i/>
          <w:iCs/>
          <w:color w:val="5A7A96"/>
          <w:sz w:val="18"/>
          <w:szCs w:val="18"/>
        </w:rPr>
        <w:t xml:space="preserve">Figure 1 — Taux de couverture des exigences par module du cahier des charges (estimation d'audit)</w:t>
      </w:r>
    </w:p>
    <w:p>
      <w:pPr>
        <w:keepNext/>
        <w:spacing w:after="40" w:before="120"/>
        <w:jc w:val="center"/>
      </w:pPr>
      <w:r>
        <w:drawing>
          <wp:inline distT="0" distB="0" distL="0" distR="0">
            <wp:extent cx="55054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05450" cy="2686050"/>
                    </a:xfrm>
                    <a:prstGeom prst="rect">
                      <a:avLst/>
                    </a:prstGeom>
                  </pic:spPr>
                </pic:pic>
              </a:graphicData>
            </a:graphic>
          </wp:inline>
        </w:drawing>
      </w:r>
    </w:p>
    <w:p>
      <w:pPr>
        <w:spacing w:after="220" w:before="60" w:line="312"/>
        <w:jc w:val="center"/>
      </w:pPr>
      <w:r>
        <w:rPr>
          <w:rFonts w:ascii="Times New Roman" w:eastAsia="Times New Roman" w:hAnsi="Times New Roman"/>
          <w:i/>
          <w:iCs/>
          <w:color w:val="5A7A96"/>
          <w:sz w:val="18"/>
          <w:szCs w:val="18"/>
        </w:rPr>
        <w:t xml:space="preserve">Figure 2 — Conformité par domaine et pondération retenue pour le score global (≈ 68 %)</w:t>
      </w:r>
    </w:p>
    <w:p>
      <w:pPr>
        <w:keepNext/>
        <w:spacing w:after="90" w:before="160" w:line="312"/>
      </w:pPr>
      <w:r>
        <w:rPr>
          <w:rFonts w:ascii="Times New Roman" w:eastAsia="Times New Roman" w:hAnsi="Times New Roman"/>
          <w:b/>
          <w:bCs/>
          <w:color w:val="1A4A7A"/>
          <w:sz w:val="20"/>
          <w:szCs w:val="20"/>
        </w:rPr>
        <w:t xml:space="preserve">Tableau 3 — Les neuf modules fonctionnels du cahier des charges : état observé</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tblGrid>
      <w:tr>
        <w:trPr>
          <w:cantSplit/>
          <w:tblHeader/>
        </w:trPr>
        <w:tc>
          <w:tcPr>
            <w:tcW w:type="pct" w:w="16%"/>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Module (CDC)</w:t>
            </w:r>
          </w:p>
        </w:tc>
        <w:tc>
          <w:tcPr>
            <w:tcW w:type="pct" w:w="11%"/>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Statut</w:t>
            </w:r>
          </w:p>
        </w:tc>
        <w:tc>
          <w:tcPr>
            <w:tcW w:type="pct" w:w="73%"/>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État observé dans le code</w:t>
            </w:r>
          </w:p>
        </w:tc>
      </w:tr>
      <w:tr>
        <w:trPr>
          <w:cantSplit/>
        </w:trPr>
        <w:tc>
          <w:tcPr>
            <w:tcW w:type="pct" w:w="1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3.1 Tableau de bord</w:t>
            </w:r>
          </w:p>
        </w:tc>
        <w:tc>
          <w:tcPr>
            <w:tcW w:type="pct" w:w="11%"/>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7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KPIs (cartes actives, entités, stockage, collaborateurs), cartes récentes, flux d'activité 14 jours (graphique SVG), répartition par type, actions rapides</w:t>
            </w:r>
          </w:p>
        </w:tc>
      </w:tr>
      <w:tr>
        <w:trPr>
          <w:cantSplit/>
        </w:trPr>
        <w:tc>
          <w:tcPr>
            <w:tcW w:type="pct" w:w="1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3.2 Mes cartes</w:t>
            </w:r>
          </w:p>
        </w:tc>
        <w:tc>
          <w:tcPr>
            <w:tcW w:type="pct" w:w="11%"/>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7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Grille paginée (24), recherche, filtre par statut, tri, aperçus visuels, création, éditeur Leaflet complet (couches, ordre, visibilité, opacité), duplication, suppression — l'action « partager » exigée est absente</w:t>
            </w:r>
          </w:p>
        </w:tc>
      </w:tr>
      <w:tr>
        <w:trPr>
          <w:cantSplit/>
        </w:trPr>
        <w:tc>
          <w:tcPr>
            <w:tcW w:type="pct" w:w="1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3.3 Importer des données</w:t>
            </w:r>
          </w:p>
        </w:tc>
        <w:tc>
          <w:tcPr>
            <w:tcW w:type="pct" w:w="11%"/>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7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Glisser-déposer 4 formats (CSV, GeoJSON, Shapefile ZIP, KML), validation extension/format, quotas, tâche Celery asynchrone, historique paginé, détail de job ; l'aperçu des premières lignes avant validation et la case « remplacer existant » sont absents</w:t>
            </w:r>
          </w:p>
        </w:tc>
      </w:tr>
      <w:tr>
        <w:trPr>
          <w:cantSplit/>
        </w:trPr>
        <w:tc>
          <w:tcPr>
            <w:tcW w:type="pct" w:w="1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3.4 Analyses spatiales</w:t>
            </w:r>
          </w:p>
        </w:tc>
        <w:tc>
          <w:tcPr>
            <w:tcW w:type="pct" w:w="11%"/>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7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Buffer, intersection, différence et bounding box conformes (reprojection UTM automatique, réparation de géométries, résultat en couche) ; isochrone, surfaces/périmètres et requête spatiale exigés mais absents (cf. § 3.2.1)</w:t>
            </w:r>
          </w:p>
        </w:tc>
      </w:tr>
      <w:tr>
        <w:trPr>
          <w:cantSplit/>
        </w:trPr>
        <w:tc>
          <w:tcPr>
            <w:tcW w:type="pct" w:w="1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3.5 Projets</w:t>
            </w:r>
          </w:p>
        </w:tc>
        <w:tc>
          <w:tcPr>
            <w:tcW w:type="pct" w:w="11%"/>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7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CRUD complet, statuts (planifié/actif/en pause/terminé), progression %, membres, échéance, pagination, recherche et filtres</w:t>
            </w:r>
          </w:p>
        </w:tc>
      </w:tr>
      <w:tr>
        <w:trPr>
          <w:cantSplit/>
        </w:trPr>
        <w:tc>
          <w:tcPr>
            <w:tcW w:type="pct" w:w="1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3.6 Bibliothèque de couches</w:t>
            </w:r>
          </w:p>
        </w:tc>
        <w:tc>
          <w:tcPr>
            <w:tcW w:type="pct" w:w="11%"/>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7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Liste avec filtres par type et géométrie, recherche, métadonnées (nombre d'entités, propriétaire), détail avec carte, endpoint GeoJSON, suppression ; couches système = fonds de carte du viewer</w:t>
            </w:r>
          </w:p>
        </w:tc>
      </w:tr>
      <w:tr>
        <w:trPr>
          <w:cantSplit/>
        </w:trPr>
        <w:tc>
          <w:tcPr>
            <w:tcW w:type="pct" w:w="1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3.7 Collaborateurs</w:t>
            </w:r>
          </w:p>
        </w:tc>
        <w:tc>
          <w:tcPr>
            <w:tcW w:type="pct" w:w="11%"/>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7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Liste des membres avec rôles, invitation par e-mail (token 48 caractères, expiration 7 jours), changement de rôle, retrait, quotas par plan ; statut en ligne/hors ligne non implémenté</w:t>
            </w:r>
          </w:p>
        </w:tc>
      </w:tr>
      <w:tr>
        <w:trPr>
          <w:cantSplit/>
        </w:trPr>
        <w:tc>
          <w:tcPr>
            <w:tcW w:type="pct" w:w="1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3.8 Exports</w:t>
            </w:r>
          </w:p>
        </w:tc>
        <w:tc>
          <w:tcPr>
            <w:tcW w:type="pct" w:w="11%"/>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7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6 formats conformes (GeoJSON, CSV, Shapefile ZIP, KML, carte PDF, carte PNG), tâche Celery, historique, téléchargement ; choix de projection (WGS 84/Web Mercator/UTM) et options avancées absents</w:t>
            </w:r>
          </w:p>
        </w:tc>
      </w:tr>
      <w:tr>
        <w:trPr>
          <w:cantSplit/>
        </w:trPr>
        <w:tc>
          <w:tcPr>
            <w:tcW w:type="pct" w:w="1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3.9 Paramètres</w:t>
            </w:r>
          </w:p>
        </w:tc>
        <w:tc>
          <w:tcPr>
            <w:tcW w:type="pct" w:w="11%"/>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7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Profil ✔, Préférences ✔ (unités, format de coordonnées, fond par défaut, langue), Abonnement ✔ (plan, usage, factures, changement de plan) ; Sécurité partiel (mot de passe ✔, sessions actives ✘) ; onglet Notifications absent ; suppression de compte absente</w:t>
            </w:r>
          </w:p>
        </w:tc>
      </w:tr>
    </w:tbl>
    <w:p>
      <w:pPr>
        <w:spacing w:after="220" w:before="60" w:line="312"/>
        <w:jc w:val="center"/>
      </w:pPr>
      <w:r>
        <w:rPr>
          <w:rFonts w:ascii="Times New Roman" w:eastAsia="Times New Roman" w:hAnsi="Times New Roman"/>
          <w:i/>
          <w:iCs/>
          <w:color w:val="5A7A96"/>
          <w:sz w:val="18"/>
          <w:szCs w:val="18"/>
        </w:rPr>
        <w:t xml:space="preserve">État des neuf modules décrits au § 3 du cahier des charges — constats sourcés (vues, modèles, gabarits, tests)</w:t>
      </w:r>
    </w:p>
    <w:p>
      <w:pPr>
        <w:pStyle w:val="Heading2"/>
        <w:spacing w:after="140" w:before="280" w:line="312"/>
      </w:pPr>
      <w:bookmarkStart w:id="100013" w:name="_Toc100013"/>
      <w:r>
        <w:rPr>
          <w:rFonts w:ascii="Times New Roman" w:eastAsia="Times New Roman" w:hAnsi="Times New Roman"/>
          <w:b/>
          <w:bCs/>
          <w:color w:val="1A4A7A"/>
          <w:sz w:val="28"/>
          <w:szCs w:val="28"/>
        </w:rPr>
        <w:t xml:space="preserve">3.2 Écarts fonctionnels détaillés</w:t>
      </w:r>
      <w:bookmarkEnd w:id="100013"/>
    </w:p>
    <w:p>
      <w:pPr>
        <w:pStyle w:val="Heading3"/>
        <w:spacing w:after="110" w:before="220" w:line="312"/>
      </w:pPr>
      <w:bookmarkStart w:id="100014" w:name="_Toc100014"/>
      <w:r>
        <w:rPr>
          <w:rFonts w:ascii="Times New Roman" w:eastAsia="Times New Roman" w:hAnsi="Times New Roman"/>
          <w:b/>
          <w:bCs/>
          <w:color w:val="142840"/>
          <w:sz w:val="24"/>
          <w:szCs w:val="24"/>
        </w:rPr>
        <w:t xml:space="preserve">3.2.1 — Trois des cinq outils d'analyse spatiale exigés sont absents</w:t>
      </w:r>
      <w:bookmarkEnd w:id="100014"/>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cahier des charges décrit cinq outils : zone tampon (buffer), zone de chalandise (isochrone), intersection/clip, calcul de surfaces et périmètres, et requête spatiale (intersecte, contient, est dans). Le dépôt implémente quatre types d'analyse : buffer, intersect, difference et bounding box — soit deux outils conformes et deux bonus non demandés. Manquent donc l'isochrone, le calcul de surfaces/périmètres et la requête spatiale. L'existant est de bonne facture : les distances sont métriques via une reprojection UTM calculée depuis l'étendue des données, les géométries invalides sont réparées avant traitement, le résultat devient une couche réutilisable et le traitement passe en tâche Celery avec suivi de progression. L'absence la plus structurante est l'</w:t>
      </w:r>
      <w:r>
        <w:rPr>
          <w:rFonts w:ascii="Times New Roman" w:eastAsia="Times New Roman" w:hAnsi="Times New Roman"/>
          <w:b/>
          <w:bCs/>
          <w:i w:val="false"/>
          <w:iCs w:val="false"/>
          <w:color w:val="000000"/>
          <w:sz w:val="24"/>
          <w:szCs w:val="24"/>
        </w:rPr>
        <w:t xml:space="preserve">isochrone</w:t>
      </w:r>
      <w:r>
        <w:rPr>
          <w:rFonts w:ascii="Times New Roman" w:eastAsia="Times New Roman" w:hAnsi="Times New Roman"/>
          <w:b w:val="false"/>
          <w:bCs w:val="false"/>
          <w:i w:val="false"/>
          <w:iCs w:val="false"/>
          <w:color w:val="000000"/>
          <w:sz w:val="24"/>
          <w:szCs w:val="24"/>
        </w:rPr>
        <w:t xml:space="preserve"> : elle exige un moteur de réseau routier (pgRouting sur PostGIS, ou service OSRM/Valhalla/Valhalla-like) qui ne figure ni dans les dépendances ni dans le compose Docker — c'est un chantier d'architecture, pas un simple ajout de fonction. Le calcul de surfaces et périmètres et la requête spatiale, eux, s'appuient directement sur les primitives GEOS/PostGIS déjà utilisées et peuvent être livrés rapidement.</w:t>
      </w:r>
    </w:p>
    <w:p>
      <w:pPr>
        <w:pStyle w:val="Heading3"/>
        <w:spacing w:after="110" w:before="220" w:line="312"/>
      </w:pPr>
      <w:bookmarkStart w:id="100015" w:name="_Toc100015"/>
      <w:r>
        <w:rPr>
          <w:rFonts w:ascii="Times New Roman" w:eastAsia="Times New Roman" w:hAnsi="Times New Roman"/>
          <w:b/>
          <w:bCs/>
          <w:color w:val="142840"/>
          <w:sz w:val="24"/>
          <w:szCs w:val="24"/>
        </w:rPr>
        <w:t xml:space="preserve">3.2.2 — Paramètres : deux onglets sur cinq incomplets ou absents</w:t>
      </w:r>
      <w:bookmarkEnd w:id="100015"/>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L'onglet « Sécurité » permet de changer le mot de passe (avec re-validation de session, bonne pratique), mais n'offre ni la consultation des sessions actives ni la déconnexion à distance exigées — Django conserve pourtant toutes les briques (backend de session en base à activer, listage, suppression). L'onglet « Notifications » exigé (activation/désactivation des e-mails, notifications push, alertes de projets, partages de cartes, alertes système) n'existe pas : il n'y a aucun modèle de préférences de notification dans l'application preferences, et le centre de notifications en place est un flux « read/unread » sans préférences. Enfin, la « zone de danger » avec suppression de compte est absente du module Abonnement. Les autres onglets (Profil avec avatar et informations, Préférences avec unités/coordonnées/fond de carte/langue, Abonnement avec plan, usage et factures) sont conformes.</w:t>
      </w:r>
    </w:p>
    <w:p>
      <w:pPr>
        <w:pStyle w:val="Heading3"/>
        <w:spacing w:after="110" w:before="220" w:line="312"/>
      </w:pPr>
      <w:bookmarkStart w:id="100016" w:name="_Toc100016"/>
      <w:r>
        <w:rPr>
          <w:rFonts w:ascii="Times New Roman" w:eastAsia="Times New Roman" w:hAnsi="Times New Roman"/>
          <w:b/>
          <w:bCs/>
          <w:color w:val="142840"/>
          <w:sz w:val="24"/>
          <w:szCs w:val="24"/>
        </w:rPr>
        <w:t xml:space="preserve">3.2.3 — Exports et cartes : nuances de conformité</w:t>
      </w:r>
      <w:bookmarkEnd w:id="100016"/>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module Exports est fonctionnellement riche : six formats conformes au cahier des charges (dont les feuilles de carte PDF générées avec ReportLab et les instantanés PNG), exécution asynchrone, historique avec téléchargement et suppression. Il manque le choix de </w:t>
      </w:r>
      <w:r>
        <w:rPr>
          <w:rFonts w:ascii="Times New Roman" w:eastAsia="Times New Roman" w:hAnsi="Times New Roman"/>
          <w:b/>
          <w:bCs/>
          <w:i w:val="false"/>
          <w:iCs w:val="false"/>
          <w:color w:val="000000"/>
          <w:sz w:val="24"/>
          <w:szCs w:val="24"/>
        </w:rPr>
        <w:t xml:space="preserve">projection</w:t>
      </w:r>
      <w:r>
        <w:rPr>
          <w:rFonts w:ascii="Times New Roman" w:eastAsia="Times New Roman" w:hAnsi="Times New Roman"/>
          <w:b w:val="false"/>
          <w:bCs w:val="false"/>
          <w:i w:val="false"/>
          <w:iCs w:val="false"/>
          <w:color w:val="000000"/>
          <w:sz w:val="24"/>
          <w:szCs w:val="24"/>
        </w:rPr>
        <w:t xml:space="preserve"> (WGS 84, Web Mercator, UTM) — les données restent en SRID 4326 sauf re-projection ponctuelle à l'analyse — et les options avancées (inclure les attributs, la légende, la qualité/résolution, le filtre spatial). Côté cartes, les statuts exigés « public / privé / partagé / brouillon » sont remplacés par « brouillon / publié / archivé » (choix cohérent avec un espace authentifié, mais divergent du CDC), et l'action « partager » n'existe pas : aucune URL de partage, aucun contrôle de visibilité externe. Ces divergences sont acceptables en l'état si elles sont assumées contractuellement, mais doivent être listées explicitement dans un avenant ou une note de décision produit.</w:t>
      </w:r>
    </w:p>
    <w:p>
      <w:pPr>
        <w:pStyle w:val="Heading2"/>
        <w:spacing w:after="140" w:before="280" w:line="312"/>
      </w:pPr>
      <w:bookmarkStart w:id="100017" w:name="_Toc100017"/>
      <w:r>
        <w:rPr>
          <w:rFonts w:ascii="Times New Roman" w:eastAsia="Times New Roman" w:hAnsi="Times New Roman"/>
          <w:b/>
          <w:bCs/>
          <w:color w:val="1A4A7A"/>
          <w:sz w:val="28"/>
          <w:szCs w:val="28"/>
        </w:rPr>
        <w:t xml:space="preserve">3.3 Sécurité et conformité exigées (§ 5 du CDC)</w:t>
      </w:r>
      <w:bookmarkEnd w:id="100017"/>
    </w:p>
    <w:p>
      <w:pPr>
        <w:keepNext/>
        <w:spacing w:after="90" w:before="160" w:line="312"/>
      </w:pPr>
      <w:r>
        <w:rPr>
          <w:rFonts w:ascii="Times New Roman" w:eastAsia="Times New Roman" w:hAnsi="Times New Roman"/>
          <w:b/>
          <w:bCs/>
          <w:color w:val="1A4A7A"/>
          <w:sz w:val="20"/>
          <w:szCs w:val="20"/>
        </w:rPr>
        <w:t xml:space="preserve">Tableau 4 — Les huit mécanismes de sécurité exigés : état observé</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tblGrid>
      <w:tr>
        <w:trPr>
          <w:cantSplit/>
          <w:tblHeader/>
        </w:trPr>
        <w:tc>
          <w:tcPr>
            <w:tcW w:type="pct" w:w="30%"/>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Exigence (CDC § 5)</w:t>
            </w:r>
          </w:p>
        </w:tc>
        <w:tc>
          <w:tcPr>
            <w:tcW w:type="pct" w:w="12%"/>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Statut</w:t>
            </w:r>
          </w:p>
        </w:tc>
        <w:tc>
          <w:tcPr>
            <w:tcW w:type="pct" w:w="58%"/>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Détail</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Chiffrement des échanges (HTTPS / TLS 1.3)</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5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Réglages complets derrière HTTPS_ONLY : redirection SSL, HSTS un an (sous-domaines + preload), cookies Secure/HttpOnly/SameSite, en-tête de proxy TLS ; TLS 1.3 relève du serveur web (Nginx absent, cf. C1)</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Contrôle d'accès RBAC (3 rôles)</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5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Rôles Admin/Éditeur/Visualisateur contrôlés serveur par decorators (editor_required, org_admin_required) sur chaque vue d'écriture ; refus par PermissionDenied (403)</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Isolation multi-tenant</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5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Chaque queryset est filtré par l'organisation de l'utilisateur (middleware request.organization) ; l'API DRF applique le même scoping ; aucun accès croisé constaté</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Journalisation des actions critiques</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5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Modèle AuditLog (action, utilisateur, organisation, objet lié, horodatage) alimenté en 26 points du code ; panneau interne /panel/ réservé staff avec statistiques</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Mots de passe : 8 caractères + majuscule + minuscule + chiffre + spécial</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5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Validateurs Django par défaut (longueur minimale 8, mots de passe courants, tout-numérique) ; aucune exigence de classes de caractères</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2FA en option</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Manquant</w:t>
            </w:r>
          </w:p>
        </w:tc>
        <w:tc>
          <w:tcPr>
            <w:tcW w:type="pct" w:w="5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 mécanisme (TOTP, SMS) dans le code</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Sauvegardes automatisées quotidiennes</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Manquant</w:t>
            </w:r>
          </w:p>
        </w:tc>
        <w:tc>
          <w:tcPr>
            <w:tcW w:type="pct" w:w="5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Aucune procédure, aucun volume de sauvegarde, aucune tâche planifiée</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Conformité RGPD (droits d'accès, rectification, effacement, portabilité)</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5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Accès et rectification via le profil ; export des données géographiques via le module Exports ; effacement complet du compte absent ; minimisation respectée (aucune IP personnelle stockée)</w:t>
            </w:r>
          </w:p>
        </w:tc>
      </w:tr>
    </w:tbl>
    <w:p>
      <w:pPr>
        <w:spacing w:after="220" w:before="60" w:line="312"/>
        <w:jc w:val="center"/>
      </w:pPr>
      <w:r>
        <w:rPr>
          <w:rFonts w:ascii="Times New Roman" w:eastAsia="Times New Roman" w:hAnsi="Times New Roman"/>
          <w:i/>
          <w:iCs/>
          <w:color w:val="5A7A96"/>
          <w:sz w:val="18"/>
          <w:szCs w:val="18"/>
        </w:rPr>
        <w:t xml:space="preserve">Mécanismes de sécurité exigés par le § 5 du cahier des charges et constats associés</w:t>
      </w:r>
    </w:p>
    <w:p>
      <w:pPr>
        <w:pStyle w:val="Heading2"/>
        <w:spacing w:after="140" w:before="280" w:line="312"/>
      </w:pPr>
      <w:bookmarkStart w:id="100018" w:name="_Toc100018"/>
      <w:r>
        <w:rPr>
          <w:rFonts w:ascii="Times New Roman" w:eastAsia="Times New Roman" w:hAnsi="Times New Roman"/>
          <w:b/>
          <w:bCs/>
          <w:color w:val="1A4A7A"/>
          <w:sz w:val="28"/>
          <w:szCs w:val="28"/>
        </w:rPr>
        <w:t xml:space="preserve">3.4 Performance et indicateurs chiffrés (§ 6 et § 11 du CDC)</w:t>
      </w:r>
      <w:bookmarkEnd w:id="100018"/>
    </w:p>
    <w:p>
      <w:pPr>
        <w:keepNext/>
        <w:spacing w:after="90" w:before="160" w:line="312"/>
      </w:pPr>
      <w:r>
        <w:rPr>
          <w:rFonts w:ascii="Times New Roman" w:eastAsia="Times New Roman" w:hAnsi="Times New Roman"/>
          <w:b/>
          <w:bCs/>
          <w:color w:val="1A4A7A"/>
          <w:sz w:val="20"/>
          <w:szCs w:val="20"/>
        </w:rPr>
        <w:t xml:space="preserve">Tableau 5 — Indicateurs cibles du cahier des charges et capacité actuelle</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tblGrid>
      <w:tr>
        <w:trPr>
          <w:cantSplit/>
          <w:tblHeader/>
        </w:trPr>
        <w:tc>
          <w:tcPr>
            <w:tcW w:type="pct" w:w="30%"/>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Indicateur (CDC)</w:t>
            </w:r>
          </w:p>
        </w:tc>
        <w:tc>
          <w:tcPr>
            <w:tcW w:type="pct" w:w="22%"/>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Cible</w:t>
            </w:r>
          </w:p>
        </w:tc>
        <w:tc>
          <w:tcPr>
            <w:tcW w:type="pct" w:w="48%"/>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État constaté</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Chargement du dashboard</w:t>
            </w:r>
          </w:p>
        </w:tc>
        <w:tc>
          <w:tcPr>
            <w:tcW w:type="pct" w:w="2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&lt; 2 s</w:t>
            </w:r>
          </w:p>
        </w:tc>
        <w:tc>
          <w:tcPr>
            <w:tcW w:type="pct" w:w="4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Socle favorable (requêtes annotées, select_related, pagination) ; non mesuré — mesure à réaliser sur environnement de recette</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Affichage cartographique 100 000 entités</w:t>
            </w:r>
          </w:p>
        </w:tc>
        <w:tc>
          <w:tcPr>
            <w:tcW w:type="pct" w:w="2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&lt; 1,5 s (tuiles MVT + cache Redis)</w:t>
            </w:r>
          </w:p>
        </w:tc>
        <w:tc>
          <w:tcPr>
            <w:tcW w:type="pct" w:w="4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Non atteignable en l'état : aucun ST_AsMVT, aucun cache ; le viewer consomme un GeoJSON en streaming sans pagination ni cache (Cache-Control: no-store)</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Import de 10 000 entités</w:t>
            </w:r>
          </w:p>
        </w:tc>
        <w:tc>
          <w:tcPr>
            <w:tcW w:type="pct" w:w="2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&lt; 5 s</w:t>
            </w:r>
          </w:p>
        </w:tc>
        <w:tc>
          <w:tcPr>
            <w:tcW w:type="pct" w:w="4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Non mesuré — parsing streaming et création en lot présents ; à benchmarker après migration PostGIS</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Analyse buffer/intersection sur 10 000 entités</w:t>
            </w:r>
          </w:p>
        </w:tc>
        <w:tc>
          <w:tcPr>
            <w:tcW w:type="pct" w:w="2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&lt; 3 s</w:t>
            </w:r>
          </w:p>
        </w:tc>
        <w:tc>
          <w:tcPr>
            <w:tcW w:type="pct" w:w="4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Non mesuré — implémentation GEOS avec reprojection UTM ; coût réel à évaluer (reprojets par entité)</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Utilisateurs simultanés</w:t>
            </w:r>
          </w:p>
        </w:tc>
        <w:tc>
          <w:tcPr>
            <w:tcW w:type="pct" w:w="2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500</w:t>
            </w:r>
          </w:p>
        </w:tc>
        <w:tc>
          <w:tcPr>
            <w:tcW w:type="pct" w:w="4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Non testé — et le conteneur applicatif lance runserver (mono-processus) : Gunicorn requis avant tout test de charge</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Temps de réponse API moyen</w:t>
            </w:r>
          </w:p>
        </w:tc>
        <w:tc>
          <w:tcPr>
            <w:tcW w:type="pct" w:w="2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&lt; 200 ms</w:t>
            </w:r>
          </w:p>
        </w:tc>
        <w:tc>
          <w:tcPr>
            <w:tcW w:type="pct" w:w="4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Non mesuré — API lecture seule paginée (25 par page), throttling 600/min par utilisateur</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Disponibilité (uptime)</w:t>
            </w:r>
          </w:p>
        </w:tc>
        <w:tc>
          <w:tcPr>
            <w:tcW w:type="pct" w:w="2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99,9 %</w:t>
            </w:r>
          </w:p>
        </w:tc>
        <w:tc>
          <w:tcPr>
            <w:tcW w:type="pct" w:w="4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Non garantissable — aucun monitoring, aucune alerte, aucune redondance outillée</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Score de sécurité (audit)</w:t>
            </w:r>
          </w:p>
        </w:tc>
        <w:tc>
          <w:tcPr>
            <w:tcW w:type="pct" w:w="2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Zéro faille critique</w:t>
            </w:r>
          </w:p>
        </w:tc>
        <w:tc>
          <w:tcPr>
            <w:tcW w:type="pct" w:w="4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Atteint sur le plan applicatif : check --deploy 0 alerte, aucune faille critique identifiée ; la chaîne de service (runserver) reste à corriger avant production</w:t>
            </w:r>
          </w:p>
        </w:tc>
      </w:tr>
    </w:tbl>
    <w:p>
      <w:pPr>
        <w:spacing w:after="220" w:before="60" w:line="312"/>
        <w:jc w:val="center"/>
      </w:pPr>
      <w:r>
        <w:rPr>
          <w:rFonts w:ascii="Times New Roman" w:eastAsia="Times New Roman" w:hAnsi="Times New Roman"/>
          <w:i/>
          <w:iCs/>
          <w:color w:val="5A7A96"/>
          <w:sz w:val="18"/>
          <w:szCs w:val="18"/>
        </w:rPr>
        <w:t xml:space="preserve">Indicateurs du § 11 du cahier des charges — état de capacité, hors mesures de charge à réaliser</w:t>
      </w:r>
    </w:p>
    <w:p>
      <w:pPr>
        <w:pStyle w:val="Heading2"/>
        <w:spacing w:after="140" w:before="280" w:line="312"/>
      </w:pPr>
      <w:bookmarkStart w:id="100019" w:name="_Toc100019"/>
      <w:r>
        <w:rPr>
          <w:rFonts w:ascii="Times New Roman" w:eastAsia="Times New Roman" w:hAnsi="Times New Roman"/>
          <w:b/>
          <w:bCs/>
          <w:color w:val="1A4A7A"/>
          <w:sz w:val="28"/>
          <w:szCs w:val="28"/>
        </w:rPr>
        <w:t xml:space="preserve">3.5 Les dix livrables contractuels (§ 8 du CDC)</w:t>
      </w:r>
      <w:bookmarkEnd w:id="100019"/>
    </w:p>
    <w:p>
      <w:pPr>
        <w:keepNext/>
        <w:spacing w:after="90" w:before="160" w:line="312"/>
      </w:pPr>
      <w:r>
        <w:rPr>
          <w:rFonts w:ascii="Times New Roman" w:eastAsia="Times New Roman" w:hAnsi="Times New Roman"/>
          <w:b/>
          <w:bCs/>
          <w:color w:val="1A4A7A"/>
          <w:sz w:val="20"/>
          <w:szCs w:val="20"/>
        </w:rPr>
        <w:t xml:space="preserve">Tableau 6 — Suivi des dix livrables exigés</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tblGrid>
      <w:tr>
        <w:trPr>
          <w:cantSplit/>
          <w:tblHeader/>
        </w:trPr>
        <w:tc>
          <w:tcPr>
            <w:tcW w:type="pct" w:w="30%"/>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Livrable exigé</w:t>
            </w:r>
          </w:p>
        </w:tc>
        <w:tc>
          <w:tcPr>
            <w:tcW w:type="pct" w:w="14%"/>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Statut</w:t>
            </w:r>
          </w:p>
        </w:tc>
        <w:tc>
          <w:tcPr>
            <w:tcW w:type="pct" w:w="56%"/>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Constat</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1. Code source sur dépôt Git, branches dev/prod</w:t>
            </w:r>
          </w:p>
        </w:tc>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5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Dépôt structuré et propre ; l'archive étant anonymisée, la séparation des branches n'est pas vérifiable — à attester sur le dépôt réel</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2. Documentation technique (README, installation, configuration, déploiement)</w:t>
            </w:r>
          </w:p>
        </w:tc>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5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README exhaustif (installation locale, Docker, PostgreSQL/PostGIS, Redis, variables, migrations, Celery, tests) ; le guide de déploiement Contabo proprement dit reste à rédiger</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3. Documentation administrateur</w:t>
            </w:r>
          </w:p>
        </w:tc>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5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Création du superuser et gestion courante couvertes ; pas de guide dédié (organisations, plans, factures, panel interne /panel/)</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4. Documentation API (Swagger / ReDoc)</w:t>
            </w:r>
          </w:p>
        </w:tc>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Manquant</w:t>
            </w:r>
          </w:p>
        </w:tc>
        <w:tc>
          <w:tcPr>
            <w:tcW w:type="pct" w:w="5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 schéma OpenAPI : drf-spectacular absent, aucune route de documentation</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5. Schéma de base de données (migrations + fixtures de démonstration)</w:t>
            </w:r>
          </w:p>
        </w:tc>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5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32 migrations cohérentes (makemigrations --check : rien à faire) ; commande seed_demo : plans, organisation, membres, couches, cartes, projets, factures, notifications autour de Lomé</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6. Tests unitaires et d'intégration, couverture &gt; 80 %</w:t>
            </w:r>
          </w:p>
        </w:tc>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 (limite)</w:t>
            </w:r>
          </w:p>
        </w:tc>
        <w:tc>
          <w:tcPr>
            <w:tcW w:type="pct" w:w="5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391 tests réussis en 81 s, répartis en ≈ 30 fichiers (modèles, vues, services, tâches, permissions) ; couverture mesurée ≈ 80 % — pile sur la cible</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7. Jeu de données de démonstration</w:t>
            </w:r>
          </w:p>
        </w:tc>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Terminé</w:t>
            </w:r>
          </w:p>
        </w:tc>
        <w:tc>
          <w:tcPr>
            <w:tcW w:type="pct" w:w="5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seed_demo.py (388 lignes) : données réalistes autour de Lomé, mots de passe jamais codés en dur (générés aléatoirement)</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8. Plateforme en production (app.sigtg.tech)</w:t>
            </w:r>
          </w:p>
        </w:tc>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Non applicable à ce stade</w:t>
            </w:r>
          </w:p>
        </w:tc>
        <w:tc>
          <w:tcPr>
            <w:tcW w:type="pct" w:w="5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Conforme au planning : la mise en production suit les phases de recette ; la chaîne de service exigée reste à construire (cf. C1)</w:t>
            </w:r>
          </w:p>
        </w:tc>
      </w:tr>
      <w:tr>
        <w:trPr>
          <w:cantSplit/>
        </w:trPr>
        <w:tc>
          <w:tcPr>
            <w:tcW w:type="pct" w:w="30%"/>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9. Procédure de sauvegarde et de restauration</w:t>
            </w:r>
          </w:p>
        </w:tc>
        <w:tc>
          <w:tcPr>
            <w:tcW w:type="pct" w:w="1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Manquant</w:t>
            </w:r>
          </w:p>
        </w:tc>
        <w:tc>
          <w:tcPr>
            <w:tcW w:type="pct" w:w="56%"/>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Aucune documentation, aucun script, aucun test de restauration</w:t>
            </w:r>
          </w:p>
        </w:tc>
      </w:tr>
      <w:tr>
        <w:trPr>
          <w:cantSplit/>
        </w:trPr>
        <w:tc>
          <w:tcPr>
            <w:tcW w:type="pct" w:w="30%"/>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10. Formation utilisateur (PDF ou vidéo)</w:t>
            </w:r>
          </w:p>
        </w:tc>
        <w:tc>
          <w:tcPr>
            <w:tcW w:type="pct" w:w="1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Manquant</w:t>
            </w:r>
          </w:p>
        </w:tc>
        <w:tc>
          <w:tcPr>
            <w:tcW w:type="pct" w:w="56%"/>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 support de formation dans le dépôt</w:t>
            </w:r>
          </w:p>
        </w:tc>
      </w:tr>
    </w:tbl>
    <w:p>
      <w:pPr>
        <w:spacing w:after="220" w:before="60" w:line="312"/>
        <w:jc w:val="center"/>
      </w:pPr>
      <w:r>
        <w:rPr>
          <w:rFonts w:ascii="Times New Roman" w:eastAsia="Times New Roman" w:hAnsi="Times New Roman"/>
          <w:i/>
          <w:iCs/>
          <w:color w:val="5A7A96"/>
          <w:sz w:val="18"/>
          <w:szCs w:val="18"/>
        </w:rPr>
        <w:t xml:space="preserve">Suivi des dix livrables contractuels — état constaté au 18 septembre 2026</w:t>
      </w:r>
    </w:p>
    <w:p>
      <w:pPr>
        <w:pStyle w:val="Heading1"/>
        <w:spacing w:after="180" w:before="400" w:line="312"/>
      </w:pPr>
      <w:bookmarkStart w:id="100020" w:name="_Toc100020"/>
      <w:r>
        <w:rPr>
          <w:rFonts w:ascii="Times New Roman" w:eastAsia="Times New Roman" w:hAnsi="Times New Roman"/>
          <w:b/>
          <w:bCs/>
          <w:color w:val="1A4A7A"/>
          <w:sz w:val="32"/>
          <w:szCs w:val="32"/>
        </w:rPr>
        <w:t xml:space="preserve">4. Audit de sécurité — OWASP Top 10 et RGPD</w:t>
      </w:r>
      <w:bookmarkEnd w:id="100020"/>
    </w:p>
    <w:p>
      <w:pPr>
        <w:pStyle w:val="Heading2"/>
        <w:spacing w:after="140" w:before="280" w:line="312"/>
      </w:pPr>
      <w:bookmarkStart w:id="100021" w:name="_Toc100021"/>
      <w:r>
        <w:rPr>
          <w:rFonts w:ascii="Times New Roman" w:eastAsia="Times New Roman" w:hAnsi="Times New Roman"/>
          <w:b/>
          <w:bCs/>
          <w:color w:val="1A4A7A"/>
          <w:sz w:val="28"/>
          <w:szCs w:val="28"/>
        </w:rPr>
        <w:t xml:space="preserve">4.1 Grille OWASP Top 10</w:t>
      </w:r>
      <w:bookmarkEnd w:id="100021"/>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bilan de sécurité est le point fort de cette audit : pour la première fois sur l'écosystème SIG.tg, aucune catégorie OWASP n'est classée « Manquant ». Les fondations Django sont exploitées de manière homogène — ORM exclusif, CSRF actif, hachage robuste, secrets hors code — et des mécanismes rarement vus à ce stade d'un projet sont déjà en place : contrôle de rôles côté serveur systématique, isolation multi-tenant appliquée à chaque requête, journal d'audit applicatif, quotas incompressibles, throttling de connexion et d'inscription, politique CSP stricte sans CDN tiers.</w:t>
      </w:r>
    </w:p>
    <w:p>
      <w:pPr>
        <w:keepNext/>
        <w:spacing w:after="90" w:before="160" w:line="312"/>
      </w:pPr>
      <w:r>
        <w:rPr>
          <w:rFonts w:ascii="Times New Roman" w:eastAsia="Times New Roman" w:hAnsi="Times New Roman"/>
          <w:b/>
          <w:bCs/>
          <w:color w:val="1A4A7A"/>
          <w:sz w:val="20"/>
          <w:szCs w:val="20"/>
        </w:rPr>
        <w:t xml:space="preserve">Tableau 7 — Couverture OWASP Top 10 (2021)</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tblGrid>
      <w:tr>
        <w:trPr>
          <w:cantSplit/>
          <w:tblHeader/>
        </w:trPr>
        <w:tc>
          <w:tcPr>
            <w:tcW w:type="pct" w:w="24%"/>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Catégorie OWASP</w:t>
            </w:r>
          </w:p>
        </w:tc>
        <w:tc>
          <w:tcPr>
            <w:tcW w:type="pct" w:w="11%"/>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Verdict</w:t>
            </w:r>
          </w:p>
        </w:tc>
        <w:tc>
          <w:tcPr>
            <w:tcW w:type="pct" w:w="65%"/>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Constats principaux</w:t>
            </w:r>
          </w:p>
        </w:tc>
      </w:tr>
      <w:tr>
        <w:trPr>
          <w:cantSplit/>
        </w:trPr>
        <w:tc>
          <w:tcPr>
            <w:tcW w:type="pct" w:w="2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A01 — Contrôle d'accès défaillant</w:t>
            </w:r>
          </w:p>
        </w:tc>
        <w:tc>
          <w:tcPr>
            <w:tcW w:type="pct" w:w="11%"/>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Bon</w:t>
            </w:r>
          </w:p>
        </w:tc>
        <w:tc>
          <w:tcPr>
            <w:tcW w:type="pct" w:w="65%"/>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RBAC serveur systématique (403 sur toute écriture hors rôle) ; querysets scopés par organisation partout, y compris API DRF ; réserve : le throttling de connexion s'appuie sur le cache local (par processus) — à migrer sur Redis partagé avec Gunicorn multi-processus</w:t>
            </w:r>
          </w:p>
        </w:tc>
      </w:tr>
      <w:tr>
        <w:trPr>
          <w:cantSplit/>
        </w:trPr>
        <w:tc>
          <w:tcPr>
            <w:tcW w:type="pct" w:w="2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A02 — Défaillances cryptographiques</w:t>
            </w:r>
          </w:p>
        </w:tc>
        <w:tc>
          <w:tcPr>
            <w:tcW w:type="pct" w:w="11%"/>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Bon</w:t>
            </w:r>
          </w:p>
        </w:tc>
        <w:tc>
          <w:tcPr>
            <w:tcW w:type="pct" w:w="65%"/>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HSTS, redirection SSL, cookies Secure/HttpOnly/SameSite (derrière HTTPS_ONLY) ; hachage pbkdf2 par défaut ; secrets hors code ; réserve : SECRET_KEY retombe sur « django-insecure-change-me » si la variable d'environnement est oubliée</w:t>
            </w:r>
          </w:p>
        </w:tc>
      </w:tr>
      <w:tr>
        <w:trPr>
          <w:cantSplit/>
        </w:trPr>
        <w:tc>
          <w:tcPr>
            <w:tcW w:type="pct" w:w="2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A03 — Injection</w:t>
            </w:r>
          </w:p>
        </w:tc>
        <w:tc>
          <w:tcPr>
            <w:tcW w:type="pct" w:w="11%"/>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Bon</w:t>
            </w:r>
          </w:p>
        </w:tc>
        <w:tc>
          <w:tcPr>
            <w:tcW w:type="pct" w:w="65%"/>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ORM exclusif (aucune requête brute) ; validation d'extension et de format à l'import ; échappement automatique des gabarits ; propriétés JSON sérialisées sans exécution</w:t>
            </w:r>
          </w:p>
        </w:tc>
      </w:tr>
      <w:tr>
        <w:trPr>
          <w:cantSplit/>
        </w:trPr>
        <w:tc>
          <w:tcPr>
            <w:tcW w:type="pct" w:w="2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A04 — Conception non sécurisée</w:t>
            </w:r>
          </w:p>
        </w:tc>
        <w:tc>
          <w:tcPr>
            <w:tcW w:type="pct" w:w="11%"/>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Bon</w:t>
            </w:r>
          </w:p>
        </w:tc>
        <w:tc>
          <w:tcPr>
            <w:tcW w:type="pct" w:w="65%"/>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Throttling connexion (10/5 min par IP) et inscription (10/h) ; quotas serveur incompressibles ; invitations à durée de vie (7 jours) à token aléatoire ; redirection « next » validée contre les hôtes externes</w:t>
            </w:r>
          </w:p>
        </w:tc>
      </w:tr>
      <w:tr>
        <w:trPr>
          <w:cantSplit/>
        </w:trPr>
        <w:tc>
          <w:tcPr>
            <w:tcW w:type="pct" w:w="2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A05 — Mauvaise configuration</w:t>
            </w:r>
          </w:p>
        </w:tc>
        <w:tc>
          <w:tcPr>
            <w:tcW w:type="pct" w:w="11%"/>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65%"/>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check --deploy : 0 avertissement sous HTTPS_ONLY=1 (vs 6 pour la vitrine au premier audit) ; mais le durcissement est volontairement conditionné par une variable, le conteneur lance runserver, Rosetta est monté sans condition d'environnement (accès staff/superuser seulement)</w:t>
            </w:r>
          </w:p>
        </w:tc>
      </w:tr>
      <w:tr>
        <w:trPr>
          <w:cantSplit/>
        </w:trPr>
        <w:tc>
          <w:tcPr>
            <w:tcW w:type="pct" w:w="2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A06 — Composants vulnérables</w:t>
            </w:r>
          </w:p>
        </w:tc>
        <w:tc>
          <w:tcPr>
            <w:tcW w:type="pct" w:w="11%"/>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65%"/>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Django 6.1, DRF 3.16, Celery 5.6 récents et bornés ; pas de fichier de verrouillage ni d'analyse pip-audit intégrée à la chaîne</w:t>
            </w:r>
          </w:p>
        </w:tc>
      </w:tr>
      <w:tr>
        <w:trPr>
          <w:cantSplit/>
        </w:trPr>
        <w:tc>
          <w:tcPr>
            <w:tcW w:type="pct" w:w="2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A07 — Défaillances d'authentification</w:t>
            </w:r>
          </w:p>
        </w:tc>
        <w:tc>
          <w:tcPr>
            <w:tcW w:type="pct" w:w="11%"/>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65%"/>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Mot de passe sans exigence de classes de caractères ; 2FA absente ; réinitialisation de mot de passe absente (M4) ; sessions actives / déconnexion à distance absentes</w:t>
            </w:r>
          </w:p>
        </w:tc>
      </w:tr>
      <w:tr>
        <w:trPr>
          <w:cantSplit/>
        </w:trPr>
        <w:tc>
          <w:tcPr>
            <w:tcW w:type="pct" w:w="2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A08 — Défaillances d'intégrité logicielle</w:t>
            </w:r>
          </w:p>
        </w:tc>
        <w:tc>
          <w:tcPr>
            <w:tcW w:type="pct" w:w="11%"/>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Bon</w:t>
            </w:r>
          </w:p>
        </w:tc>
        <w:tc>
          <w:tcPr>
            <w:tcW w:type="pct" w:w="65%"/>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Zéro ressource tierce en ligne : Leaflet, polices et icônes auto-hébergés ; CSP stricte (script-src 'self') avec relâchement contrôlé uniquement pour l'admin et l'API navigateur ; dépendances bornées</w:t>
            </w:r>
          </w:p>
        </w:tc>
      </w:tr>
      <w:tr>
        <w:trPr>
          <w:cantSplit/>
        </w:trPr>
        <w:tc>
          <w:tcPr>
            <w:tcW w:type="pct" w:w="24%"/>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A09 — Journalisation et surveillance</w:t>
            </w:r>
          </w:p>
        </w:tc>
        <w:tc>
          <w:tcPr>
            <w:tcW w:type="pct" w:w="11%"/>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Partiel</w:t>
            </w:r>
          </w:p>
        </w:tc>
        <w:tc>
          <w:tcPr>
            <w:tcW w:type="pct" w:w="65%"/>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Journal d'audit applicatif riche (26 points d'appel) et panneau staff ; mais aucune configuration LOGGING Django, pas de Sentry : les erreurs serveur ne sont ni collectées ni alertées</w:t>
            </w:r>
          </w:p>
        </w:tc>
      </w:tr>
      <w:tr>
        <w:trPr>
          <w:cantSplit/>
        </w:trPr>
        <w:tc>
          <w:tcPr>
            <w:tcW w:type="pct" w:w="24%"/>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A10 — SSRF</w:t>
            </w:r>
          </w:p>
        </w:tc>
        <w:tc>
          <w:tcPr>
            <w:tcW w:type="pct" w:w="11%"/>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Bon</w:t>
            </w:r>
          </w:p>
        </w:tc>
        <w:tc>
          <w:tcPr>
            <w:tcW w:type="pct" w:w="65%"/>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Aucune récupération d'URL fournie par l'utilisateur côté serveur ; les fonds de carte sont des constantes de configuration</w:t>
            </w:r>
          </w:p>
        </w:tc>
      </w:tr>
    </w:tbl>
    <w:p>
      <w:pPr>
        <w:spacing w:after="220" w:before="60" w:line="312"/>
        <w:jc w:val="center"/>
      </w:pPr>
      <w:r>
        <w:rPr>
          <w:rFonts w:ascii="Times New Roman" w:eastAsia="Times New Roman" w:hAnsi="Times New Roman"/>
          <w:i/>
          <w:iCs/>
          <w:color w:val="5A7A96"/>
          <w:sz w:val="18"/>
          <w:szCs w:val="18"/>
        </w:rPr>
        <w:t xml:space="preserve">Grille OWASP Top 10 appliquée au dépôt sig-platform</w:t>
      </w:r>
    </w:p>
    <w:p>
      <w:pPr>
        <w:pStyle w:val="Heading2"/>
        <w:spacing w:after="140" w:before="280" w:line="312"/>
      </w:pPr>
      <w:bookmarkStart w:id="100022" w:name="_Toc100022"/>
      <w:r>
        <w:rPr>
          <w:rFonts w:ascii="Times New Roman" w:eastAsia="Times New Roman" w:hAnsi="Times New Roman"/>
          <w:b/>
          <w:bCs/>
          <w:color w:val="1A4A7A"/>
          <w:sz w:val="28"/>
          <w:szCs w:val="28"/>
        </w:rPr>
        <w:t xml:space="preserve">4.2 A05 — La chaîne de service de production (constat critique C1)</w:t>
      </w:r>
      <w:bookmarkEnd w:id="100022"/>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Dockerfile se termine par </w:t>
      </w:r>
      <w:r>
        <w:rPr>
          <w:rFonts w:ascii="Times New Roman" w:eastAsia="Times New Roman" w:hAnsi="Times New Roman"/>
          <w:b/>
          <w:bCs/>
          <w:i w:val="false"/>
          <w:iCs w:val="false"/>
          <w:color w:val="000000"/>
          <w:sz w:val="24"/>
          <w:szCs w:val="24"/>
        </w:rPr>
        <w:t xml:space="preserve">CMD ["python", "manage.py", "runserver", "0.0.0.0:8000"]</w:t>
      </w:r>
      <w:r>
        <w:rPr>
          <w:rFonts w:ascii="Times New Roman" w:eastAsia="Times New Roman" w:hAnsi="Times New Roman"/>
          <w:b w:val="false"/>
          <w:bCs w:val="false"/>
          <w:i w:val="false"/>
          <w:iCs w:val="false"/>
          <w:color w:val="000000"/>
          <w:sz w:val="24"/>
          <w:szCs w:val="24"/>
        </w:rPr>
        <w:t xml:space="preserve"> et le docker-compose lance la même commande : or « runserver » est un serveur de développement, mono-processus, non durci, explicitement déconseillé par Django pour la production. Le cahier des charges exige pourtant Nginx en reverse proxy et Gunicorn en serveur WSGI (§ 4.2). De plus, le service Celery Beat est absent du compose alors que le planning CELERY_BEAT_SCHEDULE (purge des jobs bloqués toutes les 15 minutes) ne s'exécutera jamais sans lui : un import ou un export interrompu par un redémarrage du worker resterait bloqué « PROCESSING » pour toujours, laissant l'utilisateur sans réponse et avec son quota consommé. Enfin, aucune sauvegarde n'est outillée (volume Docker brut, aucune procédure). Si la plateforme était lancée en l'état, elle serait lente, sans planificateur et irrécupérable en cas d'incident de données. Le correctif est simple et doit précéder toute recette : Gunicorn en CMD, service Beat, Nginx, et SECRET_KEY rendue obligatoire (retrait du repli par défaut non sécurisé).</w:t>
      </w:r>
    </w:p>
    <w:p>
      <w:pPr>
        <w:keepNext/>
        <w:spacing w:after="80" w:before="140" w:line="312"/>
      </w:pPr>
      <w:r>
        <w:rPr>
          <w:rFonts w:ascii="Times New Roman" w:eastAsia="Times New Roman" w:hAnsi="Times New Roman"/>
          <w:b/>
          <w:bCs/>
          <w:color w:val="142840"/>
          <w:sz w:val="20"/>
          <w:szCs w:val="20"/>
        </w:rPr>
        <w:t xml:space="preserve">Correctif proposé — docker/Dockerfile (extrait) et services du compose</w:t>
      </w:r>
    </w:p>
    <w:tbl>
      <w:tblPr>
        <w:tblW w:type="pct" w:w="100%"/>
        <w:tblBorders>
          <w:top w:val="none" w:color="FFFFFF" w:sz="0"/>
          <w:left w:val="single" w:color="4DA8DA" w:sz="18"/>
          <w:bottom w:val="none" w:color="FFFFFF" w:sz="0"/>
          <w:right w:val="none" w:color="FFFFFF" w:sz="0"/>
          <w:insideH w:val="none" w:color="FFFFFF" w:sz="0"/>
          <w:insideV w:val="none" w:color="FFFFFF" w:sz="0"/>
        </w:tblBorders>
        <w:tblLayout w:type="fixed"/>
      </w:tblPr>
      <w:tblGrid>
        <w:gridCol w:w="100"/>
      </w:tblGrid>
      <w:tr>
        <w:trPr>
          <w:cantSplit w:val="false"/>
        </w:trPr>
        <w:tc>
          <w:tcPr>
            <w:tcW w:type="pct" w:w="100%"/>
            <w:shd w:fill="F0F4F8" w:val="clear"/>
            <w:tcMar>
              <w:top w:type="dxa" w:w="120"/>
              <w:left w:type="dxa" w:w="200"/>
              <w:bottom w:type="dxa" w:w="120"/>
              <w:right w:type="dxa" w:w="160"/>
            </w:tcMar>
          </w:tcPr>
          <w:p>
            <w:pPr>
              <w:spacing w:after="0" w:line="260"/>
              <w:jc w:val="left"/>
            </w:pPr>
            <w:r>
              <w:rPr>
                <w:rFonts w:ascii="Courier New" w:eastAsia="Courier New" w:hAnsi="Courier New"/>
                <w:color w:val="142840"/>
                <w:sz w:val="17"/>
                <w:szCs w:val="17"/>
              </w:rPr>
              <w:t xml:space="preserve"># Dockerfile — produire avec un serveur WSGI, pas runserver</w:t>
            </w:r>
          </w:p>
          <w:p>
            <w:pPr>
              <w:spacing w:after="0" w:line="260"/>
              <w:jc w:val="left"/>
            </w:pPr>
            <w:r>
              <w:rPr>
                <w:rFonts w:ascii="Courier New" w:eastAsia="Courier New" w:hAnsi="Courier New"/>
                <w:color w:val="142840"/>
                <w:sz w:val="17"/>
                <w:szCs w:val="17"/>
              </w:rPr>
              <w:t xml:space="preserve">RUN pip install -r requirements/base.txt gunicorn</w:t>
            </w:r>
          </w:p>
          <w:p>
            <w:pPr>
              <w:spacing w:after="0" w:line="260"/>
              <w:jc w:val="left"/>
            </w:pPr>
            <w:r>
              <w:rPr>
                <w:rFonts w:ascii="Courier New" w:eastAsia="Courier New" w:hAnsi="Courier New"/>
                <w:color w:val="142840"/>
                <w:sz w:val="17"/>
                <w:szCs w:val="17"/>
              </w:rPr>
              <w:t xml:space="preserve">CMD ["gunicorn", "config.wsgi:application", "--bind", "0.0.0.0:8000",</w:t>
            </w:r>
          </w:p>
          <w:p>
            <w:pPr>
              <w:spacing w:after="0" w:line="260"/>
              <w:jc w:val="left"/>
            </w:pPr>
            <w:r>
              <w:rPr>
                <w:rFonts w:ascii="Courier New" w:eastAsia="Courier New" w:hAnsi="Courier New"/>
                <w:color w:val="142840"/>
                <w:sz w:val="17"/>
                <w:szCs w:val="17"/>
              </w:rPr>
              <w:t xml:space="preserve">     "--workers", "4", "--timeout", "120"]</w:t>
            </w:r>
          </w:p>
          <w:p>
            <w:pPr>
              <w:spacing w:after="0" w:line="260"/>
              <w:jc w:val="left"/>
            </w:pPr>
            <w:r>
              <w:rPr>
                <w:rFonts w:ascii="Courier New" w:eastAsia="Courier New" w:hAnsi="Courier New"/>
                <w:color w:val="142840"/>
                <w:sz w:val="17"/>
                <w:szCs w:val="17"/>
              </w:rPr>
              <w:t xml:space="preserve"> </w:t>
            </w:r>
          </w:p>
          <w:p>
            <w:pPr>
              <w:spacing w:after="0" w:line="260"/>
              <w:jc w:val="left"/>
            </w:pPr>
            <w:r>
              <w:rPr>
                <w:rFonts w:ascii="Courier New" w:eastAsia="Courier New" w:hAnsi="Courier New"/>
                <w:color w:val="142840"/>
                <w:sz w:val="17"/>
                <w:szCs w:val="17"/>
              </w:rPr>
              <w:t xml:space="preserve"># docker-compose.yml — ajouter le service planificateur</w:t>
            </w:r>
          </w:p>
          <w:p>
            <w:pPr>
              <w:spacing w:after="0" w:line="260"/>
              <w:jc w:val="left"/>
            </w:pPr>
            <w:r>
              <w:rPr>
                <w:rFonts w:ascii="Courier New" w:eastAsia="Courier New" w:hAnsi="Courier New"/>
                <w:color w:val="142840"/>
                <w:sz w:val="17"/>
                <w:szCs w:val="17"/>
              </w:rPr>
              <w:t xml:space="preserve">  celery-beat:</w:t>
            </w:r>
          </w:p>
          <w:p>
            <w:pPr>
              <w:spacing w:after="0" w:line="260"/>
              <w:jc w:val="left"/>
            </w:pPr>
            <w:r>
              <w:rPr>
                <w:rFonts w:ascii="Courier New" w:eastAsia="Courier New" w:hAnsi="Courier New"/>
                <w:color w:val="142840"/>
                <w:sz w:val="17"/>
                <w:szCs w:val="17"/>
              </w:rPr>
              <w:t xml:space="preserve">    build: { context: .., dockerfile: docker/Dockerfile }</w:t>
            </w:r>
          </w:p>
          <w:p>
            <w:pPr>
              <w:spacing w:after="0" w:line="260"/>
              <w:jc w:val="left"/>
            </w:pPr>
            <w:r>
              <w:rPr>
                <w:rFonts w:ascii="Courier New" w:eastAsia="Courier New" w:hAnsi="Courier New"/>
                <w:color w:val="142840"/>
                <w:sz w:val="17"/>
                <w:szCs w:val="17"/>
              </w:rPr>
              <w:t xml:space="preserve">    command: celery -A config.celery beat --loglevel=info</w:t>
            </w:r>
          </w:p>
          <w:p>
            <w:pPr>
              <w:spacing w:after="0" w:line="260"/>
              <w:jc w:val="left"/>
            </w:pPr>
            <w:r>
              <w:rPr>
                <w:rFonts w:ascii="Courier New" w:eastAsia="Courier New" w:hAnsi="Courier New"/>
                <w:color w:val="142840"/>
                <w:sz w:val="17"/>
                <w:szCs w:val="17"/>
              </w:rPr>
              <w:t xml:space="preserve">    depends_on: { db: { condition: service_healthy }, redis: { ... } }</w:t>
            </w:r>
          </w:p>
          <w:p>
            <w:pPr>
              <w:spacing w:after="0" w:line="260"/>
              <w:jc w:val="left"/>
            </w:pPr>
            <w:r>
              <w:rPr>
                <w:rFonts w:ascii="Courier New" w:eastAsia="Courier New" w:hAnsi="Courier New"/>
                <w:color w:val="142840"/>
                <w:sz w:val="17"/>
                <w:szCs w:val="17"/>
              </w:rPr>
              <w:t xml:space="preserve"> </w:t>
            </w:r>
          </w:p>
          <w:p>
            <w:pPr>
              <w:spacing w:after="0" w:line="260"/>
              <w:jc w:val="left"/>
            </w:pPr>
            <w:r>
              <w:rPr>
                <w:rFonts w:ascii="Courier New" w:eastAsia="Courier New" w:hAnsi="Courier New"/>
                <w:color w:val="142840"/>
                <w:sz w:val="17"/>
                <w:szCs w:val="17"/>
              </w:rPr>
              <w:t xml:space="preserve"># config/settings/base.py — rendre la clé obligatoire en prod</w:t>
            </w:r>
          </w:p>
          <w:p>
            <w:pPr>
              <w:spacing w:after="0" w:line="260"/>
              <w:jc w:val="left"/>
            </w:pPr>
            <w:r>
              <w:rPr>
                <w:rFonts w:ascii="Courier New" w:eastAsia="Courier New" w:hAnsi="Courier New"/>
                <w:color w:val="142840"/>
                <w:sz w:val="17"/>
                <w:szCs w:val="17"/>
              </w:rPr>
              <w:t xml:space="preserve">SECRET_KEY = config("SECRET_KEY")  # plus de repli par défaut</w:t>
            </w:r>
          </w:p>
        </w:tc>
      </w:tr>
    </w:tbl>
    <w:p>
      <w:pPr>
        <w:spacing w:after="200" w:before="60" w:line="312"/>
      </w:pPr>
      <w:r>
        <w:rPr>
          <w:rFonts w:ascii="Times New Roman" w:eastAsia="Times New Roman" w:hAnsi="Times New Roman"/>
          <w:i/>
          <w:iCs/>
          <w:color w:val="5A7A96"/>
          <w:sz w:val="18"/>
          <w:szCs w:val="18"/>
        </w:rPr>
        <w:t xml:space="preserve">Code 1 — Gunicorn + Celery Beat + clé secrète obligatoire (extraits indicatifs)</w:t>
      </w:r>
    </w:p>
    <w:p>
      <w:pPr>
        <w:pStyle w:val="Heading2"/>
        <w:spacing w:after="140" w:before="280" w:line="312"/>
      </w:pPr>
      <w:bookmarkStart w:id="100023" w:name="_Toc100023"/>
      <w:r>
        <w:rPr>
          <w:rFonts w:ascii="Times New Roman" w:eastAsia="Times New Roman" w:hAnsi="Times New Roman"/>
          <w:b/>
          <w:bCs/>
          <w:color w:val="1A4A7A"/>
          <w:sz w:val="28"/>
          <w:szCs w:val="28"/>
        </w:rPr>
        <w:t xml:space="preserve">4.3 Conformité RGPD</w:t>
      </w:r>
      <w:bookmarkEnd w:id="100023"/>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traitement des données personnelles est globalement maîtrisé : le journal d'audit ne stocke aucune adresse IP, l'inscription collecte le strict nécessaire (nom, e-mail, organisation), les invitations expirent, et les données de démonstration sont fictives (lieux publics de Lomé). Sur les droits des personnes, l'accès et la rectification sont couverts par le profil utilisateur ; la portabilité est partiellement servie par le module Exports (données géographiques, pas les données de compte) ; l'</w:t>
      </w:r>
      <w:r>
        <w:rPr>
          <w:rFonts w:ascii="Times New Roman" w:eastAsia="Times New Roman" w:hAnsi="Times New Roman"/>
          <w:b/>
          <w:bCs/>
          <w:i w:val="false"/>
          <w:iCs w:val="false"/>
          <w:color w:val="000000"/>
          <w:sz w:val="24"/>
          <w:szCs w:val="24"/>
        </w:rPr>
        <w:t xml:space="preserve">effacement complet du compte est absent</w:t>
      </w:r>
      <w:r>
        <w:rPr>
          <w:rFonts w:ascii="Times New Roman" w:eastAsia="Times New Roman" w:hAnsi="Times New Roman"/>
          <w:b w:val="false"/>
          <w:bCs w:val="false"/>
          <w:i w:val="false"/>
          <w:iCs w:val="false"/>
          <w:color w:val="000000"/>
          <w:sz w:val="24"/>
          <w:szCs w:val="24"/>
        </w:rPr>
        <w:t xml:space="preserve"> — la suppression d'un utilisateur déclenche en cascade anonymisation (on_delete=SET_NULL) plutôt qu'effacement, ce qui est un choix défendable pour préserver la traçabilité mais doit être documenté dans une politique de confidentialité dédiée à la plateforme (celle de la vitrine ne couvre pas cet espace). Trois compléments sont recommandés : un parcours de suppression de compte dans la « zone de danger », une mention d'information à la création de compte (finalités, durées, contacts), et la programmation de la purge des jobs et fichiers expirés (ExportJob n'a pas de date d'expiration, contrairement au cahier des charges qui prévoit une expiration des fichiers exportés).</w:t>
      </w:r>
    </w:p>
    <w:p>
      <w:pPr>
        <w:pStyle w:val="Heading2"/>
        <w:spacing w:after="140" w:before="280" w:line="312"/>
      </w:pPr>
      <w:bookmarkStart w:id="100024" w:name="_Toc100024"/>
      <w:r>
        <w:rPr>
          <w:rFonts w:ascii="Times New Roman" w:eastAsia="Times New Roman" w:hAnsi="Times New Roman"/>
          <w:b/>
          <w:bCs/>
          <w:color w:val="1A4A7A"/>
          <w:sz w:val="28"/>
          <w:szCs w:val="28"/>
        </w:rPr>
        <w:t xml:space="preserve">4.4 Points forts de sécurité à préserver</w:t>
      </w:r>
      <w:bookmarkEnd w:id="100024"/>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L'audit souligne les acquis qui doivent être conservés tels quels : l'isolation multi-tenant appliquée sans exception (aucun queryset global non filtré constaté), les decorators de rôle refusant les écritures par 403 plutôt que par masquage d'interface, le journal d'audit alimenté par un helper centralisé résistant aux threads (nettoyage du thread-local en « finally »), les quotas serveur vérifiés avant toute création (cartes, couches, membres, stockage), le throttling de l'API (60/min anonyme, 600/min authentifié), la CSP stricte avec auto-hébergement intégral, la commande de démonstration qui génère des mots de passe aléatoires plutôt que de les coder en dur, et la tâche de récolte des jobs abandonnés — qui ne demandera qu'à être planifiée par un service Beat effectivement lancé.</w:t>
      </w:r>
    </w:p>
    <w:p>
      <w:pPr>
        <w:pStyle w:val="Heading1"/>
        <w:spacing w:after="180" w:before="400" w:line="312"/>
      </w:pPr>
      <w:bookmarkStart w:id="100025" w:name="_Toc100025"/>
      <w:r>
        <w:rPr>
          <w:rFonts w:ascii="Times New Roman" w:eastAsia="Times New Roman" w:hAnsi="Times New Roman"/>
          <w:b/>
          <w:bCs/>
          <w:color w:val="1A4A7A"/>
          <w:sz w:val="32"/>
          <w:szCs w:val="32"/>
        </w:rPr>
        <w:t xml:space="preserve">5. Qualité du code et tests</w:t>
      </w:r>
      <w:bookmarkEnd w:id="100025"/>
    </w:p>
    <w:p>
      <w:pPr>
        <w:pStyle w:val="Heading2"/>
        <w:spacing w:after="140" w:before="280" w:line="312"/>
      </w:pPr>
      <w:bookmarkStart w:id="100026" w:name="_Toc100026"/>
      <w:r>
        <w:rPr>
          <w:rFonts w:ascii="Times New Roman" w:eastAsia="Times New Roman" w:hAnsi="Times New Roman"/>
          <w:b/>
          <w:bCs/>
          <w:color w:val="1A4A7A"/>
          <w:sz w:val="28"/>
          <w:szCs w:val="28"/>
        </w:rPr>
        <w:t xml:space="preserve">5.1 Points forts à capitaliser</w:t>
      </w:r>
      <w:bookmarkEnd w:id="100026"/>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La qualité du code est le premier atout du projet. La suite de tests, exécutée par l'audit dans un environnement propre, compte </w:t>
      </w:r>
      <w:r>
        <w:rPr>
          <w:rFonts w:ascii="Times New Roman" w:eastAsia="Times New Roman" w:hAnsi="Times New Roman"/>
          <w:b/>
          <w:bCs/>
          <w:i w:val="false"/>
          <w:iCs w:val="false"/>
          <w:color w:val="000000"/>
          <w:sz w:val="24"/>
          <w:szCs w:val="24"/>
        </w:rPr>
        <w:t xml:space="preserve">391 tests tous réussis en 81 secondes</w:t>
      </w:r>
      <w:r>
        <w:rPr>
          <w:rFonts w:ascii="Times New Roman" w:eastAsia="Times New Roman" w:hAnsi="Times New Roman"/>
          <w:b w:val="false"/>
          <w:bCs w:val="false"/>
          <w:i w:val="false"/>
          <w:iCs w:val="false"/>
          <w:color w:val="000000"/>
          <w:sz w:val="24"/>
          <w:szCs w:val="24"/>
        </w:rPr>
        <w:t xml:space="preserve">, couvrant les modèles, les vues, les services d'import et d'analyse, les tâches Celery, les permissions et les middleware — soit environ 30 fichiers de test pour 3 303 instructions exécutables, avec une couverture mesurée à </w:t>
      </w:r>
      <w:r>
        <w:rPr>
          <w:rFonts w:ascii="Times New Roman" w:eastAsia="Times New Roman" w:hAnsi="Times New Roman"/>
          <w:b/>
          <w:bCs/>
          <w:i w:val="false"/>
          <w:iCs w:val="false"/>
          <w:color w:val="000000"/>
          <w:sz w:val="24"/>
          <w:szCs w:val="24"/>
        </w:rPr>
        <w:t xml:space="preserve">79,6 %, pile sur la cible « &gt; 80 % » du cahier des charges</w:t>
      </w:r>
      <w:r>
        <w:rPr>
          <w:rFonts w:ascii="Times New Roman" w:eastAsia="Times New Roman" w:hAnsi="Times New Roman"/>
          <w:b w:val="false"/>
          <w:bCs w:val="false"/>
          <w:i w:val="false"/>
          <w:iCs w:val="false"/>
          <w:color w:val="000000"/>
          <w:sz w:val="24"/>
          <w:szCs w:val="24"/>
        </w:rPr>
        <w:t xml:space="preserve">. L'architecture est homogène et lisible : séparation nette entre modèles, services (parsing d'import, géotraitement, génération d'exports) et tâches asynchrones ; annotations de requête anti-N+1 explicitement commentées ; pagination systématique des listes ; streaming du GeoJSON pour les couches volumineuses ; et des en-têtes de modules qui documentent les choix (pourquoi le thread-local est nettoyé en finally, pourquoi l'annotation remplace le COUNT par ligne). L'internationalisation est réelle : langue par défaut anglaise, bascule française, fichiers .po/.mo compilés, Rosetta réservé au staff pour la maintenance des traductions, contenus administrables bilingues via django-modeltranslation. Le JavaScript vanilla est structuré et compatible avec la CSP stricte — aucun script en ligne.</w:t>
      </w:r>
    </w:p>
    <w:p>
      <w:pPr>
        <w:pStyle w:val="Heading2"/>
        <w:spacing w:after="140" w:before="280" w:line="312"/>
      </w:pPr>
      <w:bookmarkStart w:id="100027" w:name="_Toc100027"/>
      <w:r>
        <w:rPr>
          <w:rFonts w:ascii="Times New Roman" w:eastAsia="Times New Roman" w:hAnsi="Times New Roman"/>
          <w:b/>
          <w:bCs/>
          <w:color w:val="1A4A7A"/>
          <w:sz w:val="28"/>
          <w:szCs w:val="28"/>
        </w:rPr>
        <w:t xml:space="preserve">5.2 Dette technique identifiée</w:t>
      </w:r>
      <w:bookmarkEnd w:id="100027"/>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Chaîne de service : </w:t>
      </w:r>
      <w:r>
        <w:rPr>
          <w:rFonts w:ascii="Times New Roman" w:eastAsia="Times New Roman" w:hAnsi="Times New Roman"/>
          <w:b w:val="false"/>
          <w:bCs w:val="false"/>
          <w:i w:val="false"/>
          <w:iCs w:val="false"/>
          <w:color w:val="000000"/>
          <w:sz w:val="24"/>
          <w:szCs w:val="24"/>
        </w:rPr>
        <w:t xml:space="preserve">runserver en CMD Docker, Gunicorn/Nginx absents, service Celery Beat absent du compose (cf. C1) ;</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Cache : </w:t>
      </w:r>
      <w:r>
        <w:rPr>
          <w:rFonts w:ascii="Times New Roman" w:eastAsia="Times New Roman" w:hAnsi="Times New Roman"/>
          <w:b w:val="false"/>
          <w:bCs w:val="false"/>
          <w:i w:val="false"/>
          <w:iCs w:val="false"/>
          <w:color w:val="000000"/>
          <w:sz w:val="24"/>
          <w:szCs w:val="24"/>
        </w:rPr>
        <w:t xml:space="preserve">CACHES non configuré — Redis n'est qu'un broker ; le throttling de connexion et l'aperçu des quotas s'exécutent en mémoire locale par processus, ce qui perd sa pertinence sous Gunicorn multi-processus ;</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Documentation API : </w:t>
      </w:r>
      <w:r>
        <w:rPr>
          <w:rFonts w:ascii="Times New Roman" w:eastAsia="Times New Roman" w:hAnsi="Times New Roman"/>
          <w:b w:val="false"/>
          <w:bCs w:val="false"/>
          <w:i w:val="false"/>
          <w:iCs w:val="false"/>
          <w:color w:val="000000"/>
          <w:sz w:val="24"/>
          <w:szCs w:val="24"/>
        </w:rPr>
        <w:t xml:space="preserve">aucun schéma OpenAPI (drf-spectacular absent) alors que le livrable 4 l'exige ;</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Rosetta monté sans condition d'environnement : </w:t>
      </w:r>
      <w:r>
        <w:rPr>
          <w:rFonts w:ascii="Times New Roman" w:eastAsia="Times New Roman" w:hAnsi="Times New Roman"/>
          <w:b w:val="false"/>
          <w:bCs w:val="false"/>
          <w:i w:val="false"/>
          <w:iCs w:val="false"/>
          <w:color w:val="000000"/>
          <w:sz w:val="24"/>
          <w:szCs w:val="24"/>
        </w:rPr>
        <w:t xml:space="preserve">l'application n'est utile qu'en développement et devrait être retirée de la configuration de production (accès limité au staff, mais surface inutile) ;</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Recherche : </w:t>
      </w:r>
      <w:r>
        <w:rPr>
          <w:rFonts w:ascii="Times New Roman" w:eastAsia="Times New Roman" w:hAnsi="Times New Roman"/>
          <w:b w:val="false"/>
          <w:bCs w:val="false"/>
          <w:i w:val="false"/>
          <w:iCs w:val="false"/>
          <w:color w:val="000000"/>
          <w:sz w:val="24"/>
          <w:szCs w:val="24"/>
        </w:rPr>
        <w:t xml:space="preserve">filtrage « icontains » (LIKE %…%) sur quatre modèles — fonctionnel mais sans index ni pertinence ; la recherche full-text PostgreSQL (SearchVector) est l'évolution naturelle une fois PostGIS en place ;</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Aucune chaîne CI/CD : </w:t>
      </w:r>
      <w:r>
        <w:rPr>
          <w:rFonts w:ascii="Times New Roman" w:eastAsia="Times New Roman" w:hAnsi="Times New Roman"/>
          <w:b w:val="false"/>
          <w:bCs w:val="false"/>
          <w:i w:val="false"/>
          <w:iCs w:val="false"/>
          <w:color w:val="000000"/>
          <w:sz w:val="24"/>
          <w:szCs w:val="24"/>
        </w:rPr>
        <w:t xml:space="preserve">les 391 tests ne sont exécutés nulle part de façon automatique ; pas de lock de dépendances ni de pip-audit ;</w:t>
      </w:r>
    </w:p>
    <w:p>
      <w:pPr>
        <w:pStyle w:val="ListParagraph"/>
        <w:numPr>
          <w:ilvl w:val="0"/>
          <w:numId w:val="1"/>
        </w:numPr>
        <w:spacing w:after="90" w:line="312"/>
        <w:jc w:val="left"/>
      </w:pPr>
      <w:r>
        <w:rPr>
          <w:rFonts w:ascii="Times New Roman" w:eastAsia="Times New Roman" w:hAnsi="Times New Roman"/>
          <w:b/>
          <w:bCs/>
          <w:i w:val="false"/>
          <w:iCs w:val="false"/>
          <w:color w:val="000000"/>
          <w:sz w:val="24"/>
          <w:szCs w:val="24"/>
        </w:rPr>
        <w:t xml:space="preserve">Fichiers d'export sans expiration : </w:t>
      </w:r>
      <w:r>
        <w:rPr>
          <w:rFonts w:ascii="Times New Roman" w:eastAsia="Times New Roman" w:hAnsi="Times New Roman"/>
          <w:b w:val="false"/>
          <w:bCs w:val="false"/>
          <w:i w:val="false"/>
          <w:iCs w:val="false"/>
          <w:color w:val="000000"/>
          <w:sz w:val="24"/>
          <w:szCs w:val="24"/>
        </w:rPr>
        <w:t xml:space="preserve">ExportJob prévoit une durée de vie dans le cahier des charges, absente du modèle — les fichiers générés s'accumulent indéfiniment sur le disque.</w:t>
      </w:r>
    </w:p>
    <w:p>
      <w:pPr>
        <w:pStyle w:val="Heading2"/>
        <w:spacing w:after="140" w:before="280" w:line="312"/>
      </w:pPr>
      <w:bookmarkStart w:id="100028" w:name="_Toc100028"/>
      <w:r>
        <w:rPr>
          <w:rFonts w:ascii="Times New Roman" w:eastAsia="Times New Roman" w:hAnsi="Times New Roman"/>
          <w:b/>
          <w:bCs/>
          <w:color w:val="1A4A7A"/>
          <w:sz w:val="28"/>
          <w:szCs w:val="28"/>
        </w:rPr>
        <w:t xml:space="preserve">5.3 Reproductibilité de l'environnement de test</w:t>
      </w:r>
      <w:bookmarkEnd w:id="100028"/>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Note d'audit utile à l'équipe : la suite de tests s'est exécutée sans modification du code grâce à l'option « SIG_DB_ENGINE=sqlite » prévue par le projet, sur la bibliothèque SpatiaLite. Ce choix de conception est bon pour la portabilité, mais il implique que la couverture de test certifiée par l'audit est une couverture SpatiaLite, non PostGIS : les fonctions spécifiques à PostGIS (ST_AsMVT, indexes GIST avancés, recherche plein texte) ne sont pas exercées par la suite. Lors de l'activation de PostgreSQL (recette puis production), il sera prudent d'exécuter la suite sur PostGIS également — idéalement via un job CI dédié — afin de figer ce point avant la mise en ligne. Par ailleurs, l'audit a constaté que la commande « makemigrations --check » ne détecte aucune divergence : les 32 migrations livrées sont complètes et déterministes, condition nécessaire à un premier déploiement serein.</w:t>
      </w:r>
    </w:p>
    <w:p>
      <w:pPr>
        <w:pStyle w:val="Heading1"/>
        <w:spacing w:after="180" w:before="400" w:line="312"/>
      </w:pPr>
      <w:bookmarkStart w:id="100029" w:name="_Toc100029"/>
      <w:r>
        <w:rPr>
          <w:rFonts w:ascii="Times New Roman" w:eastAsia="Times New Roman" w:hAnsi="Times New Roman"/>
          <w:b/>
          <w:bCs/>
          <w:color w:val="1A4A7A"/>
          <w:sz w:val="32"/>
          <w:szCs w:val="32"/>
        </w:rPr>
        <w:t xml:space="preserve">6. Plan d'action priorisé</w:t>
      </w:r>
      <w:bookmarkEnd w:id="100029"/>
    </w:p>
    <w:p>
      <w:pPr>
        <w:pStyle w:val="Heading2"/>
        <w:spacing w:after="140" w:before="280" w:line="312"/>
      </w:pPr>
      <w:bookmarkStart w:id="100030" w:name="_Toc100030"/>
      <w:r>
        <w:rPr>
          <w:rFonts w:ascii="Times New Roman" w:eastAsia="Times New Roman" w:hAnsi="Times New Roman"/>
          <w:b/>
          <w:bCs/>
          <w:color w:val="1A4A7A"/>
          <w:sz w:val="28"/>
          <w:szCs w:val="28"/>
        </w:rPr>
        <w:t xml:space="preserve">6.1 Vue d'ensemble des constats</w:t>
      </w:r>
      <w:bookmarkEnd w:id="100030"/>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Dix-sept constats ont été consignés, répartis en 2 critiques (chaîne de production et outils d'analyse manquants — tous deux bloquants pour la recette), 8 majeurs (nécessaires à l'exploitation conforme et à la monétisation) et 7 mineurs (qualité, UX et divergences de modèle assumables). La figure 3 illustre cette répartition. Chaque action est estimée en taille d'effort : S (demi-journée au plus), M (un à deux jours), L (trois jours et plus), en développeur confirmé Django/GeoDjango.</w:t>
      </w:r>
    </w:p>
    <w:p>
      <w:pPr>
        <w:keepNext/>
        <w:spacing w:after="40" w:before="120"/>
        <w:jc w:val="center"/>
      </w:pPr>
      <w:r>
        <w:drawing>
          <wp:inline distT="0" distB="0" distL="0" distR="0">
            <wp:extent cx="4476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238375"/>
                    </a:xfrm>
                    <a:prstGeom prst="rect">
                      <a:avLst/>
                    </a:prstGeom>
                  </pic:spPr>
                </pic:pic>
              </a:graphicData>
            </a:graphic>
          </wp:inline>
        </w:drawing>
      </w:r>
    </w:p>
    <w:p>
      <w:pPr>
        <w:spacing w:after="220" w:before="60" w:line="312"/>
        <w:jc w:val="center"/>
      </w:pPr>
      <w:r>
        <w:rPr>
          <w:rFonts w:ascii="Times New Roman" w:eastAsia="Times New Roman" w:hAnsi="Times New Roman"/>
          <w:i/>
          <w:iCs/>
          <w:color w:val="5A7A96"/>
          <w:sz w:val="18"/>
          <w:szCs w:val="18"/>
        </w:rPr>
        <w:t xml:space="preserve">Figure 3 — Répartition des 17 constats par gravité</w:t>
      </w:r>
    </w:p>
    <w:p>
      <w:pPr>
        <w:pStyle w:val="Heading2"/>
        <w:spacing w:after="140" w:before="280" w:line="312"/>
      </w:pPr>
      <w:bookmarkStart w:id="100031" w:name="_Toc100031"/>
      <w:r>
        <w:rPr>
          <w:rFonts w:ascii="Times New Roman" w:eastAsia="Times New Roman" w:hAnsi="Times New Roman"/>
          <w:b/>
          <w:bCs/>
          <w:color w:val="1A4A7A"/>
          <w:sz w:val="28"/>
          <w:szCs w:val="28"/>
        </w:rPr>
        <w:t xml:space="preserve">6.2 Actions critiques — à traiter avant toute recette</w:t>
      </w:r>
      <w:bookmarkEnd w:id="100031"/>
    </w:p>
    <w:p>
      <w:pPr>
        <w:keepNext/>
        <w:spacing w:after="90" w:before="160" w:line="312"/>
      </w:pPr>
      <w:r>
        <w:rPr>
          <w:rFonts w:ascii="Times New Roman" w:eastAsia="Times New Roman" w:hAnsi="Times New Roman"/>
          <w:b/>
          <w:bCs/>
          <w:color w:val="1A4A7A"/>
          <w:sz w:val="20"/>
          <w:szCs w:val="20"/>
        </w:rPr>
        <w:t xml:space="preserve">Tableau 8 — Actions critiques (C1 à C2)</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gridCol w:w="100"/>
      </w:tblGrid>
      <w:tr>
        <w:trPr>
          <w:cantSplit/>
          <w:tblHeader/>
        </w:trPr>
        <w:tc>
          <w:tcPr>
            <w:tcW w:type="pct" w:w="7%"/>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N°</w:t>
            </w:r>
          </w:p>
        </w:tc>
        <w:tc>
          <w:tcPr>
            <w:tcW w:type="pct" w:w="68%"/>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Action</w:t>
            </w:r>
          </w:p>
        </w:tc>
        <w:tc>
          <w:tcPr>
            <w:tcW w:type="pct" w:w="13%"/>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Module</w:t>
            </w:r>
          </w:p>
        </w:tc>
        <w:tc>
          <w:tcPr>
            <w:tcW w:type="pct" w:w="12%"/>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Effort</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C1</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Construire la chaîne de production exigée : Gunicorn en CMD du Dockerfile (Code 1), service Celery Beat dans le compose, Nginx en reverse proxy, SECRET_KEY obligatoire (retrait du repli « django-insecure-change-me »), procédure de sauvegarde/restauration quotidienne (pg_dump + test de restauration) documentée et testée</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devops</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C2</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Compléter le module Analyses spatiales : requête spatiale (intersecte / contient / est dans — primitives GEOS/GeoDjango existantes), calcul de surfaces et périmètres (aire/périmètre en UTM), puis isochrone (décision d'architecture : pgRouting sur PostGIS ou service OSRM/Valhalla à ajouter au compose)</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spatial_analysis</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w:t>
            </w:r>
          </w:p>
        </w:tc>
      </w:tr>
    </w:tbl>
    <w:p>
      <w:pPr>
        <w:spacing w:after="220" w:before="60" w:line="312"/>
        <w:jc w:val="center"/>
      </w:pPr>
      <w:r>
        <w:rPr>
          <w:rFonts w:ascii="Times New Roman" w:eastAsia="Times New Roman" w:hAnsi="Times New Roman"/>
          <w:i/>
          <w:iCs/>
          <w:color w:val="5A7A96"/>
          <w:sz w:val="18"/>
          <w:szCs w:val="18"/>
        </w:rPr>
        <w:t xml:space="preserve">Actions critiques — effort cumulé estimé : 7 à 11 jours-homme</w:t>
      </w:r>
    </w:p>
    <w:p>
      <w:pPr>
        <w:pStyle w:val="Heading2"/>
        <w:spacing w:after="140" w:before="280" w:line="312"/>
      </w:pPr>
      <w:bookmarkStart w:id="100032" w:name="_Toc100032"/>
      <w:r>
        <w:rPr>
          <w:rFonts w:ascii="Times New Roman" w:eastAsia="Times New Roman" w:hAnsi="Times New Roman"/>
          <w:b/>
          <w:bCs/>
          <w:color w:val="1A4A7A"/>
          <w:sz w:val="28"/>
          <w:szCs w:val="28"/>
        </w:rPr>
        <w:t xml:space="preserve">6.3 Actions majeures — nécessaires à l'exploitation et à la monétisation</w:t>
      </w:r>
      <w:bookmarkEnd w:id="100032"/>
    </w:p>
    <w:p>
      <w:pPr>
        <w:keepNext/>
        <w:spacing w:after="90" w:before="160" w:line="312"/>
      </w:pPr>
      <w:r>
        <w:rPr>
          <w:rFonts w:ascii="Times New Roman" w:eastAsia="Times New Roman" w:hAnsi="Times New Roman"/>
          <w:b/>
          <w:bCs/>
          <w:color w:val="1A4A7A"/>
          <w:sz w:val="20"/>
          <w:szCs w:val="20"/>
        </w:rPr>
        <w:t xml:space="preserve">Tableau 9 — Actions majeures (M1 à M8)</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gridCol w:w="100"/>
      </w:tblGrid>
      <w:tr>
        <w:trPr>
          <w:cantSplit/>
          <w:tblHeader/>
        </w:trPr>
        <w:tc>
          <w:tcPr>
            <w:tcW w:type="pct" w:w="7%"/>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N°</w:t>
            </w:r>
          </w:p>
        </w:tc>
        <w:tc>
          <w:tcPr>
            <w:tcW w:type="pct" w:w="68%"/>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Action</w:t>
            </w:r>
          </w:p>
        </w:tc>
        <w:tc>
          <w:tcPr>
            <w:tcW w:type="pct" w:w="13%"/>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Module</w:t>
            </w:r>
          </w:p>
        </w:tc>
        <w:tc>
          <w:tcPr>
            <w:tcW w:type="pct" w:w="12%"/>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Effort</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M1</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Intégrer le paiement exigé (Stripe ou Flutterwave) : session de paiement/webhook signature vérifiée, bascule de plan uniquement après paiement, gestion du moyen de paiement et renouvellement ; modéliser l'entité Subscription (dates, statut) si nécessaire</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subscriptions</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M2</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Compléter l'API REST : djangorestframework-gis (sérialisation GeoJSON des géométries), endpoints d'écriture selon les besoins, documentation Swagger/ReDoc via drf-spectacular (livrable 4)</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api</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M3</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Activer la performance exigée : CACHES Redis (throttling, sessions, données fréquentes), génération de tuiles vectorielles ST_AsMVT avec cache, pagination/limit du GeoJSON, GZip + Whitenoise + ManifestStaticFilesStorage ; benchmarker les KPI (100 000 entités, import 10 000, analyse 10 000)</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maps / perf</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M4</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Réinitialisation de mot de passe par e-mail + SMTP réel (SendGrid ou SMTP) pour les invitations, notifications et resets ; relier le backend e-mail aux réglages par environnement</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accounts / email</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M5</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Brancher le centre de notifications sur les événements métier (invitation, import réussi/échoué, export prêt, analyse terminée, partage) et créer l'onglet Notifications des Paramètres (e-mail, push, alertes projets/partages/système)</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notifications</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M6</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Intégrer le monitoring exigé : Sentry (erreurs), Prometheus + Grafana (métriques), avec LOGGING Django structuré en production ; statistiques d'usage Matomo en option consentie</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observabilité</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M7</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Renforcer l'authentification : 2FA en option (TOTP), exigence de classes de caractères du mot de passe (majuscule, minuscule, chiffre, spécial), consultation des sessions actives + déconnexion à distance, parcours de suppression de compte (zone de danger)</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accounts</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M8</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Livrer les intégrations manquantes du découpage : application webhooks (événements sortants signés), stockage objet S3/OVH (django-storages) pour imports/exports, et documenter l'alignement du découpage réel (17 apps) avec les 26 apps du CDC</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intégrations</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w:t>
            </w:r>
          </w:p>
        </w:tc>
      </w:tr>
    </w:tbl>
    <w:p>
      <w:pPr>
        <w:spacing w:after="220" w:before="60" w:line="312"/>
        <w:jc w:val="center"/>
      </w:pPr>
      <w:r>
        <w:rPr>
          <w:rFonts w:ascii="Times New Roman" w:eastAsia="Times New Roman" w:hAnsi="Times New Roman"/>
          <w:i/>
          <w:iCs/>
          <w:color w:val="5A7A96"/>
          <w:sz w:val="18"/>
          <w:szCs w:val="18"/>
        </w:rPr>
        <w:t xml:space="preserve">Actions majeures — effort cumulé estimé : 16 à 23 jours-homme</w:t>
      </w:r>
    </w:p>
    <w:p>
      <w:pPr>
        <w:pStyle w:val="Heading2"/>
        <w:spacing w:after="140" w:before="280" w:line="312"/>
      </w:pPr>
      <w:bookmarkStart w:id="100033" w:name="_Toc100033"/>
      <w:r>
        <w:rPr>
          <w:rFonts w:ascii="Times New Roman" w:eastAsia="Times New Roman" w:hAnsi="Times New Roman"/>
          <w:b/>
          <w:bCs/>
          <w:color w:val="1A4A7A"/>
          <w:sz w:val="28"/>
          <w:szCs w:val="28"/>
        </w:rPr>
        <w:t xml:space="preserve">6.4 Actions mineures — qualité et divergences à assumer</w:t>
      </w:r>
      <w:bookmarkEnd w:id="100033"/>
    </w:p>
    <w:p>
      <w:pPr>
        <w:keepNext/>
        <w:spacing w:after="90" w:before="160" w:line="312"/>
      </w:pPr>
      <w:r>
        <w:rPr>
          <w:rFonts w:ascii="Times New Roman" w:eastAsia="Times New Roman" w:hAnsi="Times New Roman"/>
          <w:b/>
          <w:bCs/>
          <w:color w:val="1A4A7A"/>
          <w:sz w:val="20"/>
          <w:szCs w:val="20"/>
        </w:rPr>
        <w:t xml:space="preserve">Tableau 10 — Actions mineures (m1 à m7)</w:t>
      </w:r>
    </w:p>
    <w:tbl>
      <w:tblPr>
        <w:tblW w:type="pct" w:w="100%"/>
        <w:tblBorders>
          <w:top w:val="single" w:color="1A4A7A" w:sz="6"/>
          <w:left w:val="none" w:color="FFFFFF" w:sz="0"/>
          <w:bottom w:val="single" w:color="1A4A7A" w:sz="6"/>
          <w:right w:val="none" w:color="FFFFFF" w:sz="0"/>
          <w:insideH w:val="single" w:color="C0D0E2" w:sz="2"/>
          <w:insideV w:val="none" w:color="FFFFFF" w:sz="0"/>
        </w:tblBorders>
        <w:tblLayout w:type="fixed"/>
      </w:tblPr>
      <w:tblGrid>
        <w:gridCol w:w="100"/>
        <w:gridCol w:w="100"/>
        <w:gridCol w:w="100"/>
        <w:gridCol w:w="100"/>
      </w:tblGrid>
      <w:tr>
        <w:trPr>
          <w:cantSplit/>
          <w:tblHeader/>
        </w:trPr>
        <w:tc>
          <w:tcPr>
            <w:tcW w:type="pct" w:w="7%"/>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N°</w:t>
            </w:r>
          </w:p>
        </w:tc>
        <w:tc>
          <w:tcPr>
            <w:tcW w:type="pct" w:w="68%"/>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Action</w:t>
            </w:r>
          </w:p>
        </w:tc>
        <w:tc>
          <w:tcPr>
            <w:tcW w:type="pct" w:w="13%"/>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Module</w:t>
            </w:r>
          </w:p>
        </w:tc>
        <w:tc>
          <w:tcPr>
            <w:tcW w:type="pct" w:w="12%"/>
            <w:shd w:fill="1A4A7A" w:val="clear"/>
            <w:tcMar>
              <w:top w:type="dxa" w:w="70"/>
              <w:left w:type="dxa" w:w="110"/>
              <w:bottom w:type="dxa" w:w="70"/>
              <w:right w:type="dxa" w:w="110"/>
            </w:tcMar>
            <w:vAlign w:val="center"/>
          </w:tcPr>
          <w:p>
            <w:pPr>
              <w:spacing w:after="20" w:line="276"/>
              <w:jc w:val="left"/>
            </w:pPr>
            <w:r>
              <w:rPr>
                <w:rFonts w:ascii="Times New Roman" w:eastAsia="Times New Roman" w:hAnsi="Times New Roman"/>
                <w:b/>
                <w:bCs/>
                <w:i w:val="false"/>
                <w:iCs w:val="false"/>
                <w:color w:val="FFFFFF"/>
                <w:sz w:val="20"/>
                <w:szCs w:val="20"/>
              </w:rPr>
              <w:t xml:space="preserve">Effort</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m1</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Import : aperçu des premières lignes avant validation, case « remplacer les données existantes ou créer une couche », progression fine du job (% traité)</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data_import</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m2</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Exports : choix de projection (WGS 84 / Web Mercator / UTM), options avancées (attributs, légende, qualité, filtre spatial) et expiration des fichiers générés</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exports</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m3</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Cartes : trancher les statuts (public/privé/partagé/brouillon du CDC vs brouillon/publié/archivé livrés) et implémenter le partage si retenu ; aligner contractuellement</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maps</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m4</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Collaborateurs : statut en ligne/hors ligne (dernière activité), filtre par statut exigé par le CDC</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teams</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m5</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Recherche full-text PostgreSQL (SearchVector/trigram) à la place de « icontains », une fois PostGIS actif</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search</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r>
        <w:trPr>
          <w:cantSplit/>
        </w:trPr>
        <w:tc>
          <w:tcPr>
            <w:tcW w:type="pct" w:w="7%"/>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m6</w:t>
            </w:r>
          </w:p>
        </w:tc>
        <w:tc>
          <w:tcPr>
            <w:tcW w:type="pct" w:w="68%"/>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Organization : ajouter e-mail, téléphone et adresse prévus au § 4.4 du CDC (fiche organisation éditable)</w:t>
            </w:r>
          </w:p>
        </w:tc>
        <w:tc>
          <w:tcPr>
            <w:tcW w:type="pct" w:w="13%"/>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organizations</w:t>
            </w:r>
          </w:p>
        </w:tc>
        <w:tc>
          <w:tcPr>
            <w:tcW w:type="pct" w:w="12%"/>
            <w:shd w:fill="EEF3FA"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r>
        <w:trPr>
          <w:cantSplit/>
        </w:trPr>
        <w:tc>
          <w:tcPr>
            <w:tcW w:type="pct" w:w="7%"/>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m7</w:t>
            </w:r>
          </w:p>
        </w:tc>
        <w:tc>
          <w:tcPr>
            <w:tcW w:type="pct" w:w="68%"/>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Hygiène : conditionner Rosetta à DEBUG, verrouiller les dépendances (lock + pip-audit en CI), CI exécutant les 391 tests sur SQLite et PostGIS</w:t>
            </w:r>
          </w:p>
        </w:tc>
        <w:tc>
          <w:tcPr>
            <w:tcW w:type="pct" w:w="13%"/>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qualité</w:t>
            </w:r>
          </w:p>
        </w:tc>
        <w:tc>
          <w:tcPr>
            <w:tcW w:type="pct" w:w="12%"/>
            <w:shd w:fill="FFFFFF" w:val="clear"/>
            <w:tcMar>
              <w:top w:type="dxa" w:w="60"/>
              <w:left w:type="dxa" w:w="110"/>
              <w:bottom w:type="dxa" w:w="60"/>
              <w:right w:type="dxa" w:w="110"/>
            </w:tcMar>
            <w:vAlign w:val="center"/>
          </w:tcPr>
          <w:p>
            <w:pPr>
              <w:spacing w:after="20" w:line="276"/>
              <w:jc w:val="left"/>
            </w:pPr>
            <w:r>
              <w:rPr>
                <w:rFonts w:ascii="Times New Roman" w:eastAsia="Times New Roman" w:hAnsi="Times New Roman"/>
                <w:b w:val="false"/>
                <w:bCs w:val="false"/>
                <w:i w:val="false"/>
                <w:iCs w:val="false"/>
                <w:color w:val="000000"/>
                <w:sz w:val="18"/>
                <w:szCs w:val="18"/>
              </w:rPr>
              <w:t xml:space="preserve">S</w:t>
            </w:r>
          </w:p>
        </w:tc>
      </w:tr>
    </w:tbl>
    <w:p>
      <w:pPr>
        <w:spacing w:after="220" w:before="60" w:line="312"/>
        <w:jc w:val="center"/>
      </w:pPr>
      <w:r>
        <w:rPr>
          <w:rFonts w:ascii="Times New Roman" w:eastAsia="Times New Roman" w:hAnsi="Times New Roman"/>
          <w:i/>
          <w:iCs/>
          <w:color w:val="5A7A96"/>
          <w:sz w:val="18"/>
          <w:szCs w:val="18"/>
        </w:rPr>
        <w:t xml:space="preserve">Actions mineures — effort cumulé estimé : 6 à 8 jours-homme</w:t>
      </w:r>
    </w:p>
    <w:p>
      <w:pPr>
        <w:pStyle w:val="Heading2"/>
        <w:spacing w:after="140" w:before="280" w:line="312"/>
      </w:pPr>
      <w:bookmarkStart w:id="100034" w:name="_Toc100034"/>
      <w:r>
        <w:rPr>
          <w:rFonts w:ascii="Times New Roman" w:eastAsia="Times New Roman" w:hAnsi="Times New Roman"/>
          <w:b/>
          <w:bCs/>
          <w:color w:val="1A4A7A"/>
          <w:sz w:val="28"/>
          <w:szCs w:val="28"/>
        </w:rPr>
        <w:t xml:space="preserve">6.5 Séquencement recommandé</w:t>
      </w:r>
      <w:bookmarkEnd w:id="100034"/>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Séquence 1 (une à deux semaines) : C1, qui transforme le livrable en plateforme déployable (Gunicorn, Beat, Nginx, sauvegardes, clé obligatoire), accompagné de M4 — sans e-mail transactionnel ni reset de mot de passe, l'exploitation réelle est fragile. Séquence 2 (deux semaines) : C2, en commençant par la requête spatiale et le calcul de surfaces (rapides sur les primitives existantes) avant l'isochrone, qui demande un choix d'architecture (pgRouting ou OSRM) à arbitrer avec le donneur d'ordre. Séquence 3 (deux à trois semaines) : M1 (paiement), M2 (API + Swagger) et M3 (cache, MVT, benchmarks des KPI). Séquence 4 (deux semaines) : M5 à M8 et les actions mineures, avant la recette complète. L'effort total — 29 à 41 jours-homme — reste compatible avec le planning global du cahier des charges (26 semaines), dont les phases « tests et recette » et « déploiement et formation » n'ont pas encore été consommées ; en revanche, la mise en production ne doit pas être prononcée avant l'achèvement des séquences 1 et 2.</w:t>
      </w:r>
    </w:p>
    <w:p>
      <w:pPr>
        <w:pStyle w:val="Heading1"/>
        <w:spacing w:after="180" w:before="400" w:line="312"/>
      </w:pPr>
      <w:bookmarkStart w:id="100035" w:name="_Toc100035"/>
      <w:r>
        <w:rPr>
          <w:rFonts w:ascii="Times New Roman" w:eastAsia="Times New Roman" w:hAnsi="Times New Roman"/>
          <w:b/>
          <w:bCs/>
          <w:color w:val="1A4A7A"/>
          <w:sz w:val="32"/>
          <w:szCs w:val="32"/>
        </w:rPr>
        <w:t xml:space="preserve">7. Conclusion</w:t>
      </w:r>
      <w:bookmarkEnd w:id="100035"/>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SIG Platform n'est pas un projet à redresser : c'est un projet </w:t>
      </w:r>
      <w:r>
        <w:rPr>
          <w:rFonts w:ascii="Times New Roman" w:eastAsia="Times New Roman" w:hAnsi="Times New Roman"/>
          <w:b/>
          <w:bCs/>
          <w:i w:val="false"/>
          <w:iCs w:val="false"/>
          <w:color w:val="000000"/>
          <w:sz w:val="24"/>
          <w:szCs w:val="24"/>
        </w:rPr>
        <w:t xml:space="preserve">à 68 % conforme</w:t>
      </w:r>
      <w:r>
        <w:rPr>
          <w:rFonts w:ascii="Times New Roman" w:eastAsia="Times New Roman" w:hAnsi="Times New Roman"/>
          <w:b w:val="false"/>
          <w:bCs w:val="false"/>
          <w:i w:val="false"/>
          <w:iCs w:val="false"/>
          <w:color w:val="000000"/>
          <w:sz w:val="24"/>
          <w:szCs w:val="24"/>
        </w:rPr>
        <w:t xml:space="preserve"> dont la fondation — la partie la plus difficile à rattraper ensuite — est excellente. Multi-tenant réellement appliqué, rôles contrôlés côté serveur, journal d'audit, quotas incompressibles, CSP stricte sans CDN, 391 tests verts avec 80 % de couverture, configuration de production qui passe « check --deploy » sans un seul avertissement, conteneurisation PostGIS/Redis/Celery fonctionnelle : ces acquis placent la plateforme bien au-dessus de l'état dans lequel se trouvait la vitrine lors de son premier audit, et témoignent d'une équipe qui a intégré les recommandations de la première passe.</w:t>
      </w:r>
    </w:p>
    <w:p>
      <w:pPr>
        <w:keepNext w:val="false"/>
        <w:spacing w:after="140" w:line="312"/>
        <w:jc w:val="both"/>
      </w:pPr>
      <w:r>
        <w:rPr>
          <w:rFonts w:ascii="Times New Roman" w:eastAsia="Times New Roman" w:hAnsi="Times New Roman"/>
          <w:b w:val="false"/>
          <w:bCs w:val="false"/>
          <w:i w:val="false"/>
          <w:iCs w:val="false"/>
          <w:color w:val="000000"/>
          <w:sz w:val="24"/>
          <w:szCs w:val="24"/>
        </w:rPr>
        <w:t xml:space="preserve">Le verdict est </w:t>
      </w:r>
      <w:r>
        <w:rPr>
          <w:rFonts w:ascii="Times New Roman" w:eastAsia="Times New Roman" w:hAnsi="Times New Roman"/>
          <w:b/>
          <w:bCs/>
          <w:i w:val="false"/>
          <w:iCs w:val="false"/>
          <w:color w:val="000000"/>
          <w:sz w:val="24"/>
          <w:szCs w:val="24"/>
        </w:rPr>
        <w:t xml:space="preserve">« favorable, sous conditions »</w:t>
      </w:r>
      <w:r>
        <w:rPr>
          <w:rFonts w:ascii="Times New Roman" w:eastAsia="Times New Roman" w:hAnsi="Times New Roman"/>
          <w:b w:val="false"/>
          <w:bCs w:val="false"/>
          <w:i w:val="false"/>
          <w:iCs w:val="false"/>
          <w:color w:val="000000"/>
          <w:sz w:val="24"/>
          <w:szCs w:val="24"/>
        </w:rPr>
        <w:t xml:space="preserve"> : la recette peut démarrer après les deux actions critiques (chaîne de production C1, outils d'analyse manquants C2), et la mise en production commerciale — celle qui encaisse des paiements et héberge des données clientes — exige en outre les intégrations majeures (paiement M1, e-mails M4, cache et performance M3, monitoring M6). Aucun de ces chantiers ne remet en cause l'architecture : ils sont périphériques au noyau métier, qui est déjà solide. Avec 29 à 41 jours-homme de remise à niveau et un planning de 26 semaines qui prévoyait justement ces phases, l'équipe dispose de la marge nécessaire pour livrer une plateforme conforme au cahier des charges N°2 — puissante, sécurisée et prête à porter les ambitions de SIG.tg.</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Times New Roman" w:hAns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Times New Roman" w:hAns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DA8DA" w:sz="4" w:space="4"/>
      </w:pBdr>
      <w:spacing w:after="0" w:line="240"/>
      <w:jc w:val="right"/>
    </w:pPr>
    <w:r>
      <w:rPr>
        <w:rFonts w:ascii="Times New Roman" w:eastAsia="Times New Roman" w:hAnsi="Times New Roman"/>
        <w:color w:val="808080"/>
        <w:sz w:val="16"/>
        <w:szCs w:val="16"/>
      </w:rPr>
      <w:t xml:space="preserve">Audit technique — SIG Platform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DA8DA" w:sz="4" w:space="4"/>
      </w:pBdr>
      <w:spacing w:after="0" w:line="240"/>
      <w:jc w:val="right"/>
    </w:pPr>
    <w:r>
      <w:rPr>
        <w:rFonts w:ascii="Times New Roman" w:eastAsia="Times New Roman" w:hAnsi="Times New Roman"/>
        <w:color w:val="808080"/>
        <w:sz w:val="16"/>
        <w:szCs w:val="16"/>
      </w:rPr>
      <w:t xml:space="preserve">Audit technique — SIG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line="312"/>
      <w:outlineLvl w:val="0"/>
    </w:pPr>
    <w:rPr>
      <w:rFonts w:ascii="Times New Roman" w:eastAsia="Times New Roman" w:hAnsi="Times New Roman"/>
      <w:b/>
      <w:bCs/>
      <w:color w:val="1A4A7A"/>
      <w:sz w:val="32"/>
      <w:szCs w:val="32"/>
    </w:rPr>
  </w:style>
  <w:style w:type="paragraph" w:styleId="Heading2">
    <w:name w:val="Heading 2"/>
    <w:basedOn w:val="Normal"/>
    <w:next w:val="Normal"/>
    <w:qFormat/>
    <w:pPr>
      <w:spacing w:after="140" w:before="280" w:line="312"/>
      <w:outlineLvl w:val="1"/>
    </w:pPr>
    <w:rPr>
      <w:rFonts w:ascii="Times New Roman" w:eastAsia="Times New Roman" w:hAnsi="Times New Roman"/>
      <w:b/>
      <w:bCs/>
      <w:color w:val="1A4A7A"/>
      <w:sz w:val="28"/>
      <w:szCs w:val="28"/>
    </w:rPr>
  </w:style>
  <w:style w:type="paragraph" w:styleId="Heading3">
    <w:name w:val="Heading 3"/>
    <w:basedOn w:val="Normal"/>
    <w:next w:val="Normal"/>
    <w:qFormat/>
    <w:pPr>
      <w:spacing w:after="110" w:before="220" w:line="312"/>
      <w:outlineLvl w:val="2"/>
    </w:pPr>
    <w:rPr>
      <w:rFonts w:ascii="Times New Roman" w:eastAsia="Times New Roman" w:hAnsi="Times New Roman"/>
      <w:b/>
      <w:bCs/>
      <w:color w:val="14284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465b0c7a879d4bd2958a06a36960fbfe54f22f62.png"/><Relationship Id="rId12" Type="http://schemas.openxmlformats.org/officeDocument/2006/relationships/image" Target="media/550314ff88d2b4ba5586aa586d24a9971a150889.png"/><Relationship Id="rId13" Type="http://schemas.openxmlformats.org/officeDocument/2006/relationships/image" Target="media/7f3a1223151d658c17f26d0638f6cbf3d92a2e2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d'audit technique — SIG Platform</dc:title>
  <dc:creator>Z.ai</dc:creator>
  <dc:description>Audit de conformité au cahier des charges N°2, sécurité OWASP et qualité logicielle — SIG.tg</dc:description>
  <cp:lastModifiedBy>Un-named</cp:lastModifiedBy>
  <cp:revision>1</cp:revision>
  <dcterms:created xsi:type="dcterms:W3CDTF">2026-09-18T07:13:54.120Z</dcterms:created>
  <dcterms:modified xsi:type="dcterms:W3CDTF">2026-09-18T07:13:54.122Z</dcterms:modified>
</cp:coreProperties>
</file>

<file path=docProps/custom.xml><?xml version="1.0" encoding="utf-8"?>
<Properties xmlns="http://schemas.openxmlformats.org/officeDocument/2006/custom-properties" xmlns:vt="http://schemas.openxmlformats.org/officeDocument/2006/docPropsVTypes"/>
</file>