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A1628" w:val="clear"/>
            <w:vAlign w:val="top"/>
          </w:tcPr>
          <w:p>
            <w:pPr>
              <w:spacing w:before="4596"/>
            </w:pPr>
          </w:p>
          <w:p>
            <w:pPr>
              <w:pBdr>
                <w:bottom w:val="single" w:color="4DA8DA" w:sz="6" w:space="8"/>
              </w:pBdr>
              <w:spacing w:after="500"/>
              <w:ind w:left="1200" w:right="800"/>
            </w:pPr>
            <w:r>
              <w:rPr>
                <w:rFonts w:ascii="Times New Roman" w:eastAsia="Times New Roman" w:hAnsi="Times New Roman"/>
                <w:color w:val="4DA8DA"/>
                <w:spacing w:val="40"/>
                <w:sz w:val="18"/>
                <w:szCs w:val="18"/>
              </w:rPr>
              <w:t xml:space="preserve">R A P P O R T   D ' A U D I T   T E C H N I Q U E</w:t>
            </w:r>
          </w:p>
          <w:p>
            <w:pPr>
              <w:spacing w:after="300" w:line="920" w:lineRule="atLeast"/>
              <w:ind w:left="1200"/>
            </w:pPr>
            <w:r>
              <w:rPr>
                <w:rFonts w:ascii="Times New Roman" w:eastAsia="Times New Roman" w:hAnsi="Times New Roman"/>
                <w:b/>
                <w:bCs/>
                <w:color w:val="E8F0F8"/>
                <w:sz w:val="80"/>
                <w:szCs w:val="80"/>
              </w:rPr>
              <w:t xml:space="preserve">SIG WEB SITE</w:t>
            </w:r>
          </w:p>
          <w:p>
            <w:pPr>
              <w:spacing w:after="800" w:line="340"/>
              <w:ind w:left="1200" w:right="800"/>
            </w:pPr>
            <w:r>
              <w:rPr>
                <w:rFonts w:ascii="Times New Roman" w:eastAsia="Times New Roman" w:hAnsi="Times New Roman"/>
                <w:color w:val="9FB6C9"/>
                <w:sz w:val="24"/>
                <w:szCs w:val="24"/>
              </w:rPr>
              <w:t xml:space="preserve">Audit de conformité au cahier des charges, audit de sécurité OWASP et qualité logicielle de la vitrine publique de la plateforme SIG.tg</w:t>
            </w:r>
          </w:p>
          <w:p>
            <w:pPr>
              <w:pBdr>
                <w:left w:val="single" w:color="4DA8DA" w:sz="8" w:space="12"/>
              </w:pBdr>
              <w:spacing w:after="80"/>
              <w:ind w:left="1400"/>
            </w:pPr>
            <w:r>
              <w:rPr>
                <w:rFonts w:ascii="Times New Roman" w:eastAsia="Times New Roman" w:hAnsi="Times New Roman"/>
                <w:color w:val="B8C9D9"/>
                <w:sz w:val="22"/>
                <w:szCs w:val="22"/>
              </w:rPr>
              <w:t xml:space="preserve">Projet : SIG.tg — site vitrine institutionnel (sig-web-site, Django 5.2)</w:t>
            </w:r>
          </w:p>
          <w:p>
            <w:pPr>
              <w:pBdr>
                <w:left w:val="single" w:color="4DA8DA" w:sz="8" w:space="12"/>
              </w:pBdr>
              <w:spacing w:after="80"/>
              <w:ind w:left="1400"/>
            </w:pPr>
            <w:r>
              <w:rPr>
                <w:rFonts w:ascii="Times New Roman" w:eastAsia="Times New Roman" w:hAnsi="Times New Roman"/>
                <w:color w:val="B8C9D9"/>
                <w:sz w:val="22"/>
                <w:szCs w:val="22"/>
              </w:rPr>
              <w:t xml:space="preserve">Référentiel : Cahier des charges « SIG WEB SITE » — 11 pages exigées</w:t>
            </w:r>
          </w:p>
          <w:p>
            <w:pPr>
              <w:pBdr>
                <w:left w:val="single" w:color="4DA8DA" w:sz="8" w:space="12"/>
              </w:pBdr>
              <w:spacing w:after="80"/>
              <w:ind w:left="1400"/>
            </w:pPr>
            <w:r>
              <w:rPr>
                <w:rFonts w:ascii="Times New Roman" w:eastAsia="Times New Roman" w:hAnsi="Times New Roman"/>
                <w:color w:val="B8C9D9"/>
                <w:sz w:val="22"/>
                <w:szCs w:val="22"/>
              </w:rPr>
              <w:t xml:space="preserve">Périmètre : code source, configuration, base de données, sécurité, RGPD</w:t>
            </w:r>
          </w:p>
          <w:p>
            <w:pPr>
              <w:pBdr>
                <w:left w:val="single" w:color="4DA8DA" w:sz="8" w:space="12"/>
              </w:pBdr>
              <w:spacing w:after="80"/>
              <w:ind w:left="1400"/>
            </w:pPr>
            <w:r>
              <w:rPr>
                <w:rFonts w:ascii="Times New Roman" w:eastAsia="Times New Roman" w:hAnsi="Times New Roman"/>
                <w:color w:val="B8C9D9"/>
                <w:sz w:val="22"/>
                <w:szCs w:val="22"/>
              </w:rPr>
              <w:t xml:space="preserve">Date de l'audit : 16 septembre 2026</w:t>
            </w:r>
          </w:p>
          <w:p>
            <w:pPr>
              <w:spacing w:before="4596"/>
            </w:pPr>
          </w:p>
          <w:p>
            <w:pPr>
              <w:pBdr>
                <w:top w:val="single" w:color="4DA8DA" w:sz="2" w:space="8"/>
              </w:pBdr>
              <w:spacing w:before="200"/>
              <w:ind w:left="1200" w:right="800"/>
            </w:pPr>
            <w:r>
              <w:rPr>
                <w:rFonts w:ascii="Times New Roman" w:eastAsia="Times New Roman" w:hAnsi="Times New Roman"/>
                <w:color w:val="6E88A0"/>
                <w:sz w:val="16"/>
                <w:szCs w:val="16"/>
              </w:rPr>
              <w:t xml:space="preserve">GeoLight Service — SIG.tg SARL</w:t>
            </w:r>
            <w:r>
              <w:t xml:space="preserve">                                        </w:t>
            </w:r>
            <w:r>
              <w:rPr>
                <w:rFonts w:ascii="Times New Roman" w:eastAsia="Times New Roman" w:hAnsi="Times New Roman"/>
                <w:color w:val="6E88A0"/>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Times New Roman" w:eastAsia="Times New Roman" w:hAnsi="Times New Roman"/>
          <w:b/>
          <w:bCs/>
          <w:color w:val="1A4A7A"/>
          <w:sz w:val="32"/>
          <w:szCs w:val="32"/>
        </w:rPr>
        <w:t xml:space="preserve">Table des matières</w:t>
      </w:r>
    </w:p>
    <w:sdt>
      <w:sdtPr>
        <w:alias w:val="Table des matière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Contexte, objectifs et périmètre de l’audit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Contexte du projet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Objectifs de l’audit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Périmètre et documents de référence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Méthodologie et outils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Cartographie technique de l’existant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Stack technique observée contre stack prévue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Applications Django : prévues contre réelles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Qualité du dépôt Git et de la livraison</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3. Conformité fonctionnelle au cahier des charges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3.1 Tableau d’avancement global</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3.2 Écarts majeurs détaillés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3.2.1 — Le formulaire d’inscription n’envoie jamais les données au serveur</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3.2.2 — La page Contact est dépourvue de formulaire</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3.2.3 — Connexion, bannière cookies et Google Analytics absents</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3.2.4 — Mentions légales désactivées et Pass Solidarité absent</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3.3 Fonctionnalités techniques transverses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3.4 Livrables attendus</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4. Audit de sécurité — OWASP Top 10 et RGPD</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4.1 Grille OWASP Top 10</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4.2 A05 — Durcissement de production (constat critique)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4.3 Conformité RGPD et protection des données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4.4 Vulnérabilités applicatives ciblées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4.5 Points forts de sécurité à préserver</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5. Qualité du code et performance</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5.1 Points forts à capitaliser</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5.2 Dette technique identifiée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5.3 Performance et objectifs chiffrés</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6. Plan d’action priorisé</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6.1 Vue d’ensemble des constats</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6.2 Actions critiques — à traiter avant toute mise en ligne</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6.3 Actions majeures — nécessaires à l’exploitation conforme</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6.4 Actions mineures — qualité et optimisation</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6.5 Séquencement recommandé</w:t>
            </w:r>
            <w:r>
              <w:tab/>
            </w:r>
            <w:r>
              <w:fldChar w:fldCharType="begin"/>
            </w:r>
            <w:r>
              <w:instrText xml:space="preserve"> PAGEREF _Toc100034 \h </w:instrText>
            </w:r>
            <w:r>
              <w:fldChar w:fldCharType="separate"/>
            </w:r>
            <w:r>
              <w:t>14</w:t>
            </w:r>
            <w:r>
              <w:fldChar w:fldCharType="end"/>
            </w:r>
          </w:hyperlink>
        </w:p>
        <w:p>
          <w:pPr>
            <w:pStyle w:val="9"/>
            <w:tabs>
              <w:tab w:val="right" w:leader="dot" w:pos="9026"/>
            </w:tabs>
            <w:spacing w:before="120" w:after="60"/>
          </w:pPr>
          <w:hyperlink w:anchor="_Toc100035" w:history="1">
            <w:r>
              <w:rPr>
                <w:rStyle w:val="Hyperlink"/>
              </w:rPr>
              <w:t>7. Conclusion</w:t>
            </w:r>
            <w:r>
              <w:tab/>
            </w:r>
            <w:r>
              <w:fldChar w:fldCharType="begin"/>
            </w:r>
            <w:r>
              <w:instrText xml:space="preserve"> PAGEREF _Toc100035 \h </w:instrText>
            </w:r>
            <w:r>
              <w:fldChar w:fldCharType="separate"/>
            </w:r>
            <w:r>
              <w:t>14</w:t>
            </w:r>
            <w:r>
              <w:fldChar w:fldCharType="end"/>
            </w:r>
          </w:hyperlink>
        </w:p>
        <w:p>
          <w:r>
            <w:fldChar w:fldCharType="end"/>
          </w:r>
        </w:p>
      </w:sdtContent>
    </w:sdt>
    <w:p>
      <w:pPr>
        <w:spacing w:before="200" w:line="312"/>
      </w:pPr>
      <w:r>
        <w:rPr>
          <w:rFonts w:ascii="Times New Roman" w:eastAsia="Times New Roman" w:hAnsi="Times New Roman"/>
          <w:i/>
          <w:iCs/>
          <w:color w:val="888888"/>
          <w:sz w:val="18"/>
          <w:szCs w:val="18"/>
        </w:rPr>
        <w:t xml:space="preserve">Nota : cette table des matières est générée par champs. Après toute modification du document, faites un clic droit sur la table puis « Mettre à jour les champs » pour actualiser les numéros de page.</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80" w:before="200" w:line="312"/>
      </w:pPr>
      <w:bookmarkStart w:id="100000" w:name="_Toc100000"/>
      <w:r>
        <w:rPr>
          <w:rFonts w:ascii="Times New Roman" w:eastAsia="Times New Roman" w:hAnsi="Times New Roman"/>
          <w:b/>
          <w:bCs/>
          <w:color w:val="1A4A7A"/>
          <w:sz w:val="32"/>
          <w:szCs w:val="32"/>
        </w:rPr>
        <w:t xml:space="preserve">Synthèse exécutive</w:t>
      </w:r>
      <w:bookmarkEnd w:id="100000"/>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présent rapport d’audit évalue la conformité du projet </w:t>
      </w:r>
      <w:r>
        <w:rPr>
          <w:rFonts w:ascii="Times New Roman" w:eastAsia="Times New Roman" w:hAnsi="Times New Roman"/>
          <w:b/>
          <w:bCs/>
          <w:i w:val="false"/>
          <w:iCs w:val="false"/>
          <w:color w:val="000000"/>
          <w:sz w:val="24"/>
          <w:szCs w:val="24"/>
        </w:rPr>
        <w:t xml:space="preserve">SIG Web Site</w:t>
      </w:r>
      <w:r>
        <w:rPr>
          <w:rFonts w:ascii="Times New Roman" w:eastAsia="Times New Roman" w:hAnsi="Times New Roman"/>
          <w:b w:val="false"/>
          <w:bCs w:val="false"/>
          <w:i w:val="false"/>
          <w:iCs w:val="false"/>
          <w:color w:val="000000"/>
          <w:sz w:val="24"/>
          <w:szCs w:val="24"/>
        </w:rPr>
        <w:t xml:space="preserve"> (vitrine publique de la plateforme SIG.tg, développée par SIG.tg SARL / GeoLight Service) par rapport à son cahier des charges, et analyse l’état de sécurité et de qualité du code livré. L’audit a porté sur l’ensemble du dépôt « sig-web-site » : application Django 5.2 composée de sept applications internes, environ 2 200 lignes de tests automatisés, un historique Git de 205 commits, ainsi que sur la configuration de production et la base de données embarquée.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projet présente une base technique saine et des signaux de qualité réels : l’architecture Django est claire et modulaire, le référencement technique est soigné (django-meta, sitemaps, robots.txt, données structurées), l’internationalisation français/anglais est opérationnelle, et la suite de tests exécutée dans le cadre de l’audit affiche </w:t>
      </w:r>
      <w:r>
        <w:rPr>
          <w:rFonts w:ascii="Times New Roman" w:eastAsia="Times New Roman" w:hAnsi="Times New Roman"/>
          <w:b/>
          <w:bCs/>
          <w:i w:val="false"/>
          <w:iCs w:val="false"/>
          <w:color w:val="000000"/>
          <w:sz w:val="24"/>
          <w:szCs w:val="24"/>
        </w:rPr>
        <w:t xml:space="preserve">221 tests réussis sur 221</w:t>
      </w:r>
      <w:r>
        <w:rPr>
          <w:rFonts w:ascii="Times New Roman" w:eastAsia="Times New Roman" w:hAnsi="Times New Roman"/>
          <w:b w:val="false"/>
          <w:bCs w:val="false"/>
          <w:i w:val="false"/>
          <w:iCs w:val="false"/>
          <w:color w:val="000000"/>
          <w:sz w:val="24"/>
          <w:szCs w:val="24"/>
        </w:rPr>
        <w:t xml:space="preserve">. Ces acquis constituent un socle solide pour la suite.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En revanche, l’audit identifie </w:t>
      </w:r>
      <w:r>
        <w:rPr>
          <w:rFonts w:ascii="Times New Roman" w:eastAsia="Times New Roman" w:hAnsi="Times New Roman"/>
          <w:b/>
          <w:bCs/>
          <w:i w:val="false"/>
          <w:iCs w:val="false"/>
          <w:color w:val="000000"/>
          <w:sz w:val="24"/>
          <w:szCs w:val="24"/>
        </w:rPr>
        <w:t xml:space="preserve">26 constats</w:t>
      </w:r>
      <w:r>
        <w:rPr>
          <w:rFonts w:ascii="Times New Roman" w:eastAsia="Times New Roman" w:hAnsi="Times New Roman"/>
          <w:b w:val="false"/>
          <w:bCs w:val="false"/>
          <w:i w:val="false"/>
          <w:iCs w:val="false"/>
          <w:color w:val="000000"/>
          <w:sz w:val="24"/>
          <w:szCs w:val="24"/>
        </w:rPr>
        <w:t xml:space="preserve"> dont 5 critiques qui empêchent une mise en production conforme au cahier des charges. Les plus graves concernent la conversion commerciale : le formulaire d’inscription n’envoie jamais les données au serveur (un script JavaScript affiche un écran de succès simulé, sans création de compte ni capture du lead), et la page Contact ne comporte aucun formulaire, alors que le cahier des charges exige un formulaire complet. S’ajoutent une configuration de production dépourvue de tous les réglages de sécurité (six alertes confirmées par la commande « manage.py check --deploy »), l’absence de bannière de consentement aux cookies et de Google Analytics, et un traitement d’historique de recherche non conforme au RGPD (adresses IP de visiteurs anonymes conservées sans base légale). Le taux de conformité fonctionnelle au cahier des charges est estimé à environ </w:t>
      </w:r>
      <w:r>
        <w:rPr>
          <w:rFonts w:ascii="Times New Roman" w:eastAsia="Times New Roman" w:hAnsi="Times New Roman"/>
          <w:b/>
          <w:bCs/>
          <w:i w:val="false"/>
          <w:iCs w:val="false"/>
          <w:color w:val="000000"/>
          <w:sz w:val="24"/>
          <w:szCs w:val="24"/>
        </w:rPr>
        <w:t xml:space="preserve">63 %</w:t>
      </w:r>
      <w:r>
        <w:rPr>
          <w:rFonts w:ascii="Times New Roman" w:eastAsia="Times New Roman" w:hAnsi="Times New Roman"/>
          <w:b w:val="false"/>
          <w:bCs w:val="false"/>
          <w:i w:val="false"/>
          <w:iCs w:val="false"/>
          <w:color w:val="000000"/>
          <w:sz w:val="24"/>
          <w:szCs w:val="24"/>
        </w:rPr>
        <w:t xml:space="preserve">.</w:t>
      </w:r>
    </w:p>
    <w:tbl>
      <w:tblPr>
        <w:tblW w:type="pct" w:w="100%"/>
        <w:tblBorders>
          <w:top w:val="single" w:color="4DA8DA" w:sz="8"/>
          <w:left w:val="none" w:color="FFFFFF" w:sz="0"/>
          <w:bottom w:val="single" w:color="4DA8DA" w:sz="8"/>
          <w:right w:val="none" w:color="FFFFFF" w:sz="0"/>
          <w:insideH w:val="none" w:color="FFFFFF" w:sz="0"/>
          <w:insideV w:val="single" w:color="C0D0E2" w:sz="2"/>
        </w:tblBorders>
        <w:tblLayout w:type="fixed"/>
      </w:tblPr>
      <w:tblGrid>
        <w:gridCol w:w="100"/>
        <w:gridCol w:w="100"/>
        <w:gridCol w:w="100"/>
        <w:gridCol w:w="100"/>
      </w:tblGrid>
      <w:tr>
        <w:trPr>
          <w:cantSplit/>
        </w:trPr>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E8449"/>
                <w:sz w:val="40"/>
                <w:szCs w:val="40"/>
              </w:rPr>
              <w:t xml:space="preserve">221/221</w:t>
            </w:r>
          </w:p>
          <w:p>
            <w:pPr>
              <w:spacing w:after="100" w:line="240"/>
              <w:jc w:val="center"/>
            </w:pPr>
            <w:r>
              <w:rPr>
                <w:rFonts w:ascii="Times New Roman" w:eastAsia="Times New Roman" w:hAnsi="Times New Roman"/>
                <w:color w:val="5A7A96"/>
                <w:sz w:val="18"/>
                <w:szCs w:val="18"/>
              </w:rPr>
              <w:t xml:space="preserve">tests automatisés réussis</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C0392B"/>
                <w:sz w:val="40"/>
                <w:szCs w:val="40"/>
              </w:rPr>
              <w:t xml:space="preserve">6</w:t>
            </w:r>
          </w:p>
          <w:p>
            <w:pPr>
              <w:spacing w:after="100" w:line="240"/>
              <w:jc w:val="center"/>
            </w:pPr>
            <w:r>
              <w:rPr>
                <w:rFonts w:ascii="Times New Roman" w:eastAsia="Times New Roman" w:hAnsi="Times New Roman"/>
                <w:color w:val="5A7A96"/>
                <w:sz w:val="18"/>
                <w:szCs w:val="18"/>
              </w:rPr>
              <w:t xml:space="preserve">alertes de sécurité (check --deploy)</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C0392B"/>
                <w:sz w:val="40"/>
                <w:szCs w:val="40"/>
              </w:rPr>
              <w:t xml:space="preserve">5</w:t>
            </w:r>
          </w:p>
          <w:p>
            <w:pPr>
              <w:spacing w:after="100" w:line="240"/>
              <w:jc w:val="center"/>
            </w:pPr>
            <w:r>
              <w:rPr>
                <w:rFonts w:ascii="Times New Roman" w:eastAsia="Times New Roman" w:hAnsi="Times New Roman"/>
                <w:color w:val="5A7A96"/>
                <w:sz w:val="18"/>
                <w:szCs w:val="18"/>
              </w:rPr>
              <w:t xml:space="preserve">écarts critiques au cahier des charges</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A4A7A"/>
                <w:sz w:val="40"/>
                <w:szCs w:val="40"/>
              </w:rPr>
              <w:t xml:space="preserve">≈ 63 %</w:t>
            </w:r>
          </w:p>
          <w:p>
            <w:pPr>
              <w:spacing w:after="100" w:line="240"/>
              <w:jc w:val="center"/>
            </w:pPr>
            <w:r>
              <w:rPr>
                <w:rFonts w:ascii="Times New Roman" w:eastAsia="Times New Roman" w:hAnsi="Times New Roman"/>
                <w:color w:val="5A7A96"/>
                <w:sz w:val="18"/>
                <w:szCs w:val="18"/>
              </w:rPr>
              <w:t xml:space="preserve">conformité fonctionnelle estimée</w:t>
            </w:r>
          </w:p>
        </w:tc>
      </w:tr>
    </w:tbl>
    <w:p>
      <w:pPr>
        <w:spacing w:after="220" w:before="60" w:line="312"/>
        <w:jc w:val="center"/>
      </w:pPr>
      <w:r>
        <w:rPr>
          <w:rFonts w:ascii="Times New Roman" w:eastAsia="Times New Roman" w:hAnsi="Times New Roman"/>
          <w:i/>
          <w:iCs/>
          <w:color w:val="5A7A96"/>
          <w:sz w:val="18"/>
          <w:szCs w:val="18"/>
        </w:rPr>
        <w:t xml:space="preserve">Chiffres clés de l’audit — exécution des tests et vérifications du 16 septembre 2026</w:t>
      </w:r>
    </w:p>
    <w:p>
      <w:pPr>
        <w:keepNext w:val="false"/>
        <w:spacing w:after="240" w:line="312"/>
        <w:jc w:val="both"/>
      </w:pPr>
      <w:r>
        <w:rPr>
          <w:rFonts w:ascii="Times New Roman" w:eastAsia="Times New Roman" w:hAnsi="Times New Roman"/>
          <w:b w:val="false"/>
          <w:bCs w:val="false"/>
          <w:i w:val="false"/>
          <w:iCs w:val="false"/>
          <w:color w:val="000000"/>
          <w:sz w:val="24"/>
          <w:szCs w:val="24"/>
        </w:rPr>
        <w:t xml:space="preserve">Le plan d’action proposé hiérarchise 26 corrections selon trois niveaux de gravité (5 critiques, 10 majeures, 11 mineures) et chiffre l’effort total entre </w:t>
      </w:r>
      <w:r>
        <w:rPr>
          <w:rFonts w:ascii="Times New Roman" w:eastAsia="Times New Roman" w:hAnsi="Times New Roman"/>
          <w:b/>
          <w:bCs/>
          <w:i w:val="false"/>
          <w:iCs w:val="false"/>
          <w:color w:val="000000"/>
          <w:sz w:val="24"/>
          <w:szCs w:val="24"/>
        </w:rPr>
        <w:t xml:space="preserve">21 et 33 jours-homme</w:t>
      </w:r>
      <w:r>
        <w:rPr>
          <w:rFonts w:ascii="Times New Roman" w:eastAsia="Times New Roman" w:hAnsi="Times New Roman"/>
          <w:b w:val="false"/>
          <w:bCs w:val="false"/>
          <w:i w:val="false"/>
          <w:iCs w:val="false"/>
          <w:color w:val="000000"/>
          <w:sz w:val="24"/>
          <w:szCs w:val="24"/>
        </w:rPr>
        <w:t xml:space="preserve">, soit trois à six semaines pour un développeur confirmé. Les cinq actions critiques (formulaires d’inscription et de contact, durcissement de la production, consentement cookies, conformité RGPD de la recherche) conditionnent la mise en ligne et doivent être traitées en priorité absolue.</w:t>
      </w:r>
    </w:p>
    <w:p>
      <w:pPr>
        <w:pStyle w:val="Heading1"/>
        <w:spacing w:after="180" w:before="400" w:line="312"/>
      </w:pPr>
      <w:bookmarkStart w:id="100001" w:name="_Toc100001"/>
      <w:r>
        <w:rPr>
          <w:rFonts w:ascii="Times New Roman" w:eastAsia="Times New Roman" w:hAnsi="Times New Roman"/>
          <w:b/>
          <w:bCs/>
          <w:color w:val="1A4A7A"/>
          <w:sz w:val="32"/>
          <w:szCs w:val="32"/>
        </w:rPr>
        <w:t xml:space="preserve">1. Contexte, objectifs et périmètre de l’audit</w:t>
      </w:r>
      <w:bookmarkEnd w:id="100001"/>
    </w:p>
    <w:p>
      <w:pPr>
        <w:pStyle w:val="Heading2"/>
        <w:spacing w:after="140" w:before="280" w:line="312"/>
      </w:pPr>
      <w:bookmarkStart w:id="100002" w:name="_Toc100002"/>
      <w:r>
        <w:rPr>
          <w:rFonts w:ascii="Times New Roman" w:eastAsia="Times New Roman" w:hAnsi="Times New Roman"/>
          <w:b/>
          <w:bCs/>
          <w:color w:val="1A4A7A"/>
          <w:sz w:val="28"/>
          <w:szCs w:val="28"/>
        </w:rPr>
        <w:t xml:space="preserve">1.1 Contexte du projet</w:t>
      </w:r>
      <w:bookmarkEnd w:id="100002"/>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SIG.tg SARL développe une plateforme cartographique en ligne bâtie sur des technologies open source (Django, PostgreSQL/PostGIS, OpenStreetMap), décomposée en deux entités : </w:t>
      </w:r>
      <w:r>
        <w:rPr>
          <w:rFonts w:ascii="Times New Roman" w:eastAsia="Times New Roman" w:hAnsi="Times New Roman"/>
          <w:b/>
          <w:bCs/>
          <w:i w:val="false"/>
          <w:iCs w:val="false"/>
          <w:color w:val="000000"/>
          <w:sz w:val="24"/>
          <w:szCs w:val="24"/>
        </w:rPr>
        <w:t xml:space="preserve">SIG Platform</w:t>
      </w:r>
      <w:r>
        <w:rPr>
          <w:rFonts w:ascii="Times New Roman" w:eastAsia="Times New Roman" w:hAnsi="Times New Roman"/>
          <w:b w:val="false"/>
          <w:bCs w:val="false"/>
          <w:i w:val="false"/>
          <w:iCs w:val="false"/>
          <w:color w:val="000000"/>
          <w:sz w:val="24"/>
          <w:szCs w:val="24"/>
        </w:rPr>
        <w:t xml:space="preserve">, l’espace métier sécurisé destiné aux utilisateurs authentifiés, et </w:t>
      </w:r>
      <w:r>
        <w:rPr>
          <w:rFonts w:ascii="Times New Roman" w:eastAsia="Times New Roman" w:hAnsi="Times New Roman"/>
          <w:b/>
          <w:bCs/>
          <w:i w:val="false"/>
          <w:iCs w:val="false"/>
          <w:color w:val="000000"/>
          <w:sz w:val="24"/>
          <w:szCs w:val="24"/>
        </w:rPr>
        <w:t xml:space="preserve">SIG Web Site</w:t>
      </w:r>
      <w:r>
        <w:rPr>
          <w:rFonts w:ascii="Times New Roman" w:eastAsia="Times New Roman" w:hAnsi="Times New Roman"/>
          <w:b w:val="false"/>
          <w:bCs w:val="false"/>
          <w:i w:val="false"/>
          <w:iCs w:val="false"/>
          <w:color w:val="000000"/>
          <w:sz w:val="24"/>
          <w:szCs w:val="24"/>
        </w:rPr>
        <w:t xml:space="preserve">, la vitrine publique chargée de présenter la plateforme, d’informer le public, de rassurer les organisations et de convertir les visiteurs en utilisateurs inscrits. Le cahier des charges audité (document de référence « CAHIER DES CHARGES – SIG WEB SITE », 7 pages) concerne exclusivement cette vitrine : onze pages principales, cinq applications Django prévues, un CMS via Django Admin, un déploiement sur VPS Contabo hébergé en Allemagne, pour un budget estimé de 12 800 € HT et un planning de neuf semaines.</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À quelques semaines de la livraison prévisionnelle, l’équipe souhaite disposer d’un état des lieux objectif : ce qui est fait, ce qui est partiellement fait, ce qui reste à faire, les problèmes détectés et les correctifs à appliquer pour rendre la plateforme performante et sûre. Le présent rapport répond à cette demande en s’appuyant exclusivement sur des éléments vérifiables du dépôt livré.</w:t>
      </w:r>
    </w:p>
    <w:p>
      <w:pPr>
        <w:pStyle w:val="Heading2"/>
        <w:spacing w:after="140" w:before="280" w:line="312"/>
      </w:pPr>
      <w:bookmarkStart w:id="100003" w:name="_Toc100003"/>
      <w:r>
        <w:rPr>
          <w:rFonts w:ascii="Times New Roman" w:eastAsia="Times New Roman" w:hAnsi="Times New Roman"/>
          <w:b/>
          <w:bCs/>
          <w:color w:val="1A4A7A"/>
          <w:sz w:val="28"/>
          <w:szCs w:val="28"/>
        </w:rPr>
        <w:t xml:space="preserve">1.2 Objectifs de l’audit</w:t>
      </w:r>
      <w:bookmarkEnd w:id="100003"/>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Comparer le code livré au cahier des charges, page par page et fonctionnalité par fonctionnalité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évaluer la sécurité applicative selon le référentiel OWASP Top 10 (2021) et la conformité RGPD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apprécier la qualité du code, de la documentation et de la livraison (dépôt Git, dépendances, base de données)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proposer un plan d’action priorisé par gravité, avec correctifs concrets et estimation d’effort.</w:t>
      </w:r>
    </w:p>
    <w:p>
      <w:pPr>
        <w:pStyle w:val="Heading2"/>
        <w:spacing w:after="140" w:before="280" w:line="312"/>
      </w:pPr>
      <w:bookmarkStart w:id="100004" w:name="_Toc100004"/>
      <w:r>
        <w:rPr>
          <w:rFonts w:ascii="Times New Roman" w:eastAsia="Times New Roman" w:hAnsi="Times New Roman"/>
          <w:b/>
          <w:bCs/>
          <w:color w:val="1A4A7A"/>
          <w:sz w:val="28"/>
          <w:szCs w:val="28"/>
        </w:rPr>
        <w:t xml:space="preserve">1.3 Périmètre et documents de référence</w:t>
      </w:r>
      <w:bookmarkEnd w:id="10000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Sont entrés dans le périmètre : le code source complet de « sig-web-site.zip » (hors environnement virtuel), le cahier des charges PDF, la base de données SQLite embarquée (db.sqlite3), le fichier d’environnement .env, la configuration Django (core/settings/base.py, dev.py, prod.py), les sept applications (pages, blog, contact, gallery, leads, search, newsletter), les gabarits HTML, les feuilles de style, les scripts JavaScript et l’historique Git (205 commits). Le code de la plateforme métier SIG Platform et les infrastructures d’hébergement réelles sont hors périmètre : l’audit ne peut pas attester de l’état effectif du VPS Contabo ni de la disponibilité du domaine sigtg.tech, ces points étant vérifiables uniquement lors d’une revue d’exploitation.</w:t>
      </w:r>
    </w:p>
    <w:p>
      <w:pPr>
        <w:pStyle w:val="Heading2"/>
        <w:spacing w:after="140" w:before="280" w:line="312"/>
      </w:pPr>
      <w:bookmarkStart w:id="100005" w:name="_Toc100005"/>
      <w:r>
        <w:rPr>
          <w:rFonts w:ascii="Times New Roman" w:eastAsia="Times New Roman" w:hAnsi="Times New Roman"/>
          <w:b/>
          <w:bCs/>
          <w:color w:val="1A4A7A"/>
          <w:sz w:val="28"/>
          <w:szCs w:val="28"/>
        </w:rPr>
        <w:t xml:space="preserve">1.4 Méthodologie et outils</w:t>
      </w:r>
      <w:bookmarkEnd w:id="100005"/>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méthode combine quatre techniques complémentaires. Premièrement, une revue manuelle approfondie du code (modèles, vues, formulaires, URLs, gabarits, réglages) croisée avec les exigences du cahier des charges. Deuxièmement, l’exécution de la suite de tests du projet dans un environnement Python 3.13 propre avec Django 5.2 et les dépendances du requirements.txt. Troisièmement, l’audit de configuration natif de Django (« python manage.py check --deploy » sous réglages de production) qui objectif les manques de sécurité. Quatrièmement, l’inspection directe de la base SQLite livrée (comptages par table, contrôle du hachage du compte administrateur). Chaque constat est rattaché à un fichier, priorisé par gravité (Critique / Majeur / Mineur) et, lorsqu’il est critique, accompagné d’un correctif proposé. Cette approche privilégie les preuves reproductibles plutôt que les impressions ; elle ne remplace toutefois pas un test d’intrusion complet, qui resterait recommandé avant la mise en production.</w:t>
      </w:r>
    </w:p>
    <w:p>
      <w:pPr>
        <w:pStyle w:val="Heading1"/>
        <w:spacing w:after="180" w:before="400" w:line="312"/>
      </w:pPr>
      <w:bookmarkStart w:id="100006" w:name="_Toc100006"/>
      <w:r>
        <w:rPr>
          <w:rFonts w:ascii="Times New Roman" w:eastAsia="Times New Roman" w:hAnsi="Times New Roman"/>
          <w:b/>
          <w:bCs/>
          <w:color w:val="1A4A7A"/>
          <w:sz w:val="32"/>
          <w:szCs w:val="32"/>
        </w:rPr>
        <w:t xml:space="preserve">2. Cartographie technique de l’existant</w:t>
      </w:r>
      <w:bookmarkEnd w:id="100006"/>
    </w:p>
    <w:p>
      <w:pPr>
        <w:pStyle w:val="Heading2"/>
        <w:spacing w:after="140" w:before="280" w:line="312"/>
      </w:pPr>
      <w:bookmarkStart w:id="100007" w:name="_Toc100007"/>
      <w:r>
        <w:rPr>
          <w:rFonts w:ascii="Times New Roman" w:eastAsia="Times New Roman" w:hAnsi="Times New Roman"/>
          <w:b/>
          <w:bCs/>
          <w:color w:val="1A4A7A"/>
          <w:sz w:val="28"/>
          <w:szCs w:val="28"/>
        </w:rPr>
        <w:t xml:space="preserve">2.1 Stack technique observée contre stack prévue</w:t>
      </w:r>
      <w:bookmarkEnd w:id="100007"/>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stack réellement mise en œuvre est globalement conforme aux choix imposés par le cahier des charges, avec des écarts notables sur la base de données, l’envoi d’e-mails et l’absence de tout outillage de production. Le tableau suivant résume la comparaison.</w:t>
      </w:r>
    </w:p>
    <w:p>
      <w:pPr>
        <w:keepNext/>
        <w:spacing w:after="90" w:before="160" w:line="312"/>
      </w:pPr>
      <w:r>
        <w:rPr>
          <w:rFonts w:ascii="Times New Roman" w:eastAsia="Times New Roman" w:hAnsi="Times New Roman"/>
          <w:b/>
          <w:bCs/>
          <w:color w:val="1A4A7A"/>
          <w:sz w:val="20"/>
          <w:szCs w:val="20"/>
        </w:rPr>
        <w:t xml:space="preserve">Tableau 1 — Stack technique : prévisions du cahier des charges contre réalité du code</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1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Composant</w:t>
            </w:r>
          </w:p>
        </w:tc>
        <w:tc>
          <w:tcPr>
            <w:tcW w:type="pct" w:w="2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Prévu (CDC)</w:t>
            </w:r>
          </w:p>
        </w:tc>
        <w:tc>
          <w:tcPr>
            <w:tcW w:type="pct" w:w="4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Observé dans le code</w:t>
            </w:r>
          </w:p>
        </w:tc>
        <w:tc>
          <w:tcPr>
            <w:tcW w:type="pct" w:w="1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Verdict</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Framework</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Django 5.2+ (Python)</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Django 5.2 confirmé (requirements.txt, venv 3.13.5)</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9"/>
                <w:szCs w:val="19"/>
              </w:rPr>
              <w:t xml:space="preserve">OK</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Base de données</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PostgreSQL (SQLite toléré en dev)</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SQLite par défaut partout ; aucune configuration PostgreSQL dans prod.py</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9"/>
                <w:szCs w:val="19"/>
              </w:rPr>
              <w:t xml:space="preserve">Manquant</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Front-end</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HTML5, CSS3, JavaScript vanilla</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Conforme — main.js (405 lignes) sans dépendance, design system CSS cohérent</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9"/>
                <w:szCs w:val="19"/>
              </w:rPr>
              <w:t xml:space="preserve">OK</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Icônes</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Font Awesome 6+</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Font Awesome 6.5.1 via CDN (sans attribut d’intégrité SRI)</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9"/>
                <w:szCs w:val="19"/>
              </w:rPr>
              <w:t xml:space="preserve">Partiel</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Cartographie</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iframe OpenStreetMap (contact)</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Carte Leaflet 1.9.4 + tuiles OSM — solution plus riche que prévu</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9"/>
                <w:szCs w:val="19"/>
              </w:rPr>
              <w:t xml:space="preserve">OK</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CMS</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Django Admin</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Conforme et étendu : sections PageSection administrables, context processors</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9"/>
                <w:szCs w:val="19"/>
              </w:rPr>
              <w:t xml:space="preserve">OK</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E-mails</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SendGrid ou SMTP local</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Backend « console » uniquement ; aucune intégration SendGrid/SMTP</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9"/>
                <w:szCs w:val="19"/>
              </w:rPr>
              <w:t xml:space="preserve">Manquant</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Hébergement</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VPS Contabo, Nginx + Gunicorn</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Aucune trace dans le dépôt (ni Dockerfile, ni provisioning, ni CI/CD)</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9"/>
                <w:szCs w:val="19"/>
              </w:rPr>
              <w:t xml:space="preserve">Manquant</w:t>
            </w:r>
          </w:p>
        </w:tc>
      </w:tr>
    </w:tbl>
    <w:p>
      <w:pPr>
        <w:spacing w:after="220" w:before="60" w:line="312"/>
        <w:jc w:val="center"/>
      </w:pPr>
      <w:r>
        <w:rPr>
          <w:rFonts w:ascii="Times New Roman" w:eastAsia="Times New Roman" w:hAnsi="Times New Roman"/>
          <w:i/>
          <w:iCs/>
          <w:color w:val="5A7A96"/>
          <w:sz w:val="18"/>
          <w:szCs w:val="18"/>
        </w:rPr>
        <w:t xml:space="preserve">Comparaison de la stack prévue et de la stack observée (source : requirements.txt, core/settings/, core/urls.py)</w:t>
      </w:r>
    </w:p>
    <w:p>
      <w:pPr>
        <w:pStyle w:val="Heading2"/>
        <w:spacing w:after="140" w:before="280" w:line="312"/>
      </w:pPr>
      <w:bookmarkStart w:id="100008" w:name="_Toc100008"/>
      <w:r>
        <w:rPr>
          <w:rFonts w:ascii="Times New Roman" w:eastAsia="Times New Roman" w:hAnsi="Times New Roman"/>
          <w:b/>
          <w:bCs/>
          <w:color w:val="1A4A7A"/>
          <w:sz w:val="28"/>
          <w:szCs w:val="28"/>
        </w:rPr>
        <w:t xml:space="preserve">2.2 Applications Django : prévues contre réelles</w:t>
      </w:r>
      <w:bookmarkEnd w:id="100008"/>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cahier des charges prévoit cinq applications (pages, blog, legal, contact, newsletter). Le dépôt en contient sept, plus le projet « core » : les applications </w:t>
      </w:r>
      <w:r>
        <w:rPr>
          <w:rFonts w:ascii="Times New Roman" w:eastAsia="Times New Roman" w:hAnsi="Times New Roman"/>
          <w:b/>
          <w:bCs/>
          <w:i w:val="false"/>
          <w:iCs w:val="false"/>
          <w:color w:val="000000"/>
          <w:sz w:val="24"/>
          <w:szCs w:val="24"/>
        </w:rPr>
        <w:t xml:space="preserve">gallery</w:t>
      </w:r>
      <w:r>
        <w:rPr>
          <w:rFonts w:ascii="Times New Roman" w:eastAsia="Times New Roman" w:hAnsi="Times New Roman"/>
          <w:b w:val="false"/>
          <w:bCs w:val="false"/>
          <w:i w:val="false"/>
          <w:iCs w:val="false"/>
          <w:color w:val="000000"/>
          <w:sz w:val="24"/>
          <w:szCs w:val="24"/>
        </w:rPr>
        <w:t xml:space="preserve"> (galerie de cartes publiques), </w:t>
      </w:r>
      <w:r>
        <w:rPr>
          <w:rFonts w:ascii="Times New Roman" w:eastAsia="Times New Roman" w:hAnsi="Times New Roman"/>
          <w:b/>
          <w:bCs/>
          <w:i w:val="false"/>
          <w:iCs w:val="false"/>
          <w:color w:val="000000"/>
          <w:sz w:val="24"/>
          <w:szCs w:val="24"/>
        </w:rPr>
        <w:t xml:space="preserve">search</w:t>
      </w:r>
      <w:r>
        <w:rPr>
          <w:rFonts w:ascii="Times New Roman" w:eastAsia="Times New Roman" w:hAnsi="Times New Roman"/>
          <w:b w:val="false"/>
          <w:bCs w:val="false"/>
          <w:i w:val="false"/>
          <w:iCs w:val="false"/>
          <w:color w:val="000000"/>
          <w:sz w:val="24"/>
          <w:szCs w:val="24"/>
        </w:rPr>
        <w:t xml:space="preserve"> (recherche full-text) et </w:t>
      </w:r>
      <w:r>
        <w:rPr>
          <w:rFonts w:ascii="Times New Roman" w:eastAsia="Times New Roman" w:hAnsi="Times New Roman"/>
          <w:b/>
          <w:bCs/>
          <w:i w:val="false"/>
          <w:iCs w:val="false"/>
          <w:color w:val="000000"/>
          <w:sz w:val="24"/>
          <w:szCs w:val="24"/>
        </w:rPr>
        <w:t xml:space="preserve">leads</w:t>
      </w:r>
      <w:r>
        <w:rPr>
          <w:rFonts w:ascii="Times New Roman" w:eastAsia="Times New Roman" w:hAnsi="Times New Roman"/>
          <w:b w:val="false"/>
          <w:bCs w:val="false"/>
          <w:i w:val="false"/>
          <w:iCs w:val="false"/>
          <w:color w:val="000000"/>
          <w:sz w:val="24"/>
          <w:szCs w:val="24"/>
        </w:rPr>
        <w:t xml:space="preserve"> (capture des demandes d’essai) sont des ajouts hors cahier des charges — des extensions pertinentes qu’il convient toutefois de faire valider par le donneur d’ordre comme évolutions contractuelles. À l’inverse, l’application </w:t>
      </w:r>
      <w:r>
        <w:rPr>
          <w:rFonts w:ascii="Times New Roman" w:eastAsia="Times New Roman" w:hAnsi="Times New Roman"/>
          <w:b/>
          <w:bCs/>
          <w:i w:val="false"/>
          <w:iCs w:val="false"/>
          <w:color w:val="000000"/>
          <w:sz w:val="24"/>
          <w:szCs w:val="24"/>
        </w:rPr>
        <w:t xml:space="preserve">legal</w:t>
      </w:r>
      <w:r>
        <w:rPr>
          <w:rFonts w:ascii="Times New Roman" w:eastAsia="Times New Roman" w:hAnsi="Times New Roman"/>
          <w:b w:val="false"/>
          <w:bCs w:val="false"/>
          <w:i w:val="false"/>
          <w:iCs w:val="false"/>
          <w:color w:val="000000"/>
          <w:sz w:val="24"/>
          <w:szCs w:val="24"/>
        </w:rPr>
        <w:t xml:space="preserve"> prévue n’existe pas : les documents juridiques sont gérés dans « pages » (modèles ConditionOfUse, PrivacyAndSecurity, Rgpd, Cookies), ce qui est fonctionnellement équivalent mais doit être documenté. Cette réorganisation ne crée pas de problème technique, mais elle écarte le projet du découpage contractuel prévu.</w:t>
      </w:r>
    </w:p>
    <w:p>
      <w:pPr>
        <w:keepNext/>
        <w:spacing w:after="90" w:before="160" w:line="312"/>
      </w:pPr>
      <w:r>
        <w:rPr>
          <w:rFonts w:ascii="Times New Roman" w:eastAsia="Times New Roman" w:hAnsi="Times New Roman"/>
          <w:b/>
          <w:bCs/>
          <w:color w:val="1A4A7A"/>
          <w:sz w:val="20"/>
          <w:szCs w:val="20"/>
        </w:rPr>
        <w:t xml:space="preserve">Tableau 2 — Applications prévues et applications réelles</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2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App. prévue (CDC)</w:t>
            </w:r>
          </w:p>
        </w:tc>
        <w:tc>
          <w:tcPr>
            <w:tcW w:type="pct" w:w="3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Réalisation observée</w:t>
            </w:r>
          </w:p>
        </w:tc>
        <w:tc>
          <w:tcPr>
            <w:tcW w:type="pct" w:w="4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Commentaire</w:t>
            </w:r>
          </w:p>
        </w:tc>
      </w:tr>
      <w:tr>
        <w:trPr>
          <w:cantSplit/>
        </w:trPr>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pages</w:t>
            </w:r>
          </w:p>
        </w:tc>
        <w:tc>
          <w:tcPr>
            <w:tcW w:type="pct" w:w="3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pages (12 modèles)</w:t>
            </w:r>
          </w:p>
        </w:tc>
        <w:tc>
          <w:tcPr>
            <w:tcW w:type="pct" w:w="4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Étendue : héberge aussi les pages juridiques prévues dans l’app « legal »</w:t>
            </w:r>
          </w:p>
        </w:tc>
      </w:tr>
      <w:tr>
        <w:trPr>
          <w:cantSplit/>
        </w:trPr>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blog</w:t>
            </w:r>
          </w:p>
        </w:tc>
        <w:tc>
          <w:tcPr>
            <w:tcW w:type="pct" w:w="3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blog (Article, Category)</w:t>
            </w:r>
          </w:p>
        </w:tc>
        <w:tc>
          <w:tcPr>
            <w:tcW w:type="pct" w:w="4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Conforme — SEO par article, archives, catégories</w:t>
            </w:r>
          </w:p>
        </w:tc>
      </w:tr>
      <w:tr>
        <w:trPr>
          <w:cantSplit/>
        </w:trPr>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legal</w:t>
            </w:r>
          </w:p>
        </w:tc>
        <w:tc>
          <w:tcPr>
            <w:tcW w:type="pct" w:w="3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absente (fusionnée dans pages)</w:t>
            </w:r>
          </w:p>
        </w:tc>
        <w:tc>
          <w:tcPr>
            <w:tcW w:type="pct" w:w="4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Écart de structure, non de fonctionnalité — à documenter</w:t>
            </w:r>
          </w:p>
        </w:tc>
      </w:tr>
      <w:tr>
        <w:trPr>
          <w:cantSplit/>
        </w:trPr>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contact</w:t>
            </w:r>
          </w:p>
        </w:tc>
        <w:tc>
          <w:tcPr>
            <w:tcW w:type="pct" w:w="3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contact (ContactInfo)</w:t>
            </w:r>
          </w:p>
        </w:tc>
        <w:tc>
          <w:tcPr>
            <w:tcW w:type="pct" w:w="4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Informations de contact uniquement — le formulaire exigé est absent</w:t>
            </w:r>
          </w:p>
        </w:tc>
      </w:tr>
      <w:tr>
        <w:trPr>
          <w:cantSplit/>
        </w:trPr>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newsletter</w:t>
            </w:r>
          </w:p>
        </w:tc>
        <w:tc>
          <w:tcPr>
            <w:tcW w:type="pct" w:w="3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newsletter (FormView + token de désinscription)</w:t>
            </w:r>
          </w:p>
        </w:tc>
        <w:tc>
          <w:tcPr>
            <w:tcW w:type="pct" w:w="4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Conforme V1 — envoi d’e-mails et double opt-in restent à implémenter</w:t>
            </w:r>
          </w:p>
        </w:tc>
      </w:tr>
      <w:tr>
        <w:trPr>
          <w:cantSplit/>
        </w:trPr>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(non prévu)</w:t>
            </w:r>
          </w:p>
        </w:tc>
        <w:tc>
          <w:tcPr>
            <w:tcW w:type="pct" w:w="3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gallery — cartes publiques</w:t>
            </w:r>
          </w:p>
        </w:tc>
        <w:tc>
          <w:tcPr>
            <w:tcW w:type="pct" w:w="4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Ajout hors CDC : à faire valider</w:t>
            </w:r>
          </w:p>
        </w:tc>
      </w:tr>
      <w:tr>
        <w:trPr>
          <w:cantSplit/>
        </w:trPr>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(non prévu)</w:t>
            </w:r>
          </w:p>
        </w:tc>
        <w:tc>
          <w:tcPr>
            <w:tcW w:type="pct" w:w="3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search — recherche full-text</w:t>
            </w:r>
          </w:p>
        </w:tc>
        <w:tc>
          <w:tcPr>
            <w:tcW w:type="pct" w:w="4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Ajout hors CDC : à faire valider (point RGPD, cf. § 4.3)</w:t>
            </w:r>
          </w:p>
        </w:tc>
      </w:tr>
      <w:tr>
        <w:trPr>
          <w:cantSplit/>
        </w:trPr>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(non prévu)</w:t>
            </w:r>
          </w:p>
        </w:tc>
        <w:tc>
          <w:tcPr>
            <w:tcW w:type="pct" w:w="3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leads — demandes d’essai</w:t>
            </w:r>
          </w:p>
        </w:tc>
        <w:tc>
          <w:tcPr>
            <w:tcW w:type="pct" w:w="4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9"/>
                <w:szCs w:val="19"/>
              </w:rPr>
              <w:t xml:space="preserve">Ajout hors CDC : logique serveur défaillante, cf. § 3.2</w:t>
            </w:r>
          </w:p>
        </w:tc>
      </w:tr>
    </w:tbl>
    <w:p>
      <w:pPr>
        <w:spacing w:after="220" w:before="60" w:line="312"/>
        <w:jc w:val="center"/>
      </w:pPr>
      <w:r>
        <w:rPr>
          <w:rFonts w:ascii="Times New Roman" w:eastAsia="Times New Roman" w:hAnsi="Times New Roman"/>
          <w:i/>
          <w:iCs/>
          <w:color w:val="5A7A96"/>
          <w:sz w:val="18"/>
          <w:szCs w:val="18"/>
        </w:rPr>
        <w:t xml:space="preserve">Correspondance entre le découpage applicatif prévu et le dépôt livré</w:t>
      </w:r>
    </w:p>
    <w:p>
      <w:pPr>
        <w:pStyle w:val="Heading2"/>
        <w:spacing w:after="140" w:before="280" w:line="312"/>
      </w:pPr>
      <w:bookmarkStart w:id="100009" w:name="_Toc100009"/>
      <w:r>
        <w:rPr>
          <w:rFonts w:ascii="Times New Roman" w:eastAsia="Times New Roman" w:hAnsi="Times New Roman"/>
          <w:b/>
          <w:bCs/>
          <w:color w:val="1A4A7A"/>
          <w:sz w:val="28"/>
          <w:szCs w:val="28"/>
        </w:rPr>
        <w:t xml:space="preserve">2.3 Qualité du dépôt Git et de la livraison</w:t>
      </w:r>
      <w:bookmarkEnd w:id="100009"/>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L’historique Git (205 commits) témoigne d’un travail méthodique : branches « feature/ » et « fix/ » fusionnées dans « dev », messages de commit conventionnels (feat, fix, test, chore), résolution documentée d’un conflit de migrations (pages/0011) à la veille de la livraison. Le fichier .gitignore exclut correctement .env, db.sqlite3 et venv/ — ces fichiers ne sont donc pas versionnés. En revanche, l’archive zip livrée à l’auditeur contient tout de même le dossier venv (107 Mo, environnement Python incomplet — Django y est absent), la base de données de développement et le fichier .env avec une clé secrète de développement préfixée « django-insecure- ». Cette pratique expose des artefacts non contractuels et rend l’archive difficilement exploitable telle quelle ; le point est traité dans le plan d’action (m9). Par ailleurs, requirements.txt contient cinq doublons (asgiref, Django, django-environ, pillow, sqlparse sont déclarés deux fois), ce qui révèle une construction incrémentale sans outil de verrouillage (aucun fichier requirements.lock généré par pip-tools ou équivalent).</w:t>
      </w:r>
    </w:p>
    <w:p>
      <w:pPr>
        <w:pStyle w:val="Heading1"/>
        <w:spacing w:after="180" w:before="400" w:line="312"/>
      </w:pPr>
      <w:bookmarkStart w:id="100010" w:name="_Toc100010"/>
      <w:r>
        <w:rPr>
          <w:rFonts w:ascii="Times New Roman" w:eastAsia="Times New Roman" w:hAnsi="Times New Roman"/>
          <w:b/>
          <w:bCs/>
          <w:color w:val="1A4A7A"/>
          <w:sz w:val="32"/>
          <w:szCs w:val="32"/>
        </w:rPr>
        <w:t xml:space="preserve">3. Conformité fonctionnelle au cahier des charges</w:t>
      </w:r>
      <w:bookmarkEnd w:id="100010"/>
    </w:p>
    <w:p>
      <w:pPr>
        <w:pStyle w:val="Heading2"/>
        <w:spacing w:after="140" w:before="280" w:line="312"/>
      </w:pPr>
      <w:bookmarkStart w:id="100011" w:name="_Toc100011"/>
      <w:r>
        <w:rPr>
          <w:rFonts w:ascii="Times New Roman" w:eastAsia="Times New Roman" w:hAnsi="Times New Roman"/>
          <w:b/>
          <w:bCs/>
          <w:color w:val="1A4A7A"/>
          <w:sz w:val="28"/>
          <w:szCs w:val="28"/>
        </w:rPr>
        <w:t xml:space="preserve">3.1 Tableau d’avancement global</w:t>
      </w:r>
      <w:bookmarkEnd w:id="100011"/>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figure 1 présente le taux de complétude estimé par module fonctionnel, en distinguant ce qui est terminé, ce qui est partiellement réalisé et ce qui manque. Le calcul pondère les exigences explicites du cahier des charges ; les ajouts hors périmètre (gallery, search) ne sont pas comptés dans le dénominateur. Le taux global de conformité ressort à environ 63 % : les pages de présentation sont quasiment achevées, tandis que les modules de conversion (contact, inscription, connexion, cookies/analytics) accusent les retards les plus importants — précisément ceux que le cahier des charges désigne comme objectifs commerciaux prioritaires.</w:t>
      </w:r>
    </w:p>
    <w:p>
      <w:pPr>
        <w:keepNext/>
        <w:spacing w:after="40" w:before="120"/>
        <w:jc w:val="center"/>
      </w:pPr>
      <w:r>
        <w:drawing>
          <wp:inline distT="0" distB="0" distL="0" distR="0">
            <wp:extent cx="55054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3209925"/>
                    </a:xfrm>
                    <a:prstGeom prst="rect">
                      <a:avLst/>
                    </a:prstGeom>
                  </pic:spPr>
                </pic:pic>
              </a:graphicData>
            </a:graphic>
          </wp:inline>
        </w:drawing>
      </w:r>
    </w:p>
    <w:p>
      <w:pPr>
        <w:spacing w:after="220" w:before="60" w:line="312"/>
        <w:jc w:val="center"/>
      </w:pPr>
      <w:r>
        <w:rPr>
          <w:rFonts w:ascii="Times New Roman" w:eastAsia="Times New Roman" w:hAnsi="Times New Roman"/>
          <w:i/>
          <w:iCs/>
          <w:color w:val="5A7A96"/>
          <w:sz w:val="18"/>
          <w:szCs w:val="18"/>
        </w:rPr>
        <w:t xml:space="preserve">Figure 1 — Avancement par module fonctionnel (Terminé / Partiel / Manquant, estimation d’audit)</w:t>
      </w:r>
    </w:p>
    <w:p>
      <w:pPr>
        <w:keepNext/>
        <w:spacing w:after="90" w:before="160" w:line="312"/>
      </w:pPr>
      <w:r>
        <w:rPr>
          <w:rFonts w:ascii="Times New Roman" w:eastAsia="Times New Roman" w:hAnsi="Times New Roman"/>
          <w:b/>
          <w:bCs/>
          <w:color w:val="1A4A7A"/>
          <w:sz w:val="20"/>
          <w:szCs w:val="20"/>
        </w:rPr>
        <w:t xml:space="preserve">Tableau 3 — Les onze pages du cahier des charges : état observé</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1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Page (CDC)</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5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État observé dans le code</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Écart</w:t>
            </w:r>
          </w:p>
        </w:tc>
      </w:tr>
      <w:tr>
        <w:trPr>
          <w:cantSplit/>
        </w:trPr>
        <w:tc>
          <w:tcPr>
            <w:tcW w:type="pct" w:w="1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Accueil</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Hero éditable, 6 fonctionnalités, 4 chiffres clés, partenaires, étapes, témoignages, CTA — conforme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w:t>
            </w:r>
          </w:p>
        </w:tc>
      </w:tr>
      <w:tr>
        <w:trPr>
          <w:cantSplit/>
        </w:trPr>
        <w:tc>
          <w:tcPr>
            <w:tcW w:type="pct" w:w="1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Fonctionnalités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5 modules détaillés + FAQ + illustrations éditables via l’admin</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w:t>
            </w:r>
          </w:p>
        </w:tc>
      </w:tr>
      <w:tr>
        <w:trPr>
          <w:cantSplit/>
        </w:trPr>
        <w:tc>
          <w:tcPr>
            <w:tcW w:type="pct" w:w="1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Tarifs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 offres (Essentielle, Équipe, Institution) comparatives + FAQ ; le Pass Solidarité exigé est absent du gabarit et des fixtures</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Majeur</w:t>
            </w:r>
          </w:p>
        </w:tc>
      </w:tr>
      <w:tr>
        <w:trPr>
          <w:cantSplit/>
        </w:trPr>
        <w:tc>
          <w:tcPr>
            <w:tcW w:type="pct" w:w="1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Actualités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Blog dynamique, catégories, archives, pagination (9), sidebar articles récents ; formulaire newsletter en sidebar absent (page dédiée à la place)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Mineur</w:t>
            </w:r>
          </w:p>
        </w:tc>
      </w:tr>
      <w:tr>
        <w:trPr>
          <w:cantSplit/>
        </w:trPr>
        <w:tc>
          <w:tcPr>
            <w:tcW w:type="pct" w:w="1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Contact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Coordonnées éditables, réseaux sociaux et carte Leaflet OSM conformes ; AUCUN formulaire de contact (exigence explicite : nom, prénom, organisation, e-mail, téléphone, type de structure, objet, message, case RGPD)</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8"/>
                <w:szCs w:val="18"/>
              </w:rPr>
              <w:t xml:space="preserve">Critique</w:t>
            </w:r>
          </w:p>
        </w:tc>
      </w:tr>
      <w:tr>
        <w:trPr>
          <w:cantSplit/>
        </w:trPr>
        <w:tc>
          <w:tcPr>
            <w:tcW w:type="pct" w:w="1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Mentions légales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Vue LegalView et gabarit legal.html existent, mais l’URL est commentée dans pages/urls.py et aucun lien n’y pointe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Majeur</w:t>
            </w:r>
          </w:p>
        </w:tc>
      </w:tr>
      <w:tr>
        <w:trPr>
          <w:cantSplit/>
        </w:trPr>
        <w:tc>
          <w:tcPr>
            <w:tcW w:type="pct" w:w="1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Politique de confidentialité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privacy.html + modèle PrivacyAndSecurity + sections éditables</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w:t>
            </w:r>
          </w:p>
        </w:tc>
      </w:tr>
      <w:tr>
        <w:trPr>
          <w:cantSplit/>
        </w:trPr>
        <w:tc>
          <w:tcPr>
            <w:tcW w:type="pct" w:w="1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CGU</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gtcu.html + modèle ConditionOfUse, contenu structuré éditable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w:t>
            </w:r>
          </w:p>
        </w:tc>
      </w:tr>
      <w:tr>
        <w:trPr>
          <w:cantSplit/>
        </w:trPr>
        <w:tc>
          <w:tcPr>
            <w:tcW w:type="pct" w:w="1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Politique des cookies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cookies.html + modèle Cookies conforme ; mais aucune bannière de consentement réelle n’existe sur le site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8"/>
                <w:szCs w:val="18"/>
              </w:rPr>
              <w:t xml:space="preserve">Critique</w:t>
            </w:r>
          </w:p>
        </w:tc>
      </w:tr>
      <w:tr>
        <w:trPr>
          <w:cantSplit/>
        </w:trPr>
        <w:tc>
          <w:tcPr>
            <w:tcW w:type="pct" w:w="1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Connexion</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page de connexion, aucun bouton « Se connecter » ; une URL de plateforme (PLATFORM_LOGIN_URL) est prévue mais jamais utilisée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8"/>
                <w:szCs w:val="18"/>
              </w:rPr>
              <w:t xml:space="preserve">Critique</w:t>
            </w:r>
          </w:p>
        </w:tc>
      </w:tr>
      <w:tr>
        <w:trPr>
          <w:cantSplit/>
        </w:trPr>
        <w:tc>
          <w:tcPr>
            <w:tcW w:type="pct" w:w="1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Inscription / Essai gratuit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Formulaire riche et soigné en apparence, mais sans envoi serveur (cf. § 3.2) ; ni mot de passe, ni création de compte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8"/>
                <w:szCs w:val="18"/>
              </w:rPr>
              <w:t xml:space="preserve">Critique</w:t>
            </w:r>
          </w:p>
        </w:tc>
      </w:tr>
    </w:tbl>
    <w:p>
      <w:pPr>
        <w:spacing w:after="220" w:before="60" w:line="312"/>
        <w:jc w:val="center"/>
      </w:pPr>
      <w:r>
        <w:rPr>
          <w:rFonts w:ascii="Times New Roman" w:eastAsia="Times New Roman" w:hAnsi="Times New Roman"/>
          <w:i/>
          <w:iCs/>
          <w:color w:val="5A7A96"/>
          <w:sz w:val="18"/>
          <w:szCs w:val="18"/>
        </w:rPr>
        <w:t xml:space="preserve">État des onze pages exigées — constats sourcés (gabarits, vues, fixtures, base livrée)</w:t>
      </w:r>
    </w:p>
    <w:p>
      <w:pPr>
        <w:pStyle w:val="Heading2"/>
        <w:spacing w:after="140" w:before="280" w:line="312"/>
      </w:pPr>
      <w:bookmarkStart w:id="100012" w:name="_Toc100012"/>
      <w:r>
        <w:rPr>
          <w:rFonts w:ascii="Times New Roman" w:eastAsia="Times New Roman" w:hAnsi="Times New Roman"/>
          <w:b/>
          <w:bCs/>
          <w:color w:val="1A4A7A"/>
          <w:sz w:val="28"/>
          <w:szCs w:val="28"/>
        </w:rPr>
        <w:t xml:space="preserve">3.2 Écarts majeurs détaillés</w:t>
      </w:r>
      <w:bookmarkEnd w:id="100012"/>
    </w:p>
    <w:p>
      <w:pPr>
        <w:pStyle w:val="Heading3"/>
        <w:spacing w:after="110" w:before="220" w:line="312"/>
      </w:pPr>
      <w:bookmarkStart w:id="100013" w:name="_Toc100013"/>
      <w:r>
        <w:rPr>
          <w:rFonts w:ascii="Times New Roman" w:eastAsia="Times New Roman" w:hAnsi="Times New Roman"/>
          <w:b/>
          <w:bCs/>
          <w:color w:val="142840"/>
          <w:sz w:val="24"/>
          <w:szCs w:val="24"/>
        </w:rPr>
        <w:t xml:space="preserve">3.2.1 — Le formulaire d’inscription n’envoie jamais les données au serveur</w:t>
      </w:r>
      <w:bookmarkEnd w:id="100013"/>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C’est le constat le plus grave de l’audit. La page « Essayer gratuitement » (leads/templates/leads/signup.html) présente un formulaire complet en trois sections (organisation, contact, besoins) avec acceptation des CGU. Mais le gabarit ne définit ni attribut « action » ni jeton CSRF, et son script JavaScript intercepte la soumission par « e.preventDefault() » puis affiche un écran de succès purement local : </w:t>
      </w:r>
      <w:r>
        <w:rPr>
          <w:rFonts w:ascii="Times New Roman" w:eastAsia="Times New Roman" w:hAnsi="Times New Roman"/>
          <w:b/>
          <w:bCs/>
          <w:i w:val="false"/>
          <w:iCs w:val="false"/>
          <w:color w:val="000000"/>
          <w:sz w:val="24"/>
          <w:szCs w:val="24"/>
        </w:rPr>
        <w:t xml:space="preserve">aucune donnée n’est transmise, aucun compte n’est créé, aucun lead n’est enregistré</w:t>
      </w:r>
      <w:r>
        <w:rPr>
          <w:rFonts w:ascii="Times New Roman" w:eastAsia="Times New Roman" w:hAnsi="Times New Roman"/>
          <w:b w:val="false"/>
          <w:bCs w:val="false"/>
          <w:i w:val="false"/>
          <w:iCs w:val="false"/>
          <w:color w:val="000000"/>
          <w:sz w:val="24"/>
          <w:szCs w:val="24"/>
        </w:rPr>
        <w:t xml:space="preserve">. L’écran de succès promet pourtant à l’utilisateur qu’un e-mail récapitulatif a été envoyé aux administrateurs — ce qui est factuellement faux et constitue un risque d’image sérieux. Côté serveur, la vue signup_view (leads/views.py) attend des champs « nom », « email » et « organisation » qui ne correspondent pas aux noms réels du gabarit (« fullname », « organization ») : même si le formulaire était soumis, la capture serait incomplète. Le cahier des charges demandait par ailleurs un champ mot de passe et une création de compte avec redirection vers SIG Platform ; la refonte actuelle (activation manuelle sous 24 h ouvrées) est un choix de produit défendable, mais elle n’est documentée nulle part et reste inopérante faute de soumission réelle. Toute l’acquisition de leads du site est donc inactive.</w:t>
      </w:r>
    </w:p>
    <w:p>
      <w:pPr>
        <w:pStyle w:val="Heading3"/>
        <w:spacing w:after="110" w:before="220" w:line="312"/>
      </w:pPr>
      <w:bookmarkStart w:id="100014" w:name="_Toc100014"/>
      <w:r>
        <w:rPr>
          <w:rFonts w:ascii="Times New Roman" w:eastAsia="Times New Roman" w:hAnsi="Times New Roman"/>
          <w:b/>
          <w:bCs/>
          <w:color w:val="142840"/>
          <w:sz w:val="24"/>
          <w:szCs w:val="24"/>
        </w:rPr>
        <w:t xml:space="preserve">3.2.2 — La page Contact est dépourvue de formulaire</w:t>
      </w:r>
      <w:bookmarkEnd w:id="10001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cahier des charges exige un formulaire de contact complet (nom, prénom, organisation, e-mail, téléphone, type de structure, objet, message, case à cocher RGPD) avec notification e-mail. Le gabarit contact.html n’affiche que les coordonnées administrables (modèle ContactInfo), un encart « demander une démo » renvoyant vers un simple lien mailto, les réseaux sociaux et la carte OpenStreetMap. Aucun modèle de message (ContactRequest), aucun formulaire, aucune vue de traitement POST n’existe dans l’application contact — les tests présents ne couvrent d’ailleurs que l’affichage des informations. L’exigence fonctionnelle la plus élémentaire d’une vitrine commerciale n’est donc pas implémentée.</w:t>
      </w:r>
    </w:p>
    <w:p>
      <w:pPr>
        <w:pStyle w:val="Heading3"/>
        <w:spacing w:after="110" w:before="220" w:line="312"/>
      </w:pPr>
      <w:bookmarkStart w:id="100015" w:name="_Toc100015"/>
      <w:r>
        <w:rPr>
          <w:rFonts w:ascii="Times New Roman" w:eastAsia="Times New Roman" w:hAnsi="Times New Roman"/>
          <w:b/>
          <w:bCs/>
          <w:color w:val="142840"/>
          <w:sz w:val="24"/>
          <w:szCs w:val="24"/>
        </w:rPr>
        <w:t xml:space="preserve">3.2.3 — Connexion, bannière cookies et Google Analytics absents</w:t>
      </w:r>
      <w:bookmarkEnd w:id="100015"/>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Trois fonctionnalités techniques exigées sont totalement absentes. La page « Connexion » (e-mail, mot de passe, « se souvenir de moi », mot de passe oublié) n’a aucun équivalent : le site ne comporte aucun point d’entrée vers l’espace client, alors que le cahier des charges en fait un bouton du menu principal. La « bannière de consentement dès la première visite, avec paramétrage des préférences » n’existe ni dans base.html ni dans les dépendances (django-cookie-consent absent du requirements.txt) — un manquement RGPD autant que fonctionnel. Enfin, l’intégration Google Analytics « avec consentement » est absente, ce qui prive l’équipe des indicateurs de pilotage exigés (taux de conversion, rebond, visiteurs uniques).</w:t>
      </w:r>
    </w:p>
    <w:p>
      <w:pPr>
        <w:pStyle w:val="Heading3"/>
        <w:spacing w:after="110" w:before="220" w:line="312"/>
      </w:pPr>
      <w:bookmarkStart w:id="100016" w:name="_Toc100016"/>
      <w:r>
        <w:rPr>
          <w:rFonts w:ascii="Times New Roman" w:eastAsia="Times New Roman" w:hAnsi="Times New Roman"/>
          <w:b/>
          <w:bCs/>
          <w:color w:val="142840"/>
          <w:sz w:val="24"/>
          <w:szCs w:val="24"/>
        </w:rPr>
        <w:t xml:space="preserve">3.2.4 — Mentions légales désactivées et Pass Solidarité absent</w:t>
      </w:r>
      <w:bookmarkEnd w:id="100016"/>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Deux écarts ponctuels mais explicites complètent le tableau. La route « legal/ » est commentée dans pages/urls.py (ligne 10), rendant la page Mentions légales inaccessible alors que la vue et le gabarit existent : une décision probablement transitoire jamais révisée. Le Pass Solidarité destiné aux petites structures, exigé dans la page Tarifs, n’apparaît ni dans le gabarit pricing.html ni dans les fixtures pricing_tiers.json qui ne contiennent que les trois offres payantes.</w:t>
      </w:r>
    </w:p>
    <w:p>
      <w:pPr>
        <w:pStyle w:val="Heading2"/>
        <w:spacing w:after="140" w:before="280" w:line="312"/>
      </w:pPr>
      <w:bookmarkStart w:id="100017" w:name="_Toc100017"/>
      <w:r>
        <w:rPr>
          <w:rFonts w:ascii="Times New Roman" w:eastAsia="Times New Roman" w:hAnsi="Times New Roman"/>
          <w:b/>
          <w:bCs/>
          <w:color w:val="1A4A7A"/>
          <w:sz w:val="28"/>
          <w:szCs w:val="28"/>
        </w:rPr>
        <w:t xml:space="preserve">3.3 Fonctionnalités techniques transverses</w:t>
      </w:r>
      <w:bookmarkEnd w:id="100017"/>
    </w:p>
    <w:p>
      <w:pPr>
        <w:keepNext/>
        <w:spacing w:after="90" w:before="160" w:line="312"/>
      </w:pPr>
      <w:r>
        <w:rPr>
          <w:rFonts w:ascii="Times New Roman" w:eastAsia="Times New Roman" w:hAnsi="Times New Roman"/>
          <w:b/>
          <w:bCs/>
          <w:color w:val="1A4A7A"/>
          <w:sz w:val="20"/>
          <w:szCs w:val="20"/>
        </w:rPr>
        <w:t xml:space="preserve">Tableau 4 — Fonctionnalités techniques exigées : état observé</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Exigence (CDC § 3.2)</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5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Détail</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Menu de navigation responsive</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Burger mobile, overlay de recherche, sélecteur de langue FR/EN avec CSRF, CTA unique « s’abonner » (le bouton « Se connecter » exigé manque)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Sections modulaires via Django Admin</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PageSection administrable pour 10 pages + context processors header/footer — point fort du projet</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Footer complet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4 colonnes + liens juridiques + copyright éditable ; réseaux sociaux et lien Mentions légales absents</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Gestion des cookies (bannière)</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bannière, aucune dépendance de consentement</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SEO optimisé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django-meta (Open Graph, Twitter, Schema.org), 3 sitemaps, robots.txt, canoniques, JSON-LD — niveau remarquable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Analytics (Google Analytics avec consentement)</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traceur, aucun mécanisme de consentement</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Responsive design mobile-first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Grilles fluides, media queries systématiques</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Accessibilité WCAG 2.1 AA</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aria-labels, focus-visible et classes sr-only présents ; skip-link absent, emojis utilisés comme icônes, contrastes non audités</w:t>
            </w:r>
          </w:p>
        </w:tc>
      </w:tr>
    </w:tbl>
    <w:p>
      <w:pPr>
        <w:spacing w:after="220" w:before="60" w:line="312"/>
        <w:jc w:val="center"/>
      </w:pPr>
      <w:r>
        <w:rPr>
          <w:rFonts w:ascii="Times New Roman" w:eastAsia="Times New Roman" w:hAnsi="Times New Roman"/>
          <w:i/>
          <w:iCs/>
          <w:color w:val="5A7A96"/>
          <w:sz w:val="18"/>
          <w:szCs w:val="18"/>
        </w:rPr>
        <w:t xml:space="preserve">Fonctionnalités transverses du cahier des charges (§ 3.2) contre état du code</w:t>
      </w:r>
    </w:p>
    <w:p>
      <w:pPr>
        <w:pStyle w:val="Heading2"/>
        <w:spacing w:after="140" w:before="280" w:line="312"/>
      </w:pPr>
      <w:bookmarkStart w:id="100018" w:name="_Toc100018"/>
      <w:r>
        <w:rPr>
          <w:rFonts w:ascii="Times New Roman" w:eastAsia="Times New Roman" w:hAnsi="Times New Roman"/>
          <w:b/>
          <w:bCs/>
          <w:color w:val="1A4A7A"/>
          <w:sz w:val="28"/>
          <w:szCs w:val="28"/>
        </w:rPr>
        <w:t xml:space="preserve">3.4 Livrables attendus</w:t>
      </w:r>
      <w:bookmarkEnd w:id="100018"/>
    </w:p>
    <w:p>
      <w:pPr>
        <w:keepNext/>
        <w:spacing w:after="90" w:before="160" w:line="312"/>
      </w:pPr>
      <w:r>
        <w:rPr>
          <w:rFonts w:ascii="Times New Roman" w:eastAsia="Times New Roman" w:hAnsi="Times New Roman"/>
          <w:b/>
          <w:bCs/>
          <w:color w:val="1A4A7A"/>
          <w:sz w:val="20"/>
          <w:szCs w:val="20"/>
        </w:rPr>
        <w:t xml:space="preserve">Tableau 5 — Les huit livrables du cahier des charges (§ 6)</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Livrable exigé</w:t>
            </w:r>
          </w:p>
        </w:tc>
        <w:tc>
          <w:tcPr>
            <w:tcW w:type="pct" w:w="1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5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Constat</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1. Code source sur dépôt Git</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Dépôt Git présent, 205 commits, .env et base exclus du versionnement</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2. Documentation technique (README, installation, déploiement)</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README exhaustif mais avec artefacts (« Voici un README.md complet… » en tête de fichier), badges obsolètes (Django 4.2, Celery, PostGIS jamais utilisés) ; guide de déploiement Contabo non livré</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 Documentation administrateur</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guide d’administration du contenu</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4. Maquettes UI/UX (Figma/XD)</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vérifiable</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Absentes du livrable — à fournir ou référencer</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5. Base de données (schéma + fixtures)</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Migrations complètes, mais base livrée quasi vide (0 article, 0 tarif, 0 coordonnée) : les fixtures existantes ne sont pas chargées</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6. Tests fonctionnels + rapport de recette</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221 tests unitaires/fonctionnels réussis (exécutés par l’audit) ; aucun rapport de recette, aucun test cross-browser documenté</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7. Site en production (sigtg.tech)</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vérifiable</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Hors périmètre du dépôt — à attester lors d’une revue d’exploitation</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8. Procédure de sauvegarde/restauration</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procédure documentée dans le dépôt</w:t>
            </w:r>
          </w:p>
        </w:tc>
      </w:tr>
    </w:tbl>
    <w:p>
      <w:pPr>
        <w:spacing w:after="220" w:before="60" w:line="312"/>
        <w:jc w:val="center"/>
      </w:pPr>
      <w:r>
        <w:rPr>
          <w:rFonts w:ascii="Times New Roman" w:eastAsia="Times New Roman" w:hAnsi="Times New Roman"/>
          <w:i/>
          <w:iCs/>
          <w:color w:val="5A7A96"/>
          <w:sz w:val="18"/>
          <w:szCs w:val="18"/>
        </w:rPr>
        <w:t xml:space="preserve">Suivi des livrables contractuels — état constaté au 16 septembre 2026</w:t>
      </w:r>
    </w:p>
    <w:p>
      <w:pPr>
        <w:pStyle w:val="Heading1"/>
        <w:spacing w:after="180" w:before="400" w:line="312"/>
      </w:pPr>
      <w:bookmarkStart w:id="100019" w:name="_Toc100019"/>
      <w:r>
        <w:rPr>
          <w:rFonts w:ascii="Times New Roman" w:eastAsia="Times New Roman" w:hAnsi="Times New Roman"/>
          <w:b/>
          <w:bCs/>
          <w:color w:val="1A4A7A"/>
          <w:sz w:val="32"/>
          <w:szCs w:val="32"/>
        </w:rPr>
        <w:t xml:space="preserve">4. Audit de sécurité — OWASP Top 10 et RGPD</w:t>
      </w:r>
      <w:bookmarkEnd w:id="100019"/>
    </w:p>
    <w:p>
      <w:pPr>
        <w:pStyle w:val="Heading2"/>
        <w:spacing w:after="140" w:before="280" w:line="312"/>
      </w:pPr>
      <w:bookmarkStart w:id="100020" w:name="_Toc100020"/>
      <w:r>
        <w:rPr>
          <w:rFonts w:ascii="Times New Roman" w:eastAsia="Times New Roman" w:hAnsi="Times New Roman"/>
          <w:b/>
          <w:bCs/>
          <w:color w:val="1A4A7A"/>
          <w:sz w:val="28"/>
          <w:szCs w:val="28"/>
        </w:rPr>
        <w:t xml:space="preserve">4.1 Grille OWASP Top 10</w:t>
      </w:r>
      <w:bookmarkEnd w:id="100020"/>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L’analyse a couvert les dix catégories du Top 10 OWASP (2021). Le bilan global est meilleur que ne le laisse craindre l’état de la configuration : les fondations Django sont bien exploitées (ORM systématique, CSRF actif, hachage robuste), mais la couche de durcissement de production est absente et deux traitements de données personnelles posent des problèmes de conformité RGPD.</w:t>
      </w:r>
    </w:p>
    <w:p>
      <w:pPr>
        <w:keepNext/>
        <w:spacing w:after="90" w:before="160" w:line="312"/>
      </w:pPr>
      <w:r>
        <w:rPr>
          <w:rFonts w:ascii="Times New Roman" w:eastAsia="Times New Roman" w:hAnsi="Times New Roman"/>
          <w:b/>
          <w:bCs/>
          <w:color w:val="1A4A7A"/>
          <w:sz w:val="20"/>
          <w:szCs w:val="20"/>
        </w:rPr>
        <w:t xml:space="preserve">Tableau 6 — Couverture OWASP Top 10 (2021)</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2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Catégorie OWASP</w:t>
            </w:r>
          </w:p>
        </w:tc>
        <w:tc>
          <w:tcPr>
            <w:tcW w:type="pct" w:w="1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Verdict</w:t>
            </w:r>
          </w:p>
        </w:tc>
        <w:tc>
          <w:tcPr>
            <w:tcW w:type="pct" w:w="5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Constats principaux</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Gravité</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A01 — Contrôle d’accès défaillant</w:t>
            </w:r>
          </w:p>
        </w:tc>
        <w:tc>
          <w:tcPr>
            <w:tcW w:type="pct" w:w="1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Admin Django exposé sans limitation de débit ni 2FA ; Rosetta (édition des traductions via le Web) monté en production ; cartes « archived » accessibles par URL directe (GalleryDetailView sans filtre)</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A02 — Défaillances cryptographiques</w:t>
            </w:r>
          </w:p>
        </w:tc>
        <w:tc>
          <w:tcPr>
            <w:tcW w:type="pct" w:w="1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Hachage pbkdf2_sha256 (1 000 000 d’itérations) correct ; aucun secret en dur dans le code ; mais HSTS, redirection HTTPS et cookies sécurisés non configurés (cf. § 4.2)</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A03 — Injection</w:t>
            </w:r>
          </w:p>
        </w:tc>
        <w:tc>
          <w:tcPr>
            <w:tcW w:type="pct" w:w="1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5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ORM exclusivement (aucune requête brute) ; auto-échappement actif ; filtre |linebreaks protège le contenu juridique ; résidus mineurs : jokers LIKE non neutralisés dans la recherche, code mort ContactInfo.get_rendered_content() utilisant le contenu comme chaîne de format</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A04 — Conception non sécurisée</w:t>
            </w:r>
          </w:p>
        </w:tc>
        <w:tc>
          <w:tcPr>
            <w:tcW w:type="pct" w:w="1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Inscription simulée côté client (§ 3.2.1) ; aucun anti-spam (honeypot, captcha, rate limit) sur newsletter et recherche ; désinscription newsletter sans confirmation</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A05 — Mauvaise configuration</w:t>
            </w:r>
          </w:p>
        </w:tc>
        <w:tc>
          <w:tcPr>
            <w:tcW w:type="pct" w:w="1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Six alertes « check --deploy » : HSTS, redirection SSL, cookies de session/CSRF, ALLOWED_HOSTS, clé secrète faible ; Rosetta et barre de debug exposés (cf. § 4.2)</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A06 — Composants vulnérables</w:t>
            </w:r>
          </w:p>
        </w:tc>
        <w:tc>
          <w:tcPr>
            <w:tcW w:type="pct" w:w="1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Django 5.2 récent ; pas de fichier de verrouillage (lock) ni d’analyse SCA (pip-audit) intégrée ; dépendances non gelées intégralement</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A07 — Défaillances d’authentification</w:t>
            </w:r>
          </w:p>
        </w:tc>
        <w:tc>
          <w:tcPr>
            <w:tcW w:type="pct" w:w="1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Validateurs de mots de passe Django actifs ; aucun mécanisme de verrouillage/limitation sur l’admin ; la fonctionnalité « mot de passe oublié » prévue au CDC est absente</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A08 — Défaillances d’intégrité logicielle</w:t>
            </w:r>
          </w:p>
        </w:tc>
        <w:tc>
          <w:tcPr>
            <w:tcW w:type="pct" w:w="1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Ressources tierces (cdnjs, unpkg, Google Fonts) sans attribut d’intégrité SRI ; pas de chaîne CI/CD signée</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A09 — Journalisation et surveillance</w:t>
            </w:r>
          </w:p>
        </w:tc>
        <w:tc>
          <w:tcPr>
            <w:tcW w:type="pct" w:w="1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configuration LOGGING ; aucun outil de suivi d’erreurs (Sentry) ; impossible d’investiguer un incident</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A10 — SSRF</w:t>
            </w:r>
          </w:p>
        </w:tc>
        <w:tc>
          <w:tcPr>
            <w:tcW w:type="pct" w:w="1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5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récupération d’URL côté serveur</w:t>
            </w:r>
          </w:p>
        </w:tc>
      </w:tr>
    </w:tbl>
    <w:p>
      <w:pPr>
        <w:spacing w:after="220" w:before="60" w:line="312"/>
        <w:jc w:val="center"/>
      </w:pPr>
      <w:r>
        <w:rPr>
          <w:rFonts w:ascii="Times New Roman" w:eastAsia="Times New Roman" w:hAnsi="Times New Roman"/>
          <w:i/>
          <w:iCs/>
          <w:color w:val="5A7A96"/>
          <w:sz w:val="18"/>
          <w:szCs w:val="18"/>
        </w:rPr>
        <w:t xml:space="preserve">Grille OWASP Top 10 appliquée au dépôt sig-web-site</w:t>
      </w:r>
    </w:p>
    <w:p>
      <w:pPr>
        <w:pStyle w:val="Heading2"/>
        <w:spacing w:after="140" w:before="280" w:line="312"/>
      </w:pPr>
      <w:bookmarkStart w:id="100021" w:name="_Toc100021"/>
      <w:r>
        <w:rPr>
          <w:rFonts w:ascii="Times New Roman" w:eastAsia="Times New Roman" w:hAnsi="Times New Roman"/>
          <w:b/>
          <w:bCs/>
          <w:color w:val="1A4A7A"/>
          <w:sz w:val="28"/>
          <w:szCs w:val="28"/>
        </w:rPr>
        <w:t xml:space="preserve">4.2 A05 — Durcissement de production (constat critique)</w:t>
      </w:r>
      <w:bookmarkEnd w:id="100021"/>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fichier core/settings/prod.py se limite à trois lignes effectives : import du base, DEBUG à False et ALLOWED_HOSTS lu dans l’environnement (par défaut vide). Aucun réglage de sécurité n’y figure. Exécuté sur cette configuration, l’outil officiel « manage.py check --deploy » émet </w:t>
      </w:r>
      <w:r>
        <w:rPr>
          <w:rFonts w:ascii="Times New Roman" w:eastAsia="Times New Roman" w:hAnsi="Times New Roman"/>
          <w:b/>
          <w:bCs/>
          <w:i w:val="false"/>
          <w:iCs w:val="false"/>
          <w:color w:val="000000"/>
          <w:sz w:val="24"/>
          <w:szCs w:val="24"/>
        </w:rPr>
        <w:t xml:space="preserve">six avertissements de sécurité</w:t>
      </w:r>
      <w:r>
        <w:rPr>
          <w:rFonts w:ascii="Times New Roman" w:eastAsia="Times New Roman" w:hAnsi="Times New Roman"/>
          <w:b w:val="false"/>
          <w:bCs w:val="false"/>
          <w:i w:val="false"/>
          <w:iCs w:val="false"/>
          <w:color w:val="000000"/>
          <w:sz w:val="24"/>
          <w:szCs w:val="24"/>
        </w:rPr>
        <w:t xml:space="preserve"> (security.W004, W008, W009, W012, W016, W020) : absence de HSTS, absence de redirection HTTPS, cookies de session et CSRF sans l’attribut Secure, ALLOWED_HOSTS vide et clé secrète faible (celle du .env livré). En l’état, la production serait vulnérable au dégradement de connexion (downgrade), à l’interception de session sur réseau non fiable et à l’empoisonnement du cache d’un hébergeur virtuel multi-domaines. Le correctif ci-dessous, à insérer dans prod.py, traite l’intégralité de ces alertes.</w:t>
      </w:r>
    </w:p>
    <w:p>
      <w:pPr>
        <w:keepNext/>
        <w:spacing w:after="80" w:before="140" w:line="312"/>
      </w:pPr>
      <w:r>
        <w:rPr>
          <w:rFonts w:ascii="Times New Roman" w:eastAsia="Times New Roman" w:hAnsi="Times New Roman"/>
          <w:b/>
          <w:bCs/>
          <w:color w:val="142840"/>
          <w:sz w:val="20"/>
          <w:szCs w:val="20"/>
        </w:rPr>
        <w:t xml:space="preserve">Correctif proposé — core/settings/prod.py (durcissement complet)</w:t>
      </w:r>
    </w:p>
    <w:tbl>
      <w:tblPr>
        <w:tblW w:type="pct" w:w="100%"/>
        <w:tblBorders>
          <w:top w:val="none" w:color="FFFFFF" w:sz="0"/>
          <w:left w:val="single" w:color="4DA8DA" w:sz="18"/>
          <w:bottom w:val="none" w:color="FFFFFF" w:sz="0"/>
          <w:right w:val="none" w:color="FFFFFF" w:sz="0"/>
          <w:insideH w:val="none" w:color="FFFFFF" w:sz="0"/>
          <w:insideV w:val="none" w:color="FFFFFF" w:sz="0"/>
        </w:tblBorders>
        <w:tblLayout w:type="fixed"/>
      </w:tblPr>
      <w:tblGrid>
        <w:gridCol w:w="100"/>
      </w:tblGrid>
      <w:tr>
        <w:trPr>
          <w:cantSplit w:val="false"/>
        </w:trPr>
        <w:tc>
          <w:tcPr>
            <w:tcW w:type="pct" w:w="100%"/>
            <w:shd w:fill="F0F4F8" w:val="clear"/>
            <w:tcMar>
              <w:top w:type="dxa" w:w="120"/>
              <w:left w:type="dxa" w:w="200"/>
              <w:bottom w:type="dxa" w:w="120"/>
              <w:right w:type="dxa" w:w="160"/>
            </w:tcMar>
          </w:tcPr>
          <w:p>
            <w:pPr>
              <w:spacing w:after="0" w:line="260"/>
              <w:jc w:val="left"/>
            </w:pPr>
            <w:r>
              <w:rPr>
                <w:rFonts w:ascii="Courier New" w:eastAsia="Courier New" w:hAnsi="Courier New"/>
                <w:color w:val="142840"/>
                <w:sz w:val="17"/>
                <w:szCs w:val="17"/>
              </w:rPr>
              <w:t xml:space="preserve">from .base import *</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DEBUG = False</w:t>
            </w:r>
          </w:p>
          <w:p>
            <w:pPr>
              <w:spacing w:after="0" w:line="260"/>
              <w:jc w:val="left"/>
            </w:pPr>
            <w:r>
              <w:rPr>
                <w:rFonts w:ascii="Courier New" w:eastAsia="Courier New" w:hAnsi="Courier New"/>
                <w:color w:val="142840"/>
                <w:sz w:val="17"/>
                <w:szCs w:val="17"/>
              </w:rPr>
              <w:t xml:space="preserve">ALLOWED_HOSTS = env.list('DJANGO_ALLOWED_HOSTS')  # obligatoire, ex. ['www.sigtg.tech']</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 HTTPS / HSTS ---</w:t>
            </w:r>
          </w:p>
          <w:p>
            <w:pPr>
              <w:spacing w:after="0" w:line="260"/>
              <w:jc w:val="left"/>
            </w:pPr>
            <w:r>
              <w:rPr>
                <w:rFonts w:ascii="Courier New" w:eastAsia="Courier New" w:hAnsi="Courier New"/>
                <w:color w:val="142840"/>
                <w:sz w:val="17"/>
                <w:szCs w:val="17"/>
              </w:rPr>
              <w:t xml:space="preserve">SECURE_SSL_REDIRECT = True</w:t>
            </w:r>
          </w:p>
          <w:p>
            <w:pPr>
              <w:spacing w:after="0" w:line="260"/>
              <w:jc w:val="left"/>
            </w:pPr>
            <w:r>
              <w:rPr>
                <w:rFonts w:ascii="Courier New" w:eastAsia="Courier New" w:hAnsi="Courier New"/>
                <w:color w:val="142840"/>
                <w:sz w:val="17"/>
                <w:szCs w:val="17"/>
              </w:rPr>
              <w:t xml:space="preserve">SECURE_HSTS_SECONDS = 31536000          # 1 an (démarrer à 3600 en pilote)</w:t>
            </w:r>
          </w:p>
          <w:p>
            <w:pPr>
              <w:spacing w:after="0" w:line="260"/>
              <w:jc w:val="left"/>
            </w:pPr>
            <w:r>
              <w:rPr>
                <w:rFonts w:ascii="Courier New" w:eastAsia="Courier New" w:hAnsi="Courier New"/>
                <w:color w:val="142840"/>
                <w:sz w:val="17"/>
                <w:szCs w:val="17"/>
              </w:rPr>
              <w:t xml:space="preserve">SECURE_HSTS_INCLUDE_SUBDOMAINS = True</w:t>
            </w:r>
          </w:p>
          <w:p>
            <w:pPr>
              <w:spacing w:after="0" w:line="260"/>
              <w:jc w:val="left"/>
            </w:pPr>
            <w:r>
              <w:rPr>
                <w:rFonts w:ascii="Courier New" w:eastAsia="Courier New" w:hAnsi="Courier New"/>
                <w:color w:val="142840"/>
                <w:sz w:val="17"/>
                <w:szCs w:val="17"/>
              </w:rPr>
              <w:t xml:space="preserve">SECURE_PROXY_SSL_HEADER = ('HTTP_X_FORWARDED_PROTO', 'https')  # derrière Nginx</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 Cookies ---</w:t>
            </w:r>
          </w:p>
          <w:p>
            <w:pPr>
              <w:spacing w:after="0" w:line="260"/>
              <w:jc w:val="left"/>
            </w:pPr>
            <w:r>
              <w:rPr>
                <w:rFonts w:ascii="Courier New" w:eastAsia="Courier New" w:hAnsi="Courier New"/>
                <w:color w:val="142840"/>
                <w:sz w:val="17"/>
                <w:szCs w:val="17"/>
              </w:rPr>
              <w:t xml:space="preserve">SESSION_COOKIE_SECURE = True</w:t>
            </w:r>
          </w:p>
          <w:p>
            <w:pPr>
              <w:spacing w:after="0" w:line="260"/>
              <w:jc w:val="left"/>
            </w:pPr>
            <w:r>
              <w:rPr>
                <w:rFonts w:ascii="Courier New" w:eastAsia="Courier New" w:hAnsi="Courier New"/>
                <w:color w:val="142840"/>
                <w:sz w:val="17"/>
                <w:szCs w:val="17"/>
              </w:rPr>
              <w:t xml:space="preserve">CSRF_COOKIE_SECURE = True</w:t>
            </w:r>
          </w:p>
          <w:p>
            <w:pPr>
              <w:spacing w:after="0" w:line="260"/>
              <w:jc w:val="left"/>
            </w:pPr>
            <w:r>
              <w:rPr>
                <w:rFonts w:ascii="Courier New" w:eastAsia="Courier New" w:hAnsi="Courier New"/>
                <w:color w:val="142840"/>
                <w:sz w:val="17"/>
                <w:szCs w:val="17"/>
              </w:rPr>
              <w:t xml:space="preserve">SESSION_COOKIE_AGE = 1209600            # 14 j, ajustable via 'Se souvenir de moi'</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 En-têtes de réponse ---</w:t>
            </w:r>
          </w:p>
          <w:p>
            <w:pPr>
              <w:spacing w:after="0" w:line="260"/>
              <w:jc w:val="left"/>
            </w:pPr>
            <w:r>
              <w:rPr>
                <w:rFonts w:ascii="Courier New" w:eastAsia="Courier New" w:hAnsi="Courier New"/>
                <w:color w:val="142840"/>
                <w:sz w:val="17"/>
                <w:szCs w:val="17"/>
              </w:rPr>
              <w:t xml:space="preserve">SECURE_CONTENT_TYPE_NOSNIFF = True</w:t>
            </w:r>
          </w:p>
          <w:p>
            <w:pPr>
              <w:spacing w:after="0" w:line="260"/>
              <w:jc w:val="left"/>
            </w:pPr>
            <w:r>
              <w:rPr>
                <w:rFonts w:ascii="Courier New" w:eastAsia="Courier New" w:hAnsi="Courier New"/>
                <w:color w:val="142840"/>
                <w:sz w:val="17"/>
                <w:szCs w:val="17"/>
              </w:rPr>
              <w:t xml:space="preserve">SECURE_REFERRER_POLICY = 'strict-origin-when-cross-origin'</w:t>
            </w:r>
          </w:p>
          <w:p>
            <w:pPr>
              <w:spacing w:after="0" w:line="260"/>
              <w:jc w:val="left"/>
            </w:pPr>
            <w:r>
              <w:rPr>
                <w:rFonts w:ascii="Courier New" w:eastAsia="Courier New" w:hAnsi="Courier New"/>
                <w:color w:val="142840"/>
                <w:sz w:val="17"/>
                <w:szCs w:val="17"/>
              </w:rPr>
              <w:t xml:space="preserve">X_FRAME_OPTIONS = 'DENY'</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 Outils de développement interdits en production ---</w:t>
            </w:r>
          </w:p>
          <w:p>
            <w:pPr>
              <w:spacing w:after="0" w:line="260"/>
              <w:jc w:val="left"/>
            </w:pPr>
            <w:r>
              <w:rPr>
                <w:rFonts w:ascii="Courier New" w:eastAsia="Courier New" w:hAnsi="Courier New"/>
                <w:color w:val="142840"/>
                <w:sz w:val="17"/>
                <w:szCs w:val="17"/>
              </w:rPr>
              <w:t xml:space="preserve">if not DEBUG:</w:t>
            </w:r>
          </w:p>
          <w:p>
            <w:pPr>
              <w:spacing w:after="0" w:line="260"/>
              <w:jc w:val="left"/>
            </w:pPr>
            <w:r>
              <w:rPr>
                <w:rFonts w:ascii="Courier New" w:eastAsia="Courier New" w:hAnsi="Courier New"/>
                <w:color w:val="142840"/>
                <w:sz w:val="17"/>
                <w:szCs w:val="17"/>
              </w:rPr>
              <w:t xml:space="preserve">    INSTALLED_APPS = [a for a in INSTALLED_APPS if a != 'rosetta']</w:t>
            </w:r>
          </w:p>
        </w:tc>
      </w:tr>
    </w:tbl>
    <w:p>
      <w:pPr>
        <w:spacing w:after="200" w:before="60" w:line="312"/>
      </w:pPr>
      <w:r>
        <w:rPr>
          <w:rFonts w:ascii="Times New Roman" w:eastAsia="Times New Roman" w:hAnsi="Times New Roman"/>
          <w:i/>
          <w:iCs/>
          <w:color w:val="5A7A96"/>
          <w:sz w:val="18"/>
          <w:szCs w:val="18"/>
        </w:rPr>
        <w:t xml:space="preserve">Code 1 — Réglages de production à appliquer ; ils font disparaître les six alertes W004/W008/W009/W012/W016/W020</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Deux points complémentaires : la clé secrète doit être régénérée (50 caractères aléatoires minimum) et stockée uniquement dans l’environnement du serveur — celle du .env livré, préfixée « django-insecure- », doit être considérée comme compromise ; et l’application rosetta, qui permet d’éditer les fichiers de traduction depuis le Web, doit être retirée des installations de production (elle est actuellement montée sans condition dans core/urls.py).</w:t>
      </w:r>
    </w:p>
    <w:p>
      <w:pPr>
        <w:pStyle w:val="Heading2"/>
        <w:spacing w:after="140" w:before="280" w:line="312"/>
      </w:pPr>
      <w:bookmarkStart w:id="100022" w:name="_Toc100022"/>
      <w:r>
        <w:rPr>
          <w:rFonts w:ascii="Times New Roman" w:eastAsia="Times New Roman" w:hAnsi="Times New Roman"/>
          <w:b/>
          <w:bCs/>
          <w:color w:val="1A4A7A"/>
          <w:sz w:val="28"/>
          <w:szCs w:val="28"/>
        </w:rPr>
        <w:t xml:space="preserve">4.3 Conformité RGPD et protection des données</w:t>
      </w:r>
      <w:bookmarkEnd w:id="100022"/>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Deux traitements sont directement problématiques. Premièrement, la vue de recherche (search/views.py) enregistre systématiquement dans la table search_searchhistory la requête et l’adresse IP de tout visiteur, y compris anonyme : l’IP est une donnée personnelle au sens du RGPD (CJUE, arrêt Breyer), et ce stockage sans information préalable, sans base légale documentée ni durée de conservation expose l’entreprise. Deuxièmement, l’absence de bannière de consentement (§ 3.2.3) signifie qu’aucune base légale valide ne pourrait encadrer un jour l’activation d’outils de mesure d’audience — le couple « politique cookies sans mécanisme de consentement » n’est pas défendable en cas de contrôle. À l’inverse, la redirection d’inscription prévue côté serveur vers la plateforme métier transmettait nom, e-mail et organisation en paramètres d’URL (visibles dans les journaux et l’historique du navigateur) : le correctif de la vue d’inscription doit remplacer ce mécanisme par un envoi en POST ou par une transmission côté serveur (token signé). Enfin, il est recommandé de mentionner la rétention appliquée au tableau d’historique de recherche dans la politique de confidentialité, et de purger le contenu déjà accumulé en base de développement.</w:t>
      </w:r>
    </w:p>
    <w:p>
      <w:pPr>
        <w:keepNext/>
        <w:spacing w:after="80" w:before="140" w:line="312"/>
      </w:pPr>
      <w:r>
        <w:rPr>
          <w:rFonts w:ascii="Times New Roman" w:eastAsia="Times New Roman" w:hAnsi="Times New Roman"/>
          <w:b/>
          <w:bCs/>
          <w:color w:val="142840"/>
          <w:sz w:val="20"/>
          <w:szCs w:val="20"/>
        </w:rPr>
        <w:t xml:space="preserve">Correctif proposé — search/views.py (anonymisation et rétention)</w:t>
      </w:r>
    </w:p>
    <w:tbl>
      <w:tblPr>
        <w:tblW w:type="pct" w:w="100%"/>
        <w:tblBorders>
          <w:top w:val="none" w:color="FFFFFF" w:sz="0"/>
          <w:left w:val="single" w:color="4DA8DA" w:sz="18"/>
          <w:bottom w:val="none" w:color="FFFFFF" w:sz="0"/>
          <w:right w:val="none" w:color="FFFFFF" w:sz="0"/>
          <w:insideH w:val="none" w:color="FFFFFF" w:sz="0"/>
          <w:insideV w:val="none" w:color="FFFFFF" w:sz="0"/>
        </w:tblBorders>
        <w:tblLayout w:type="fixed"/>
      </w:tblPr>
      <w:tblGrid>
        <w:gridCol w:w="100"/>
      </w:tblGrid>
      <w:tr>
        <w:trPr>
          <w:cantSplit w:val="false"/>
        </w:trPr>
        <w:tc>
          <w:tcPr>
            <w:tcW w:type="pct" w:w="100%"/>
            <w:shd w:fill="F0F4F8" w:val="clear"/>
            <w:tcMar>
              <w:top w:type="dxa" w:w="120"/>
              <w:left w:type="dxa" w:w="200"/>
              <w:bottom w:type="dxa" w:w="120"/>
              <w:right w:type="dxa" w:w="160"/>
            </w:tcMar>
          </w:tcPr>
          <w:p>
            <w:pPr>
              <w:spacing w:after="0" w:line="260"/>
              <w:jc w:val="left"/>
            </w:pPr>
            <w:r>
              <w:rPr>
                <w:rFonts w:ascii="Courier New" w:eastAsia="Courier New" w:hAnsi="Courier New"/>
                <w:color w:val="142840"/>
                <w:sz w:val="17"/>
                <w:szCs w:val="17"/>
              </w:rPr>
              <w:t xml:space="preserve">import hashlib</w:t>
            </w:r>
          </w:p>
          <w:p>
            <w:pPr>
              <w:spacing w:after="0" w:line="260"/>
              <w:jc w:val="left"/>
            </w:pPr>
            <w:r>
              <w:rPr>
                <w:rFonts w:ascii="Courier New" w:eastAsia="Courier New" w:hAnsi="Courier New"/>
                <w:color w:val="142840"/>
                <w:sz w:val="17"/>
                <w:szCs w:val="17"/>
              </w:rPr>
              <w:t xml:space="preserve">from django.conf import settings</w:t>
            </w:r>
          </w:p>
          <w:p>
            <w:pPr>
              <w:spacing w:after="0" w:line="260"/>
              <w:jc w:val="left"/>
            </w:pPr>
            <w:r>
              <w:rPr>
                <w:rFonts w:ascii="Courier New" w:eastAsia="Courier New" w:hAnsi="Courier New"/>
                <w:color w:val="142840"/>
                <w:sz w:val="17"/>
                <w:szCs w:val="17"/>
              </w:rPr>
              <w:t xml:space="preserve">from django.utils import timezone</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def _pseudo_ip(ip: str) -&gt; str:</w:t>
            </w:r>
          </w:p>
          <w:p>
            <w:pPr>
              <w:spacing w:after="0" w:line="260"/>
              <w:jc w:val="left"/>
            </w:pPr>
            <w:r>
              <w:rPr>
                <w:rFonts w:ascii="Courier New" w:eastAsia="Courier New" w:hAnsi="Courier New"/>
                <w:color w:val="142840"/>
                <w:sz w:val="17"/>
                <w:szCs w:val="17"/>
              </w:rPr>
              <w:t xml:space="preserve">    """Pseudo-anonymise l'IP (RGPD art. 32) avec une clé tournante mensuelle."""</w:t>
            </w:r>
          </w:p>
          <w:p>
            <w:pPr>
              <w:spacing w:after="0" w:line="260"/>
              <w:jc w:val="left"/>
            </w:pPr>
            <w:r>
              <w:rPr>
                <w:rFonts w:ascii="Courier New" w:eastAsia="Courier New" w:hAnsi="Courier New"/>
                <w:color w:val="142840"/>
                <w:sz w:val="17"/>
                <w:szCs w:val="17"/>
              </w:rPr>
              <w:t xml:space="preserve">    salt = timezone.now().strftime('%Y-%m')</w:t>
            </w:r>
          </w:p>
          <w:p>
            <w:pPr>
              <w:spacing w:after="0" w:line="260"/>
              <w:jc w:val="left"/>
            </w:pPr>
            <w:r>
              <w:rPr>
                <w:rFonts w:ascii="Courier New" w:eastAsia="Courier New" w:hAnsi="Courier New"/>
                <w:color w:val="142840"/>
                <w:sz w:val="17"/>
                <w:szCs w:val="17"/>
              </w:rPr>
              <w:t xml:space="preserve">    return hashlib.sha256(f"{settings.SECRET_KEY}:{salt}:{ip}".encode()).hexdigest()[:16]</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Dans SearchView.get() :</w:t>
            </w:r>
          </w:p>
          <w:p>
            <w:pPr>
              <w:spacing w:after="0" w:line="260"/>
              <w:jc w:val="left"/>
            </w:pPr>
            <w:r>
              <w:rPr>
                <w:rFonts w:ascii="Courier New" w:eastAsia="Courier New" w:hAnsi="Courier New"/>
                <w:color w:val="142840"/>
                <w:sz w:val="17"/>
                <w:szCs w:val="17"/>
              </w:rPr>
              <w:t xml:space="preserve">if len(query) &lt;= 120:                      # borne la longueur stockée</w:t>
            </w:r>
          </w:p>
          <w:p>
            <w:pPr>
              <w:spacing w:after="0" w:line="260"/>
              <w:jc w:val="left"/>
            </w:pPr>
            <w:r>
              <w:rPr>
                <w:rFonts w:ascii="Courier New" w:eastAsia="Courier New" w:hAnsi="Courier New"/>
                <w:color w:val="142840"/>
                <w:sz w:val="17"/>
                <w:szCs w:val="17"/>
              </w:rPr>
              <w:t xml:space="preserve">    SearchHistory.objects.create(</w:t>
            </w:r>
          </w:p>
          <w:p>
            <w:pPr>
              <w:spacing w:after="0" w:line="260"/>
              <w:jc w:val="left"/>
            </w:pPr>
            <w:r>
              <w:rPr>
                <w:rFonts w:ascii="Courier New" w:eastAsia="Courier New" w:hAnsi="Courier New"/>
                <w:color w:val="142840"/>
                <w:sz w:val="17"/>
                <w:szCs w:val="17"/>
              </w:rPr>
              <w:t xml:space="preserve">        query=query[:120],</w:t>
            </w:r>
          </w:p>
          <w:p>
            <w:pPr>
              <w:spacing w:after="0" w:line="260"/>
              <w:jc w:val="left"/>
            </w:pPr>
            <w:r>
              <w:rPr>
                <w:rFonts w:ascii="Courier New" w:eastAsia="Courier New" w:hAnsi="Courier New"/>
                <w:color w:val="142840"/>
                <w:sz w:val="17"/>
                <w:szCs w:val="17"/>
              </w:rPr>
              <w:t xml:space="preserve">        ip_address=None,                   # ne plus stocker l'IP en clair</w:t>
            </w:r>
          </w:p>
          <w:p>
            <w:pPr>
              <w:spacing w:after="0" w:line="260"/>
              <w:jc w:val="left"/>
            </w:pPr>
            <w:r>
              <w:rPr>
                <w:rFonts w:ascii="Courier New" w:eastAsia="Courier New" w:hAnsi="Courier New"/>
                <w:color w:val="142840"/>
                <w:sz w:val="17"/>
                <w:szCs w:val="17"/>
              </w:rPr>
              <w:t xml:space="preserve">        ip_hash=_pseudo_ip(self.get_client_ip(request)),</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Purge périodique (management command + cron) :</w:t>
            </w:r>
          </w:p>
          <w:p>
            <w:pPr>
              <w:spacing w:after="0" w:line="260"/>
              <w:jc w:val="left"/>
            </w:pPr>
            <w:r>
              <w:rPr>
                <w:rFonts w:ascii="Courier New" w:eastAsia="Courier New" w:hAnsi="Courier New"/>
                <w:color w:val="142840"/>
                <w:sz w:val="17"/>
                <w:szCs w:val="17"/>
              </w:rPr>
              <w:t xml:space="preserve"># SearchHistory.objects.filter(created_at__lt=timezone.now()-timezone.timedelta(days=30)).delete()</w:t>
            </w:r>
          </w:p>
        </w:tc>
      </w:tr>
    </w:tbl>
    <w:p>
      <w:pPr>
        <w:spacing w:after="200" w:before="60" w:line="312"/>
      </w:pPr>
      <w:r>
        <w:rPr>
          <w:rFonts w:ascii="Times New Roman" w:eastAsia="Times New Roman" w:hAnsi="Times New Roman"/>
          <w:i/>
          <w:iCs/>
          <w:color w:val="5A7A96"/>
          <w:sz w:val="18"/>
          <w:szCs w:val="18"/>
        </w:rPr>
        <w:t xml:space="preserve">Code 2 — Pseudo-anonymisation immédiate et purge à 30 jours ; alternative recommandée : ne journaliser qu’un compteur agrégé de recherches</w:t>
      </w:r>
    </w:p>
    <w:p>
      <w:pPr>
        <w:pStyle w:val="Heading2"/>
        <w:spacing w:after="140" w:before="280" w:line="312"/>
      </w:pPr>
      <w:bookmarkStart w:id="100023" w:name="_Toc100023"/>
      <w:r>
        <w:rPr>
          <w:rFonts w:ascii="Times New Roman" w:eastAsia="Times New Roman" w:hAnsi="Times New Roman"/>
          <w:b/>
          <w:bCs/>
          <w:color w:val="1A4A7A"/>
          <w:sz w:val="28"/>
          <w:szCs w:val="28"/>
        </w:rPr>
        <w:t xml:space="preserve">4.4 Vulnérabilités applicatives ciblées</w:t>
      </w:r>
      <w:bookmarkEnd w:id="100023"/>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ContactInfo.get_rendered_content() (contact/models.py) : </w:t>
      </w:r>
      <w:r>
        <w:rPr>
          <w:rFonts w:ascii="Times New Roman" w:eastAsia="Times New Roman" w:hAnsi="Times New Roman"/>
          <w:b w:val="false"/>
          <w:bCs w:val="false"/>
          <w:i w:val="false"/>
          <w:iCs w:val="false"/>
          <w:color w:val="000000"/>
          <w:sz w:val="24"/>
          <w:szCs w:val="24"/>
        </w:rPr>
        <w:t xml:space="preserve">transmet le contenu administrable comme chaîne de format à format_html() — une accolade « { } » dans le contenu provoque une erreur 500, et le contenu n’est pas échappé quand il est passé en premier argument. Le code est actuellement mort (le gabarit utilise info.content|linebreaks) mais doit être corrigé ou supprimé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SearchAutocompleteView (search/views.py) : </w:t>
      </w:r>
      <w:r>
        <w:rPr>
          <w:rFonts w:ascii="Times New Roman" w:eastAsia="Times New Roman" w:hAnsi="Times New Roman"/>
          <w:b w:val="false"/>
          <w:bCs w:val="false"/>
          <w:i w:val="false"/>
          <w:iCs w:val="false"/>
          <w:color w:val="000000"/>
          <w:sz w:val="24"/>
          <w:szCs w:val="24"/>
        </w:rPr>
        <w:t xml:space="preserve">int(request.GET.get('limit', 10)) sans garde — une valeur non numérique déclenche une erreur 500 exploitable ; la recherche icontains laisse passer les jokers % et _ (déni de service léger sur les requêtes)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get_client_ip() : </w:t>
      </w:r>
      <w:r>
        <w:rPr>
          <w:rFonts w:ascii="Times New Roman" w:eastAsia="Times New Roman" w:hAnsi="Times New Roman"/>
          <w:b w:val="false"/>
          <w:bCs w:val="false"/>
          <w:i w:val="false"/>
          <w:iCs w:val="false"/>
          <w:color w:val="000000"/>
          <w:sz w:val="24"/>
          <w:szCs w:val="24"/>
        </w:rPr>
        <w:t xml:space="preserve">fait aveuglément confiance à l’en-tête X-Forwarded-For (usurpable) — acceptable uniquement derrière un reverse proxy qui l’écrase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GalleryDetailView : </w:t>
      </w:r>
      <w:r>
        <w:rPr>
          <w:rFonts w:ascii="Times New Roman" w:eastAsia="Times New Roman" w:hAnsi="Times New Roman"/>
          <w:b w:val="false"/>
          <w:bCs w:val="false"/>
          <w:i w:val="false"/>
          <w:iCs w:val="false"/>
          <w:color w:val="000000"/>
          <w:sz w:val="24"/>
          <w:szCs w:val="24"/>
        </w:rPr>
        <w:t xml:space="preserve">ne filtre pas archived=False — les cartes retirées restent accessibles par URL directe (fuite d’information mineure)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Ressources tierces sans SRI : </w:t>
      </w:r>
      <w:r>
        <w:rPr>
          <w:rFonts w:ascii="Times New Roman" w:eastAsia="Times New Roman" w:hAnsi="Times New Roman"/>
          <w:b w:val="false"/>
          <w:bCs w:val="false"/>
          <w:i w:val="false"/>
          <w:iCs w:val="false"/>
          <w:color w:val="000000"/>
          <w:sz w:val="24"/>
          <w:szCs w:val="24"/>
        </w:rPr>
        <w:t xml:space="preserve">Font Awesome (cdnjs), Leaflet (unpkg) et les polices Google sont chargées sans attribut d’intégrité ; l’auto-hébergement de ces actifs, recommandé au § 5.3, règle également le point de conformité RGPD lié aux polices Google jugées non conformes par les autorités européennes.</w:t>
      </w:r>
    </w:p>
    <w:p>
      <w:pPr>
        <w:pStyle w:val="Heading2"/>
        <w:spacing w:after="140" w:before="280" w:line="312"/>
      </w:pPr>
      <w:bookmarkStart w:id="100024" w:name="_Toc100024"/>
      <w:r>
        <w:rPr>
          <w:rFonts w:ascii="Times New Roman" w:eastAsia="Times New Roman" w:hAnsi="Times New Roman"/>
          <w:b/>
          <w:bCs/>
          <w:color w:val="1A4A7A"/>
          <w:sz w:val="28"/>
          <w:szCs w:val="28"/>
        </w:rPr>
        <w:t xml:space="preserve">4.5 Points forts de sécurité à préserver</w:t>
      </w:r>
      <w:bookmarkEnd w:id="10002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L’audit tient à souligner les acquis : usage exclusif de l’ORM (aucune requête SQL brute dans tout le dépôt), middleware CSRF actif avec jetons présents dans les formulaires qui en ont besoin (changement de langue, newsletter), hachage des mots de passe conforme aux défauts robustes de Django 5.2, secrets gérés par variables d’environnement via django-environ et exclus du versionnement, génération du jeton de désinscription newsletter par secrets.token_urlsafe(32), et filtres de requêtage systématiques (contenus non publiés et archivés jamais exposés sur le blog). Ces bonnes pratiques, appliquées de manière homogène par l’équipe, réduisent sensiblement la surface de risque et doivent être conservées telles quelles.</w:t>
      </w:r>
    </w:p>
    <w:p>
      <w:pPr>
        <w:pStyle w:val="Heading1"/>
        <w:spacing w:after="180" w:before="400" w:line="312"/>
      </w:pPr>
      <w:bookmarkStart w:id="100025" w:name="_Toc100025"/>
      <w:r>
        <w:rPr>
          <w:rFonts w:ascii="Times New Roman" w:eastAsia="Times New Roman" w:hAnsi="Times New Roman"/>
          <w:b/>
          <w:bCs/>
          <w:color w:val="1A4A7A"/>
          <w:sz w:val="32"/>
          <w:szCs w:val="32"/>
        </w:rPr>
        <w:t xml:space="preserve">5. Qualité du code et performance</w:t>
      </w:r>
      <w:bookmarkEnd w:id="100025"/>
    </w:p>
    <w:p>
      <w:pPr>
        <w:pStyle w:val="Heading2"/>
        <w:spacing w:after="140" w:before="280" w:line="312"/>
      </w:pPr>
      <w:bookmarkStart w:id="100026" w:name="_Toc100026"/>
      <w:r>
        <w:rPr>
          <w:rFonts w:ascii="Times New Roman" w:eastAsia="Times New Roman" w:hAnsi="Times New Roman"/>
          <w:b/>
          <w:bCs/>
          <w:color w:val="1A4A7A"/>
          <w:sz w:val="28"/>
          <w:szCs w:val="28"/>
        </w:rPr>
        <w:t xml:space="preserve">5.1 Points forts à capitaliser</w:t>
      </w:r>
      <w:bookmarkEnd w:id="100026"/>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qualité générale du code est au-dessus de la moyenne des projets de ce gabarit. La suite de tests, exécutée dans un environnement propre par l’audit, compte </w:t>
      </w:r>
      <w:r>
        <w:rPr>
          <w:rFonts w:ascii="Times New Roman" w:eastAsia="Times New Roman" w:hAnsi="Times New Roman"/>
          <w:b/>
          <w:bCs/>
          <w:i w:val="false"/>
          <w:iCs w:val="false"/>
          <w:color w:val="000000"/>
          <w:sz w:val="24"/>
          <w:szCs w:val="24"/>
        </w:rPr>
        <w:t xml:space="preserve">221 tests tous réussis en 1,3 seconde</w:t>
      </w:r>
      <w:r>
        <w:rPr>
          <w:rFonts w:ascii="Times New Roman" w:eastAsia="Times New Roman" w:hAnsi="Times New Roman"/>
          <w:b w:val="false"/>
          <w:bCs w:val="false"/>
          <w:i w:val="false"/>
          <w:iCs w:val="false"/>
          <w:color w:val="000000"/>
          <w:sz w:val="24"/>
          <w:szCs w:val="24"/>
        </w:rPr>
        <w:t xml:space="preserve"> (environ 2 200 lignes réparties en test_models.py et test_views.py par application), et la vérification système de Django ne remonte aucune anomalie. L’architecture est homogène : vues génériques Django, mixins SEO systématiques, modèles commentés avec méthodes métier, context processors propres pour le header et le footer éditables. L’internationalisation français/anglais est réellement en place (django-modeltranslation sur les contenus, fichiers .po/.mo compilés pour les deux langues, sélecteur de langue fonctionnel). Le JavaScript vanilla (405 lignes) est structuré par attributs data-*, sans dépendance externe, avec des comportements documentés en tête de fichier. Enfin, la charte technique du cahier des charges (vert #1a7f5c, bleu marine #1e3b5c, orange #f39c12, mobile-first) est respectée par les feuilles de style.</w:t>
      </w:r>
    </w:p>
    <w:p>
      <w:pPr>
        <w:pStyle w:val="Heading2"/>
        <w:spacing w:after="140" w:before="280" w:line="312"/>
      </w:pPr>
      <w:bookmarkStart w:id="100027" w:name="_Toc100027"/>
      <w:r>
        <w:rPr>
          <w:rFonts w:ascii="Times New Roman" w:eastAsia="Times New Roman" w:hAnsi="Times New Roman"/>
          <w:b/>
          <w:bCs/>
          <w:color w:val="1A4A7A"/>
          <w:sz w:val="28"/>
          <w:szCs w:val="28"/>
        </w:rPr>
        <w:t xml:space="preserve">5.2 Dette technique identifiée</w:t>
      </w:r>
      <w:bookmarkEnd w:id="100027"/>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requirements.txt : </w:t>
      </w:r>
      <w:r>
        <w:rPr>
          <w:rFonts w:ascii="Times New Roman" w:eastAsia="Times New Roman" w:hAnsi="Times New Roman"/>
          <w:b w:val="false"/>
          <w:bCs w:val="false"/>
          <w:i w:val="false"/>
          <w:iCs w:val="false"/>
          <w:color w:val="000000"/>
          <w:sz w:val="24"/>
          <w:szCs w:val="24"/>
        </w:rPr>
        <w:t xml:space="preserve">cinq dépendances déclarées deux fois, aucun fichier de verrouillage (pip-tools / poetry.lock) ni d’analyse de vulnérabilités des composants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README.md : </w:t>
      </w:r>
      <w:r>
        <w:rPr>
          <w:rFonts w:ascii="Times New Roman" w:eastAsia="Times New Roman" w:hAnsi="Times New Roman"/>
          <w:b w:val="false"/>
          <w:bCs w:val="false"/>
          <w:i w:val="false"/>
          <w:iCs w:val="false"/>
          <w:color w:val="000000"/>
          <w:sz w:val="24"/>
          <w:szCs w:val="24"/>
        </w:rPr>
        <w:t xml:space="preserve">commence par un artefact de génération (« Voici un README.md complet et professionnel… »), affiche un badge Django 4.2 alors que le projet tourne en 5.2, et documente Celery et PostGIS qui ne sont utilisés nulle part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Code mort : </w:t>
      </w:r>
      <w:r>
        <w:rPr>
          <w:rFonts w:ascii="Times New Roman" w:eastAsia="Times New Roman" w:hAnsi="Times New Roman"/>
          <w:b w:val="false"/>
          <w:bCs w:val="false"/>
          <w:i w:val="false"/>
          <w:iCs w:val="false"/>
          <w:color w:val="000000"/>
          <w:sz w:val="24"/>
          <w:szCs w:val="24"/>
        </w:rPr>
        <w:t xml:space="preserve">LegalView orpheline (URL commentée), ContactInfo.get_rendered_content() défaillant (§ 4.4), gabarit gallery/list.html redondant avec gallery_list.html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Migrations : </w:t>
      </w:r>
      <w:r>
        <w:rPr>
          <w:rFonts w:ascii="Times New Roman" w:eastAsia="Times New Roman" w:hAnsi="Times New Roman"/>
          <w:b w:val="false"/>
          <w:bCs w:val="false"/>
          <w:i w:val="false"/>
          <w:iCs w:val="false"/>
          <w:color w:val="000000"/>
          <w:sz w:val="24"/>
          <w:szCs w:val="24"/>
        </w:rPr>
        <w:t xml:space="preserve">onze migrations pages dont une fusion de conflit datant de la veille de la livraison — l’historique mériterait un compactage (squash) avant la mise en production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Base livrée vide : </w:t>
      </w:r>
      <w:r>
        <w:rPr>
          <w:rFonts w:ascii="Times New Roman" w:eastAsia="Times New Roman" w:hAnsi="Times New Roman"/>
          <w:b w:val="false"/>
          <w:bCs w:val="false"/>
          <w:i w:val="false"/>
          <w:iCs w:val="false"/>
          <w:color w:val="000000"/>
          <w:sz w:val="24"/>
          <w:szCs w:val="24"/>
        </w:rPr>
        <w:t xml:space="preserve">aucune fixture chargée (0 article, 0 tarif, 0 coordonnée de contact, 0 carte) alors que les fichiers existent dans pages/fixtures/ et blog/fixtures/ ; le site livré s’affiche donc quasi vide et ne permet pas une recette client immédiate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Livrable zip pollué : </w:t>
      </w:r>
      <w:r>
        <w:rPr>
          <w:rFonts w:ascii="Times New Roman" w:eastAsia="Times New Roman" w:hAnsi="Times New Roman"/>
          <w:b w:val="false"/>
          <w:bCs w:val="false"/>
          <w:i w:val="false"/>
          <w:iCs w:val="false"/>
          <w:color w:val="000000"/>
          <w:sz w:val="24"/>
          <w:szCs w:val="24"/>
        </w:rPr>
        <w:t xml:space="preserve">venv incomplet de 107 Mo, db.sqlite3 de développement et .env inclus dans l’archive ; le .git est également embarqué.</w:t>
      </w:r>
    </w:p>
    <w:p>
      <w:pPr>
        <w:pStyle w:val="Heading2"/>
        <w:spacing w:after="140" w:before="280" w:line="312"/>
      </w:pPr>
      <w:bookmarkStart w:id="100028" w:name="_Toc100028"/>
      <w:r>
        <w:rPr>
          <w:rFonts w:ascii="Times New Roman" w:eastAsia="Times New Roman" w:hAnsi="Times New Roman"/>
          <w:b/>
          <w:bCs/>
          <w:color w:val="1A4A7A"/>
          <w:sz w:val="28"/>
          <w:szCs w:val="28"/>
        </w:rPr>
        <w:t xml:space="preserve">5.3 Performance et objectifs chiffrés</w:t>
      </w:r>
      <w:bookmarkEnd w:id="100028"/>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cahier des charges fixe des objectifs mesurables : chargement inférieur à 2 secondes, score Lighthouse supérieur à 90, disponibilité de 99,9 %. Le code actuel n’instaure aucun des mécanismes habituels pour les atteindre en production : pas de middleware de compression (GZip), pas de stockage manifeste pour l’empreinte des fichiers statiques (ManifestStaticFilesStorage), pas de configuration de cache (CACHES absent — les requêtes de context processors s’exécutent à chaque affichage), pas d’attribut de chargement différé sur les images, et aucun outil d’optimisation d’images (django-imagekit prévu à l’issue ISS-025 du plan projet n’a jamais été intégré). Les ressources tierces (Google Fonts, Font Awesome, Leaflet) proviennent de trois CDN distincts, ce qui ajoute des allers-retours DNS/TLS et des dépendances de disponibilité externes. Le point positif : les requêtes principales utilisent select_related et des index sont posés sur les champs de filtrage ; le détail d’article charge toutefois l’intégralité de la catégorie en mémoire pour calculer les liens précédent/suivant, un point à optimiser dès que le blog grossira. Aucun score Lighthouse ne peut être certifié par cet audit documentaire : une mesure sur l’environnement de production reste à programmer (action m11 du plan).</w:t>
      </w:r>
    </w:p>
    <w:p>
      <w:pPr>
        <w:keepNext/>
        <w:spacing w:after="90" w:before="160" w:line="312"/>
      </w:pPr>
      <w:r>
        <w:rPr>
          <w:rFonts w:ascii="Times New Roman" w:eastAsia="Times New Roman" w:hAnsi="Times New Roman"/>
          <w:b/>
          <w:bCs/>
          <w:color w:val="1A4A7A"/>
          <w:sz w:val="20"/>
          <w:szCs w:val="20"/>
        </w:rPr>
        <w:t xml:space="preserve">Tableau 7 — Indicateurs cibles du cahier des charges (§ 9) et état actuel</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Indicateur (CDC)</w:t>
            </w:r>
          </w:p>
        </w:tc>
        <w:tc>
          <w:tcPr>
            <w:tcW w:type="pct" w:w="1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Cible</w:t>
            </w:r>
          </w:p>
        </w:tc>
        <w:tc>
          <w:tcPr>
            <w:tcW w:type="pct" w:w="5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État constaté</w:t>
            </w:r>
          </w:p>
        </w:tc>
      </w:tr>
      <w:tr>
        <w:trPr>
          <w:cantSplit/>
        </w:trPr>
        <w:tc>
          <w:tcPr>
            <w:tcW w:type="pct" w:w="3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Temps de chargement des pages</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2 s</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mesuré — aucun outillage de performance en place</w:t>
            </w:r>
          </w:p>
        </w:tc>
      </w:tr>
      <w:tr>
        <w:trPr>
          <w:cantSplit/>
        </w:trPr>
        <w:tc>
          <w:tcPr>
            <w:tcW w:type="pct" w:w="3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Score Lighthouse (performance)</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&gt; 90/100</w:t>
            </w:r>
          </w:p>
        </w:tc>
        <w:tc>
          <w:tcPr>
            <w:tcW w:type="pct" w:w="5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mesuré — audit documentaire, mesure à programmer</w:t>
            </w:r>
          </w:p>
        </w:tc>
      </w:tr>
      <w:tr>
        <w:trPr>
          <w:cantSplit/>
        </w:trPr>
        <w:tc>
          <w:tcPr>
            <w:tcW w:type="pct" w:w="3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Taux de rebond</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50 %</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mesurable — Google Analytics absent</w:t>
            </w:r>
          </w:p>
        </w:tc>
      </w:tr>
      <w:tr>
        <w:trPr>
          <w:cantSplit/>
        </w:trPr>
        <w:tc>
          <w:tcPr>
            <w:tcW w:type="pct" w:w="3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Visiteurs uniques mensuels</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5 000+</w:t>
            </w:r>
          </w:p>
        </w:tc>
        <w:tc>
          <w:tcPr>
            <w:tcW w:type="pct" w:w="5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mesurable — Google Analytics absent</w:t>
            </w:r>
          </w:p>
        </w:tc>
      </w:tr>
      <w:tr>
        <w:trPr>
          <w:cantSplit/>
        </w:trPr>
        <w:tc>
          <w:tcPr>
            <w:tcW w:type="pct" w:w="3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Taux de conversion vers l’inscription</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&gt; 5 %</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mesurable — et l’inscription ne capture aucun lead (§ 3.2.1)</w:t>
            </w:r>
          </w:p>
        </w:tc>
      </w:tr>
      <w:tr>
        <w:trPr>
          <w:cantSplit/>
        </w:trPr>
        <w:tc>
          <w:tcPr>
            <w:tcW w:type="pct" w:w="3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Accessibilité</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WCAG 2.1 AA</w:t>
            </w:r>
          </w:p>
        </w:tc>
        <w:tc>
          <w:tcPr>
            <w:tcW w:type="pct" w:w="5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Partiellement préparée (ARIA, focus-visible) ; audit WAVE/axe à réaliser</w:t>
            </w:r>
          </w:p>
        </w:tc>
      </w:tr>
      <w:tr>
        <w:trPr>
          <w:cantSplit/>
        </w:trPr>
        <w:tc>
          <w:tcPr>
            <w:tcW w:type="pct" w:w="3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Disponibilité (uptime)</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99,9 %</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garantissable — aucun monitoring, aucune alerte dans le dépôt</w:t>
            </w:r>
          </w:p>
        </w:tc>
      </w:tr>
    </w:tbl>
    <w:p>
      <w:pPr>
        <w:spacing w:after="220" w:before="60" w:line="312"/>
        <w:jc w:val="center"/>
      </w:pPr>
      <w:r>
        <w:rPr>
          <w:rFonts w:ascii="Times New Roman" w:eastAsia="Times New Roman" w:hAnsi="Times New Roman"/>
          <w:i/>
          <w:iCs/>
          <w:color w:val="5A7A96"/>
          <w:sz w:val="18"/>
          <w:szCs w:val="18"/>
        </w:rPr>
        <w:t xml:space="preserve">Indicateurs de performance exigés et capacité actuelle à les mesurer</w:t>
      </w:r>
    </w:p>
    <w:p>
      <w:pPr>
        <w:pStyle w:val="Heading1"/>
        <w:spacing w:after="180" w:before="400" w:line="312"/>
      </w:pPr>
      <w:bookmarkStart w:id="100029" w:name="_Toc100029"/>
      <w:r>
        <w:rPr>
          <w:rFonts w:ascii="Times New Roman" w:eastAsia="Times New Roman" w:hAnsi="Times New Roman"/>
          <w:b/>
          <w:bCs/>
          <w:color w:val="1A4A7A"/>
          <w:sz w:val="32"/>
          <w:szCs w:val="32"/>
        </w:rPr>
        <w:t xml:space="preserve">6. Plan d’action priorisé</w:t>
      </w:r>
      <w:bookmarkEnd w:id="100029"/>
    </w:p>
    <w:p>
      <w:pPr>
        <w:pStyle w:val="Heading2"/>
        <w:spacing w:after="140" w:before="280" w:line="312"/>
      </w:pPr>
      <w:bookmarkStart w:id="100030" w:name="_Toc100030"/>
      <w:r>
        <w:rPr>
          <w:rFonts w:ascii="Times New Roman" w:eastAsia="Times New Roman" w:hAnsi="Times New Roman"/>
          <w:b/>
          <w:bCs/>
          <w:color w:val="1A4A7A"/>
          <w:sz w:val="28"/>
          <w:szCs w:val="28"/>
        </w:rPr>
        <w:t xml:space="preserve">6.1 Vue d’ensemble des constats</w:t>
      </w:r>
      <w:bookmarkEnd w:id="100030"/>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Vingt-six constats ont été consignés, répartis en 5 critiques (mettant en échec des exigences explicites du cahier des charges ou la sécurité de production), 10 majeurs (nécessaires à une exploitation conforme et sereine) et 11 mineurs (qualité, hygiène et optimisation). La figure 2 illustre cette répartition. Chaque action est estimée en taille d’effort : S (demi-journée au plus), M (un à deux jours), L (trois jours et plus), en développateur confirmé Django.</w:t>
      </w:r>
    </w:p>
    <w:p>
      <w:pPr>
        <w:keepNext/>
        <w:spacing w:after="40" w:before="120"/>
        <w:jc w:val="center"/>
      </w:pPr>
      <w:r>
        <w:drawing>
          <wp:inline distT="0" distB="0" distL="0" distR="0">
            <wp:extent cx="4476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733675"/>
                    </a:xfrm>
                    <a:prstGeom prst="rect">
                      <a:avLst/>
                    </a:prstGeom>
                  </pic:spPr>
                </pic:pic>
              </a:graphicData>
            </a:graphic>
          </wp:inline>
        </w:drawing>
      </w:r>
    </w:p>
    <w:p>
      <w:pPr>
        <w:spacing w:after="220" w:before="60" w:line="312"/>
        <w:jc w:val="center"/>
      </w:pPr>
      <w:r>
        <w:rPr>
          <w:rFonts w:ascii="Times New Roman" w:eastAsia="Times New Roman" w:hAnsi="Times New Roman"/>
          <w:i/>
          <w:iCs/>
          <w:color w:val="5A7A96"/>
          <w:sz w:val="18"/>
          <w:szCs w:val="18"/>
        </w:rPr>
        <w:t xml:space="preserve">Figure 2 — Répartition des 26 constats par gravité</w:t>
      </w:r>
    </w:p>
    <w:p>
      <w:pPr>
        <w:pStyle w:val="Heading2"/>
        <w:spacing w:after="140" w:before="280" w:line="312"/>
      </w:pPr>
      <w:bookmarkStart w:id="100031" w:name="_Toc100031"/>
      <w:r>
        <w:rPr>
          <w:rFonts w:ascii="Times New Roman" w:eastAsia="Times New Roman" w:hAnsi="Times New Roman"/>
          <w:b/>
          <w:bCs/>
          <w:color w:val="1A4A7A"/>
          <w:sz w:val="28"/>
          <w:szCs w:val="28"/>
        </w:rPr>
        <w:t xml:space="preserve">6.2 Actions critiques — à traiter avant toute mise en ligne</w:t>
      </w:r>
      <w:bookmarkEnd w:id="100031"/>
    </w:p>
    <w:p>
      <w:pPr>
        <w:keepNext/>
        <w:spacing w:after="90" w:before="160" w:line="312"/>
      </w:pPr>
      <w:r>
        <w:rPr>
          <w:rFonts w:ascii="Times New Roman" w:eastAsia="Times New Roman" w:hAnsi="Times New Roman"/>
          <w:b/>
          <w:bCs/>
          <w:color w:val="1A4A7A"/>
          <w:sz w:val="20"/>
          <w:szCs w:val="20"/>
        </w:rPr>
        <w:t xml:space="preserve">Tableau 8 — Actions critiques (C1 à C5)</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6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Effort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Brancher le formulaire d’inscription : Django Form + jeton CSRF, validation serveur, enregistrement du lead (aligner les noms de champs), écran de succès servi par le serveur, transmission POST vers SIG Platform (supprimer les données personnelles de la chaîne de requête)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leads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C2</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Créer le formulaire de contact : modèle ContactRequest (nom, prénom, organisation, e-mail, téléphone, type, objet, message, consentement RGPD), vue POST, notification e-mail aux administrateurs, accusé de réception</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contact</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C3</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Durcissement de production : appliquer le correctif prod.py (Code 1), régénérer la clé secrète, définir DJANGO_ALLOWED_HOSTS, retirer rosetta, configurer LOGGING + Sentry</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core/settings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C4</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Bannière de consentement cookies (django-cookie-consent ou équivalent) avec trois choix (accepter, paramétrer, refuser), blocage de tout script tiers avant consentement, journalisation du choix</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RGPD / front</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C5</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Conformité RGPD de la recherche : pseudo-anonymisation des IP (Code 2), purge à 30 jours, information dans la politique de confidentialité</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search</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bl>
    <w:p>
      <w:pPr>
        <w:spacing w:after="220" w:before="60" w:line="312"/>
        <w:jc w:val="center"/>
      </w:pPr>
      <w:r>
        <w:rPr>
          <w:rFonts w:ascii="Times New Roman" w:eastAsia="Times New Roman" w:hAnsi="Times New Roman"/>
          <w:i/>
          <w:iCs/>
          <w:color w:val="5A7A96"/>
          <w:sz w:val="18"/>
          <w:szCs w:val="18"/>
        </w:rPr>
        <w:t xml:space="preserve">Actions critiques — effort cumulé estimé : 7 à 11 jours-homme</w:t>
      </w:r>
    </w:p>
    <w:p>
      <w:pPr>
        <w:pStyle w:val="Heading2"/>
        <w:spacing w:after="140" w:before="280" w:line="312"/>
      </w:pPr>
      <w:bookmarkStart w:id="100032" w:name="_Toc100032"/>
      <w:r>
        <w:rPr>
          <w:rFonts w:ascii="Times New Roman" w:eastAsia="Times New Roman" w:hAnsi="Times New Roman"/>
          <w:b/>
          <w:bCs/>
          <w:color w:val="1A4A7A"/>
          <w:sz w:val="28"/>
          <w:szCs w:val="28"/>
        </w:rPr>
        <w:t xml:space="preserve">6.3 Actions majeures — nécessaires à l’exploitation conforme</w:t>
      </w:r>
      <w:bookmarkEnd w:id="100032"/>
    </w:p>
    <w:p>
      <w:pPr>
        <w:keepNext/>
        <w:spacing w:after="90" w:before="160" w:line="312"/>
      </w:pPr>
      <w:r>
        <w:rPr>
          <w:rFonts w:ascii="Times New Roman" w:eastAsia="Times New Roman" w:hAnsi="Times New Roman"/>
          <w:b/>
          <w:bCs/>
          <w:color w:val="1A4A7A"/>
          <w:sz w:val="20"/>
          <w:szCs w:val="20"/>
        </w:rPr>
        <w:t xml:space="preserve">Tableau 9 — Actions majeures (M1 à M10)</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6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Effort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Page Connexion : vue de redirection vers PLATFORM_LOGIN_URL (bouton « Se connecter » dans le header) ; si l’espace client n’existe pas encore, page d’information dédiée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pages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M2</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Réactiver la page Mentions légales : décommenter la route legal/, ajouter le lien dans le footer</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pages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M3</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E-mails transactionnels réels : SendGrid ou SMTP, réglages par environnement, notification contact, confirmation newsletter, contenu du gabarit d’accueil des leads</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core / e-mail</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M4</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PostgreSQL en production : moteur psycopg, DATABASE_URL, revérifier la recherche plein texte (les fonctions trigram exigent PostgreSQL) et les migrations</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BDD</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M5</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Charger les fixtures de démonstration et saisir le contenu éditorial du CDC (5 articles de lancement, tarifs, chiffres clés, coordonnées)</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contenu</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M6</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Ajouter le Pass Solidarité (quatrième PricingTier + encart page Tarifs)</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tarifs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M7</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Anti-spam global : honeypot + django-ratelimit sur newsletter, contact et recherche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sécurité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M8</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Chaîne de déploiement : provisioning VPS Contabo (Nginx, Gunicorn systemd, certbot), Dockerfile optionnel, CI/CD GitHub Actions (tests, migrations, collectstatic, reload)</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devops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M9</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Documentation : guide administrateur (Django Admin), guide de déploiement, procédure de sauvegarde/restauration (pg_dump + test de restauration)</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docs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M10</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Verrouiller les dépendances : dédoublonner requirements.txt, générer un lock (pip-tools) et intégrer pip-audit dans la CI</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qualité</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bl>
    <w:p>
      <w:pPr>
        <w:spacing w:after="220" w:before="60" w:line="312"/>
        <w:jc w:val="center"/>
      </w:pPr>
      <w:r>
        <w:rPr>
          <w:rFonts w:ascii="Times New Roman" w:eastAsia="Times New Roman" w:hAnsi="Times New Roman"/>
          <w:i/>
          <w:iCs/>
          <w:color w:val="5A7A96"/>
          <w:sz w:val="18"/>
          <w:szCs w:val="18"/>
        </w:rPr>
        <w:t xml:space="preserve">Actions majeures — effort cumulé estimé : 9 à 14 jours-homme</w:t>
      </w:r>
    </w:p>
    <w:p>
      <w:pPr>
        <w:pStyle w:val="Heading2"/>
        <w:spacing w:after="140" w:before="280" w:line="312"/>
      </w:pPr>
      <w:bookmarkStart w:id="100033" w:name="_Toc100033"/>
      <w:r>
        <w:rPr>
          <w:rFonts w:ascii="Times New Roman" w:eastAsia="Times New Roman" w:hAnsi="Times New Roman"/>
          <w:b/>
          <w:bCs/>
          <w:color w:val="1A4A7A"/>
          <w:sz w:val="28"/>
          <w:szCs w:val="28"/>
        </w:rPr>
        <w:t xml:space="preserve">6.4 Actions mineures — qualité et optimisation</w:t>
      </w:r>
      <w:bookmarkEnd w:id="100033"/>
    </w:p>
    <w:p>
      <w:pPr>
        <w:keepNext/>
        <w:spacing w:after="90" w:before="160" w:line="312"/>
      </w:pPr>
      <w:r>
        <w:rPr>
          <w:rFonts w:ascii="Times New Roman" w:eastAsia="Times New Roman" w:hAnsi="Times New Roman"/>
          <w:b/>
          <w:bCs/>
          <w:color w:val="1A4A7A"/>
          <w:sz w:val="20"/>
          <w:szCs w:val="20"/>
        </w:rPr>
        <w:t xml:space="preserve">Tableau 10 — Actions mineures (m1 à m11)</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6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Effort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Auto-héberger polices, Font Awesome et Leaflet (vendor static) + attribut d’intégrité sur tout CDN restant</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front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m2</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Performance : Whitenoise + ManifestStaticFilesStorage, GZipMiddleware, CACHES (Redis), chargement différé des images, miniatures blog</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perf</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m3</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Accessibilité : lien d’évitement (skip-link), remplacer les emojis du header/carte par des icônes, audit de contraste WAVE/axe + correction</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front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m4</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Nettoyer le README (retirer l’artefact d’en-tête, corriger badges et stack documentée), documenter le choix « activation manuelle » de l’inscription</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docs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m5</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Purger le code mort : LegalView (après M2, supprimer si inutile), get_rendered_content (correction format_html ou suppression), gabarit gallery/list.html</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qualité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m6</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GalleryDetailView : filtrer archived=False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gallery</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m7</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Robustesse recherche : garde try/except sur limit, neutralisation des jokers LIKE, X-Forwarded-For accepté uniquement derrière proxy configuré</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search</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m8</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Blog précédent/suivant : requêtes limitrophes plutôt que chargement complet de la catégorie en mémoire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blog</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m9</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Hygiène des livrables : exclure venv/, db.sqlite3, .env et .git des archives de recette (script de packaging)</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qualité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m10</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Compactage des migrations pages (squash) avant mise en production</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BDD</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Mesure Lighthouse + accessibilité sur l’environnement de recette, et suivi des KPI du CDC une fois l’analytics actif</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qualité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bl>
    <w:p>
      <w:pPr>
        <w:spacing w:after="220" w:before="60" w:line="312"/>
        <w:jc w:val="center"/>
      </w:pPr>
      <w:r>
        <w:rPr>
          <w:rFonts w:ascii="Times New Roman" w:eastAsia="Times New Roman" w:hAnsi="Times New Roman"/>
          <w:i/>
          <w:iCs/>
          <w:color w:val="5A7A96"/>
          <w:sz w:val="18"/>
          <w:szCs w:val="18"/>
        </w:rPr>
        <w:t xml:space="preserve">Actions mineures — effort cumulé estimé : 5 à 8 jours-homme</w:t>
      </w:r>
    </w:p>
    <w:p>
      <w:pPr>
        <w:pStyle w:val="Heading2"/>
        <w:spacing w:after="140" w:before="280" w:line="312"/>
      </w:pPr>
      <w:bookmarkStart w:id="100034" w:name="_Toc100034"/>
      <w:r>
        <w:rPr>
          <w:rFonts w:ascii="Times New Roman" w:eastAsia="Times New Roman" w:hAnsi="Times New Roman"/>
          <w:b/>
          <w:bCs/>
          <w:color w:val="1A4A7A"/>
          <w:sz w:val="28"/>
          <w:szCs w:val="28"/>
        </w:rPr>
        <w:t xml:space="preserve">6.5 Séquencement recommandé</w:t>
      </w:r>
      <w:bookmarkEnd w:id="10003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Séquence 1 (semaine 1) : C3 d’abord — une demi-journée de configuration réduit immédiatement le risque maximal ; puis C1 et C2, qui mobilisent l’essentiel de la semaine. Séquence 2 (semaine 2) : C4, C5, puis M2, M1, M5 et M6, qui rendent le site conforme sur le plan juridique et complet côté contenu ; M3 s’y greffe naturellement dès que le formulaire de contact existe. Séquence 3 (semaines 3 et 4) : M4, M8, M9, M10 et les actions mineures, avant une recette finale complète (tests cross-browser, Lighthouse, accessibilité) sur l’environnement de production. L’effort total estimé — 21 à 33 jours-homme — tient dans le budget de trois à six semaines à un développeur, ou deux semaines à deux développeurs en parallèle si C1/C2 et C4/C5 sont menés simultanément. Ce chiffrage n’inclut pas la partie plateforme métier (SIG Platform) ni les maquettes manquantes, qui doivent être clarifiées avec le donneur d’ordre.</w:t>
      </w:r>
    </w:p>
    <w:p>
      <w:pPr>
        <w:pStyle w:val="Heading1"/>
        <w:spacing w:after="180" w:before="400" w:line="312"/>
      </w:pPr>
      <w:bookmarkStart w:id="100035" w:name="_Toc100035"/>
      <w:r>
        <w:rPr>
          <w:rFonts w:ascii="Times New Roman" w:eastAsia="Times New Roman" w:hAnsi="Times New Roman"/>
          <w:b/>
          <w:bCs/>
          <w:color w:val="1A4A7A"/>
          <w:sz w:val="32"/>
          <w:szCs w:val="32"/>
        </w:rPr>
        <w:t xml:space="preserve">7. Conclusion</w:t>
      </w:r>
      <w:bookmarkEnd w:id="100035"/>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SIG Web Site n’est ni un projet à recommencer ni un produit prêt à livrer : c’est un projet </w:t>
      </w:r>
      <w:r>
        <w:rPr>
          <w:rFonts w:ascii="Times New Roman" w:eastAsia="Times New Roman" w:hAnsi="Times New Roman"/>
          <w:b/>
          <w:bCs/>
          <w:i w:val="false"/>
          <w:iCs w:val="false"/>
          <w:color w:val="000000"/>
          <w:sz w:val="24"/>
          <w:szCs w:val="24"/>
        </w:rPr>
        <w:t xml:space="preserve">à 63 % conforme</w:t>
      </w:r>
      <w:r>
        <w:rPr>
          <w:rFonts w:ascii="Times New Roman" w:eastAsia="Times New Roman" w:hAnsi="Times New Roman"/>
          <w:b w:val="false"/>
          <w:bCs w:val="false"/>
          <w:i w:val="false"/>
          <w:iCs w:val="false"/>
          <w:color w:val="000000"/>
          <w:sz w:val="24"/>
          <w:szCs w:val="24"/>
        </w:rPr>
        <w:t xml:space="preserve">, dont la partie vitrine et référencement — souvent la plus coûteuse — est largement réussie, tandis que la couche de conversion et la couche d’exploitation sécurisée restent à construire. Les fondations sont bonnes : architecture Django claire, tests systématiques, CMS modulaire véritablement utilisé, internationalisation fonctionnelle, et des pratiques de développement (Git, conventions, revue par branches) qui inspirent confiance pour la suite.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verdict de l’audit est donc un </w:t>
      </w:r>
      <w:r>
        <w:rPr>
          <w:rFonts w:ascii="Times New Roman" w:eastAsia="Times New Roman" w:hAnsi="Times New Roman"/>
          <w:b/>
          <w:bCs/>
          <w:i w:val="false"/>
          <w:iCs w:val="false"/>
          <w:color w:val="000000"/>
          <w:sz w:val="24"/>
          <w:szCs w:val="24"/>
        </w:rPr>
        <w:t xml:space="preserve">« sous condition »</w:t>
      </w:r>
      <w:r>
        <w:rPr>
          <w:rFonts w:ascii="Times New Roman" w:eastAsia="Times New Roman" w:hAnsi="Times New Roman"/>
          <w:b w:val="false"/>
          <w:bCs w:val="false"/>
          <w:i w:val="false"/>
          <w:iCs w:val="false"/>
          <w:color w:val="000000"/>
          <w:sz w:val="24"/>
          <w:szCs w:val="24"/>
        </w:rPr>
        <w:t xml:space="preserve"> : la mise en production ne devrait être prononcée qu’après l’achèvement des cinq actions critiques (C1 à C5) — à savoir le branchement réel du formulaire d’inscription, la création du formulaire de contact, le durcissement complet de la configuration de production, l’installation du mécanisme de consentement aux cookies et la mise en conformité RGPD de l’historique de recherche. Les dix actions majeures complètent ensuite la conformité contractuelle (connexion, mentions légales, e-mails, PostgreSQL, Pass Solidarité, déploiement documenté). Avec le plan d’action fourni — correctifs de code à l’appui, l’équipe dispose de tout le nécessaire pour transformer en quelques semaines ce socle prometteur en une vitrine à la hauteur des objectifs commerciaux fixés par le cahier des charges : séduire, informer, rassurer et convertir.</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A8DA" w:sz="4" w:space="4"/>
      </w:pBdr>
      <w:spacing w:after="0" w:line="240"/>
      <w:jc w:val="right"/>
    </w:pPr>
    <w:r>
      <w:rPr>
        <w:rFonts w:ascii="Times New Roman" w:eastAsia="Times New Roman" w:hAnsi="Times New Roman"/>
        <w:color w:val="808080"/>
        <w:sz w:val="16"/>
        <w:szCs w:val="16"/>
      </w:rPr>
      <w:t xml:space="preserve">Audit technique — SIG Web Site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A8DA" w:sz="4" w:space="4"/>
      </w:pBdr>
      <w:spacing w:after="0" w:line="240"/>
      <w:jc w:val="right"/>
    </w:pPr>
    <w:r>
      <w:rPr>
        <w:rFonts w:ascii="Times New Roman" w:eastAsia="Times New Roman" w:hAnsi="Times New Roman"/>
        <w:color w:val="808080"/>
        <w:sz w:val="16"/>
        <w:szCs w:val="16"/>
      </w:rPr>
      <w:t xml:space="preserve">Audit technique — SIG Web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Times New Roman" w:hAnsi="Times New Roman"/>
      <w:b/>
      <w:bCs/>
      <w:color w:val="1A4A7A"/>
      <w:sz w:val="32"/>
      <w:szCs w:val="32"/>
    </w:rPr>
  </w:style>
  <w:style w:type="paragraph" w:styleId="Heading2">
    <w:name w:val="Heading 2"/>
    <w:basedOn w:val="Normal"/>
    <w:next w:val="Normal"/>
    <w:qFormat/>
    <w:pPr>
      <w:spacing w:after="140" w:before="280" w:line="312"/>
      <w:outlineLvl w:val="1"/>
    </w:pPr>
    <w:rPr>
      <w:rFonts w:ascii="Times New Roman" w:eastAsia="Times New Roman" w:hAnsi="Times New Roman"/>
      <w:b/>
      <w:bCs/>
      <w:color w:val="1A4A7A"/>
      <w:sz w:val="28"/>
      <w:szCs w:val="28"/>
    </w:rPr>
  </w:style>
  <w:style w:type="paragraph" w:styleId="Heading3">
    <w:name w:val="Heading 3"/>
    <w:basedOn w:val="Normal"/>
    <w:next w:val="Normal"/>
    <w:qFormat/>
    <w:pPr>
      <w:spacing w:after="110" w:before="220" w:line="312"/>
      <w:outlineLvl w:val="2"/>
    </w:pPr>
    <w:rPr>
      <w:rFonts w:ascii="Times New Roman" w:eastAsia="Times New Roman" w:hAnsi="Times New Roman"/>
      <w:b/>
      <w:bCs/>
      <w:color w:val="1428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0706f4af96d351b6840a2ce249137e45a1434b4.png"/><Relationship Id="rId12" Type="http://schemas.openxmlformats.org/officeDocument/2006/relationships/image" Target="media/ff95764a02bddb6fbd2802f770aad7bbcda184a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technique — SIG Web Site</dc:title>
  <dc:creator>Z.ai</dc:creator>
  <dc:description>Audit de conformité au cahier des charges, sécurité OWASP et qualité — SIG.tg</dc:description>
  <cp:lastModifiedBy>Un-named</cp:lastModifiedBy>
  <cp:revision>1</cp:revision>
  <dcterms:created xsi:type="dcterms:W3CDTF">2026-09-16T10:20:09.866Z</dcterms:created>
  <dcterms:modified xsi:type="dcterms:W3CDTF">2026-09-16T10:20:09.866Z</dcterms:modified>
</cp:coreProperties>
</file>

<file path=docProps/custom.xml><?xml version="1.0" encoding="utf-8"?>
<Properties xmlns="http://schemas.openxmlformats.org/officeDocument/2006/custom-properties" xmlns:vt="http://schemas.openxmlformats.org/officeDocument/2006/docPropsVTypes"/>
</file>