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A1628" w:val="clear"/>
            <w:vAlign w:val="top"/>
          </w:tcPr>
          <w:p>
            <w:pPr>
              <w:spacing w:before="4596"/>
            </w:pPr>
          </w:p>
          <w:p>
            <w:pPr>
              <w:pBdr>
                <w:bottom w:val="single" w:color="4DA8DA" w:sz="6" w:space="8"/>
              </w:pBdr>
              <w:spacing w:after="500"/>
              <w:ind w:left="1200" w:right="800"/>
            </w:pPr>
            <w:r>
              <w:rPr>
                <w:rFonts w:ascii="Times New Roman" w:eastAsia="Times New Roman" w:hAnsi="Times New Roman"/>
                <w:color w:val="4DA8DA"/>
                <w:spacing w:val="40"/>
                <w:sz w:val="18"/>
                <w:szCs w:val="18"/>
              </w:rPr>
              <w:t xml:space="preserve">S U I V I   D ' A U D I T   T E C H N I Q U E</w:t>
            </w:r>
          </w:p>
          <w:p>
            <w:pPr>
              <w:spacing w:after="300" w:line="920" w:lineRule="atLeast"/>
              <w:ind w:left="1200"/>
            </w:pPr>
            <w:r>
              <w:rPr>
                <w:rFonts w:ascii="Times New Roman" w:eastAsia="Times New Roman" w:hAnsi="Times New Roman"/>
                <w:b/>
                <w:bCs/>
                <w:color w:val="E8F0F8"/>
                <w:sz w:val="80"/>
                <w:szCs w:val="80"/>
              </w:rPr>
              <w:t xml:space="preserve">SIG WEB SITE</w:t>
            </w:r>
          </w:p>
          <w:p>
            <w:pPr>
              <w:spacing w:after="800" w:line="340"/>
              <w:ind w:left="1200" w:right="800"/>
            </w:pPr>
            <w:r>
              <w:rPr>
                <w:rFonts w:ascii="Times New Roman" w:eastAsia="Times New Roman" w:hAnsi="Times New Roman"/>
                <w:color w:val="9FB6C9"/>
                <w:sz w:val="24"/>
                <w:szCs w:val="24"/>
              </w:rPr>
              <w:t xml:space="preserve">Contrôle des correctifs apportés après l'audit du 16 septembre : vérification des points critiques restants, statut des points majeurs et feuille de route avant déploiement</w:t>
            </w:r>
          </w:p>
          <w:p>
            <w:pPr>
              <w:pBdr>
                <w:left w:val="single" w:color="4DA8DA" w:sz="8" w:space="12"/>
              </w:pBdr>
              <w:spacing w:after="80"/>
              <w:ind w:left="1400"/>
            </w:pPr>
            <w:r>
              <w:rPr>
                <w:rFonts w:ascii="Times New Roman" w:eastAsia="Times New Roman" w:hAnsi="Times New Roman"/>
                <w:color w:val="B8C9D9"/>
                <w:sz w:val="22"/>
                <w:szCs w:val="22"/>
              </w:rPr>
              <w:t xml:space="preserve">Projet : SIG.tg — site vitrine institutionnel (sig-web-site, Django 5.2)</w:t>
            </w:r>
          </w:p>
          <w:p>
            <w:pPr>
              <w:pBdr>
                <w:left w:val="single" w:color="4DA8DA" w:sz="8" w:space="12"/>
              </w:pBdr>
              <w:spacing w:after="80"/>
              <w:ind w:left="1400"/>
            </w:pPr>
            <w:r>
              <w:rPr>
                <w:rFonts w:ascii="Times New Roman" w:eastAsia="Times New Roman" w:hAnsi="Times New Roman"/>
                <w:color w:val="B8C9D9"/>
                <w:sz w:val="22"/>
                <w:szCs w:val="22"/>
              </w:rPr>
              <w:t xml:space="preserve">Périmètre actif : C3 à C5 + M3 à M10 (11 points suivis)</w:t>
            </w:r>
          </w:p>
          <w:p>
            <w:pPr>
              <w:pBdr>
                <w:left w:val="single" w:color="4DA8DA" w:sz="8" w:space="12"/>
              </w:pBdr>
              <w:spacing w:after="80"/>
              <w:ind w:left="1400"/>
            </w:pPr>
            <w:r>
              <w:rPr>
                <w:rFonts w:ascii="Times New Roman" w:eastAsia="Times New Roman" w:hAnsi="Times New Roman"/>
                <w:color w:val="B8C9D9"/>
                <w:sz w:val="22"/>
                <w:szCs w:val="22"/>
              </w:rPr>
              <w:t xml:space="preserve">Hors comptage : C1, C2 (transférés plateforme) · M1, M2 (choix produit) · m1-m11</w:t>
            </w:r>
          </w:p>
          <w:p>
            <w:pPr>
              <w:pBdr>
                <w:left w:val="single" w:color="4DA8DA" w:sz="8" w:space="12"/>
              </w:pBdr>
              <w:spacing w:after="80"/>
              <w:ind w:left="1400"/>
            </w:pPr>
            <w:r>
              <w:rPr>
                <w:rFonts w:ascii="Times New Roman" w:eastAsia="Times New Roman" w:hAnsi="Times New Roman"/>
                <w:color w:val="B8C9D9"/>
                <w:sz w:val="22"/>
                <w:szCs w:val="22"/>
              </w:rPr>
              <w:t xml:space="preserve">Date du contrôle : 17 septembre 2026</w:t>
            </w:r>
          </w:p>
          <w:p>
            <w:pPr>
              <w:spacing w:before="4596"/>
            </w:pPr>
          </w:p>
          <w:p>
            <w:pPr>
              <w:pBdr>
                <w:top w:val="single" w:color="4DA8DA" w:sz="2" w:space="8"/>
              </w:pBdr>
              <w:spacing w:before="200"/>
              <w:ind w:left="1200" w:right="800"/>
            </w:pPr>
            <w:r>
              <w:rPr>
                <w:rFonts w:ascii="Times New Roman" w:eastAsia="Times New Roman" w:hAnsi="Times New Roman"/>
                <w:color w:val="6E88A0"/>
                <w:sz w:val="16"/>
                <w:szCs w:val="16"/>
              </w:rPr>
              <w:t xml:space="preserve">GeoLight Service — SIG.tg SARL</w:t>
            </w:r>
            <w:r>
              <w:t xml:space="preserve">                                        </w:t>
            </w:r>
            <w:r>
              <w:rPr>
                <w:rFonts w:ascii="Times New Roman" w:eastAsia="Times New Roman" w:hAnsi="Times New Roman"/>
                <w:color w:val="6E88A0"/>
                <w:sz w:val="16"/>
                <w:szCs w:val="16"/>
              </w:rPr>
              <w:t xml:space="preserve">Septembre 2026</w:t>
            </w:r>
          </w:p>
        </w:tc>
      </w:tr>
    </w:tbl>
    <w:p>
      <w:pPr>
        <w:sectPr>
          <w:pgSz w:w="11906" w:h="16838" w:orient="portrait"/>
          <w:pgMar w:top="0" w:right="0" w:bottom="0" w:left="0" w:header="708" w:footer="708" w:gutter="0"/>
          <w:pgNumType/>
          <w:docGrid w:linePitch="360"/>
        </w:sectPr>
      </w:pPr>
    </w:p>
    <w:p>
      <w:pPr>
        <w:pStyle w:val="Heading1"/>
        <w:spacing w:after="180" w:before="400" w:line="312"/>
      </w:pPr>
      <w:r>
        <w:rPr>
          <w:rFonts w:ascii="Times New Roman" w:eastAsia="Times New Roman" w:hAnsi="Times New Roman"/>
          <w:b/>
          <w:bCs/>
          <w:color w:val="1A4A7A"/>
          <w:sz w:val="32"/>
          <w:szCs w:val="32"/>
        </w:rPr>
        <w:t xml:space="preserve">. Synthèse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Ce rapport fait suite à l'audit technique du 16 septembre 2026 et contrôle objectivement les correctifs apportés par l'équipe au projet </w:t>
      </w:r>
      <w:r>
        <w:rPr>
          <w:rFonts w:ascii="Times New Roman" w:eastAsia="Times New Roman" w:hAnsi="Times New Roman"/>
          <w:b/>
          <w:bCs/>
          <w:i w:val="false"/>
          <w:iCs w:val="false"/>
          <w:color w:val="000000"/>
          <w:sz w:val="24"/>
          <w:szCs w:val="24"/>
        </w:rPr>
        <w:t xml:space="preserve">SIG Web Site</w:t>
      </w:r>
      <w:r>
        <w:rPr>
          <w:rFonts w:ascii="Times New Roman" w:eastAsia="Times New Roman" w:hAnsi="Times New Roman"/>
          <w:b w:val="false"/>
          <w:bCs w:val="false"/>
          <w:i w:val="false"/>
          <w:iCs w:val="false"/>
          <w:color w:val="000000"/>
          <w:sz w:val="24"/>
          <w:szCs w:val="24"/>
        </w:rPr>
        <w:t xml:space="preserve"> (vitrine Django 5.2 de la plateforme SIG.tg). Le périmètre de suivi a été arrêté avec le client selon des décisions produit actées : les deux écarts critiques liés aux formulaires d'inscription et de contact (C1, C2) sortent définitivement du projet vitrine et seront traités au niveau de la plateforme sig-web-platform ; les points M1 (page de connexion dédiée) et M2 (réactivation des mentions légales) correspondent à des choix produit assumés et ne constituent plus des écarts ; les onze actions mineures (m1 à m11) sont ignorées. Le périmètre actif se réduit ainsi à trois points critiques (C3 à C5) et huit points majeurs (M3 à M10), soit onze points.</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bilan est sans ambiguïté. Sur ces onze points actifs, </w:t>
      </w:r>
      <w:r>
        <w:rPr>
          <w:rFonts w:ascii="Times New Roman" w:eastAsia="Times New Roman" w:hAnsi="Times New Roman"/>
          <w:b/>
          <w:bCs/>
          <w:i w:val="false"/>
          <w:iCs w:val="false"/>
          <w:color w:val="000000"/>
          <w:sz w:val="24"/>
          <w:szCs w:val="24"/>
        </w:rPr>
        <w:t xml:space="preserve">six sont corrigés et vérifiés</w:t>
      </w:r>
      <w:r>
        <w:rPr>
          <w:rFonts w:ascii="Times New Roman" w:eastAsia="Times New Roman" w:hAnsi="Times New Roman"/>
          <w:b w:val="false"/>
          <w:bCs w:val="false"/>
          <w:i w:val="false"/>
          <w:iCs w:val="false"/>
          <w:color w:val="000000"/>
          <w:sz w:val="24"/>
          <w:szCs w:val="24"/>
        </w:rPr>
        <w:t xml:space="preserve"> dans le code (C3, C4, C5, M5, M6, M7), </w:t>
      </w:r>
      <w:r>
        <w:rPr>
          <w:rFonts w:ascii="Times New Roman" w:eastAsia="Times New Roman" w:hAnsi="Times New Roman"/>
          <w:b/>
          <w:bCs/>
          <w:i w:val="false"/>
          <w:iCs w:val="false"/>
          <w:color w:val="000000"/>
          <w:sz w:val="24"/>
          <w:szCs w:val="24"/>
        </w:rPr>
        <w:t xml:space="preserve">quatre sont reportés à la mise en production</w:t>
      </w:r>
      <w:r>
        <w:rPr>
          <w:rFonts w:ascii="Times New Roman" w:eastAsia="Times New Roman" w:hAnsi="Times New Roman"/>
          <w:b w:val="false"/>
          <w:bCs w:val="false"/>
          <w:i w:val="false"/>
          <w:iCs w:val="false"/>
          <w:color w:val="000000"/>
          <w:sz w:val="24"/>
          <w:szCs w:val="24"/>
        </w:rPr>
        <w:t xml:space="preserve"> (M3, M4, M8, M10), ce qui est cohérent avec leur nature opérationnelle — e-mails, PostgreSQL, chaîne de déploiement, dépendances — et </w:t>
      </w:r>
      <w:r>
        <w:rPr>
          <w:rFonts w:ascii="Times New Roman" w:eastAsia="Times New Roman" w:hAnsi="Times New Roman"/>
          <w:b/>
          <w:bCs/>
          <w:i w:val="false"/>
          <w:iCs w:val="false"/>
          <w:color w:val="000000"/>
          <w:sz w:val="24"/>
          <w:szCs w:val="24"/>
        </w:rPr>
        <w:t xml:space="preserve">un seul est partiel</w:t>
      </w:r>
      <w:r>
        <w:rPr>
          <w:rFonts w:ascii="Times New Roman" w:eastAsia="Times New Roman" w:hAnsi="Times New Roman"/>
          <w:b w:val="false"/>
          <w:bCs w:val="false"/>
          <w:i w:val="false"/>
          <w:iCs w:val="false"/>
          <w:color w:val="000000"/>
          <w:sz w:val="24"/>
          <w:szCs w:val="24"/>
        </w:rPr>
        <w:t xml:space="preserve"> (M9 — compléments de documentation). </w:t>
      </w:r>
      <w:r>
        <w:rPr>
          <w:rFonts w:ascii="Times New Roman" w:eastAsia="Times New Roman" w:hAnsi="Times New Roman"/>
          <w:b/>
          <w:bCs/>
          <w:i w:val="false"/>
          <w:iCs w:val="false"/>
          <w:color w:val="000000"/>
          <w:sz w:val="24"/>
          <w:szCs w:val="24"/>
        </w:rPr>
        <w:t xml:space="preserve">Aucun point n'est ouvert</w:t>
      </w:r>
      <w:r>
        <w:rPr>
          <w:rFonts w:ascii="Times New Roman" w:eastAsia="Times New Roman" w:hAnsi="Times New Roman"/>
          <w:b w:val="false"/>
          <w:bCs w:val="false"/>
          <w:i w:val="false"/>
          <w:iCs w:val="false"/>
          <w:color w:val="000000"/>
          <w:sz w:val="24"/>
          <w:szCs w:val="24"/>
        </w:rPr>
        <w:t xml:space="preserve"> dans le périmètre compté. Aucune régression n'a été détectée : la suite de tests passe à 253 réussis sur 253 (contre 221 lors du premier audit) et la vérification de configuration « check --deploy » ne relève plus qu'un seul avertissement, volontairement différé, contre six précédemment.</w:t>
      </w:r>
    </w:p>
    <w:tbl>
      <w:tblPr>
        <w:tblW w:type="pct" w:w="100%"/>
        <w:tblBorders>
          <w:top w:val="single" w:color="4DA8DA" w:sz="8"/>
          <w:left w:val="none" w:color="FFFFFF" w:sz="0"/>
          <w:bottom w:val="single" w:color="4DA8DA" w:sz="8"/>
          <w:right w:val="none" w:color="FFFFFF" w:sz="0"/>
          <w:insideH w:val="none" w:color="FFFFFF" w:sz="0"/>
          <w:insideV w:val="single" w:color="C0D0E2" w:sz="2"/>
        </w:tblBorders>
        <w:tblLayout w:type="fixed"/>
      </w:tblPr>
      <w:tblGrid>
        <w:gridCol w:w="100"/>
        <w:gridCol w:w="100"/>
        <w:gridCol w:w="100"/>
        <w:gridCol w:w="100"/>
      </w:tblGrid>
      <w:tr>
        <w:trPr>
          <w:cantSplit/>
        </w:trPr>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E8449"/>
                <w:sz w:val="40"/>
                <w:szCs w:val="40"/>
              </w:rPr>
              <w:t xml:space="preserve">6 / 11</w:t>
            </w:r>
          </w:p>
          <w:p>
            <w:pPr>
              <w:spacing w:after="100" w:line="240"/>
              <w:jc w:val="center"/>
            </w:pPr>
            <w:r>
              <w:rPr>
                <w:rFonts w:ascii="Times New Roman" w:eastAsia="Times New Roman" w:hAnsi="Times New Roman"/>
                <w:color w:val="5A7A96"/>
                <w:sz w:val="18"/>
                <w:szCs w:val="18"/>
              </w:rPr>
              <w:t xml:space="preserve">points corrigés et vérifiés</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E8449"/>
                <w:sz w:val="40"/>
                <w:szCs w:val="40"/>
              </w:rPr>
              <w:t xml:space="preserve">253/253</w:t>
            </w:r>
          </w:p>
          <w:p>
            <w:pPr>
              <w:spacing w:after="100" w:line="240"/>
              <w:jc w:val="center"/>
            </w:pPr>
            <w:r>
              <w:rPr>
                <w:rFonts w:ascii="Times New Roman" w:eastAsia="Times New Roman" w:hAnsi="Times New Roman"/>
                <w:color w:val="5A7A96"/>
                <w:sz w:val="18"/>
                <w:szCs w:val="18"/>
              </w:rPr>
              <w:t xml:space="preserve">tests automatisés réussis (+32)</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E8449"/>
                <w:sz w:val="40"/>
                <w:szCs w:val="40"/>
              </w:rPr>
              <w:t xml:space="preserve">0</w:t>
            </w:r>
          </w:p>
          <w:p>
            <w:pPr>
              <w:spacing w:after="100" w:line="240"/>
              <w:jc w:val="center"/>
            </w:pPr>
            <w:r>
              <w:rPr>
                <w:rFonts w:ascii="Times New Roman" w:eastAsia="Times New Roman" w:hAnsi="Times New Roman"/>
                <w:color w:val="5A7A96"/>
                <w:sz w:val="18"/>
                <w:szCs w:val="18"/>
              </w:rPr>
              <w:t xml:space="preserve">point ouvert dans le périmètre actif</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A4A7A"/>
                <w:sz w:val="40"/>
                <w:szCs w:val="40"/>
              </w:rPr>
              <w:t xml:space="preserve">95 %</w:t>
            </w:r>
          </w:p>
          <w:p>
            <w:pPr>
              <w:spacing w:after="100" w:line="240"/>
              <w:jc w:val="center"/>
            </w:pPr>
            <w:r>
              <w:rPr>
                <w:rFonts w:ascii="Times New Roman" w:eastAsia="Times New Roman" w:hAnsi="Times New Roman"/>
                <w:color w:val="5A7A96"/>
                <w:sz w:val="18"/>
                <w:szCs w:val="18"/>
              </w:rPr>
              <w:t xml:space="preserve">taux de réalisation (partiels à 0,5)</w:t>
            </w:r>
          </w:p>
        </w:tc>
      </w:tr>
    </w:tbl>
    <w:p>
      <w:pPr>
        <w:spacing w:after="220" w:before="60" w:line="312"/>
        <w:jc w:val="center"/>
      </w:pPr>
      <w:r>
        <w:rPr>
          <w:rFonts w:ascii="Times New Roman" w:eastAsia="Times New Roman" w:hAnsi="Times New Roman"/>
          <w:i/>
          <w:iCs/>
          <w:color w:val="5A7A96"/>
          <w:sz w:val="18"/>
          <w:szCs w:val="18"/>
        </w:rPr>
        <w:t xml:space="preserve">Chiffres clés du suivi — vérifications du 17 septembre 2026 sur l'archive « sig-web-site-audit.zip »</w:t>
      </w:r>
    </w:p>
    <w:p>
      <w:pPr>
        <w:keepNext/>
        <w:spacing w:after="4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220" w:before="60" w:line="312"/>
        <w:jc w:val="center"/>
      </w:pPr>
      <w:r>
        <w:rPr>
          <w:rFonts w:ascii="Times New Roman" w:eastAsia="Times New Roman" w:hAnsi="Times New Roman"/>
          <w:i/>
          <w:iCs/>
          <w:color w:val="5A7A96"/>
          <w:sz w:val="18"/>
          <w:szCs w:val="18"/>
        </w:rPr>
        <w:t xml:space="preserve">Figure 1 — Répartition des onze points actifs du périmètre révisé par statut de traitement (hors comptage : C1, C2, M1, M2 et m1-m11)</w:t>
      </w:r>
    </w:p>
    <w:p>
      <w:pPr>
        <w:keepNext w:val="false"/>
        <w:spacing w:after="240" w:line="312"/>
        <w:jc w:val="both"/>
      </w:pPr>
      <w:r>
        <w:rPr>
          <w:rFonts w:ascii="Times New Roman" w:eastAsia="Times New Roman" w:hAnsi="Times New Roman"/>
          <w:b w:val="false"/>
          <w:bCs w:val="false"/>
          <w:i w:val="false"/>
          <w:iCs w:val="false"/>
          <w:color w:val="000000"/>
          <w:sz w:val="24"/>
          <w:szCs w:val="24"/>
        </w:rPr>
        <w:t xml:space="preserve">Le verdict est </w:t>
      </w:r>
      <w:r>
        <w:rPr>
          <w:rFonts w:ascii="Times New Roman" w:eastAsia="Times New Roman" w:hAnsi="Times New Roman"/>
          <w:b/>
          <w:bCs/>
          <w:i w:val="false"/>
          <w:iCs w:val="false"/>
          <w:color w:val="000000"/>
          <w:sz w:val="24"/>
          <w:szCs w:val="24"/>
        </w:rPr>
        <w:t xml:space="preserve">favorable, sans réserve de périmètre, pour entrer en phase de déploiement</w:t>
      </w:r>
      <w:r>
        <w:rPr>
          <w:rFonts w:ascii="Times New Roman" w:eastAsia="Times New Roman" w:hAnsi="Times New Roman"/>
          <w:b w:val="false"/>
          <w:bCs w:val="false"/>
          <w:i w:val="false"/>
          <w:iCs w:val="false"/>
          <w:color w:val="000000"/>
          <w:sz w:val="24"/>
          <w:szCs w:val="24"/>
        </w:rPr>
        <w:t xml:space="preserve"> : aucun point actif n'est ouvert, et le seul statut partiel (M9) concerne des compléments documentaires — guide administrateur et procédure de sauvegarde/restauration — qui s'insèrent naturellement dans la préparation de la mise en production. Les quatre points reportés — e-mails transactionnels, PostgreSQL, chaîne de déploiement et verrouillage des dépendances — devront simplement être activés au moment du passage en production, comme convenu.</w:t>
      </w:r>
    </w:p>
    <w:p>
      <w:pPr>
        <w:pStyle w:val="Heading1"/>
        <w:spacing w:after="180" w:before="400" w:line="312"/>
      </w:pPr>
      <w:r>
        <w:rPr>
          <w:rFonts w:ascii="Times New Roman" w:eastAsia="Times New Roman" w:hAnsi="Times New Roman"/>
          <w:b/>
          <w:bCs/>
          <w:color w:val="1A4A7A"/>
          <w:sz w:val="32"/>
          <w:szCs w:val="32"/>
        </w:rPr>
        <w:t xml:space="preserve">1. Périmètre révisé et méthode de vérification</w:t>
      </w:r>
    </w:p>
    <w:p>
      <w:pPr>
        <w:pStyle w:val="Heading2"/>
        <w:spacing w:after="140" w:before="280" w:line="312"/>
      </w:pPr>
      <w:r>
        <w:rPr>
          <w:rFonts w:ascii="Times New Roman" w:eastAsia="Times New Roman" w:hAnsi="Times New Roman"/>
          <w:b/>
          <w:bCs/>
          <w:color w:val="1A4A7A"/>
          <w:sz w:val="28"/>
          <w:szCs w:val="28"/>
        </w:rPr>
        <w:t xml:space="preserve">1.1 Ce qui est compté et ce qui est sorti du périmètre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Cinq règles de comptage, actées avec le client, encadrent ce second passage. Premièrement, </w:t>
      </w:r>
      <w:r>
        <w:rPr>
          <w:rFonts w:ascii="Times New Roman" w:eastAsia="Times New Roman" w:hAnsi="Times New Roman"/>
          <w:b/>
          <w:bCs/>
          <w:i w:val="false"/>
          <w:iCs w:val="false"/>
          <w:color w:val="000000"/>
          <w:sz w:val="24"/>
          <w:szCs w:val="24"/>
        </w:rPr>
        <w:t xml:space="preserve">C1 et C2 sortent définitivement du projet vitrine</w:t>
      </w:r>
      <w:r>
        <w:rPr>
          <w:rFonts w:ascii="Times New Roman" w:eastAsia="Times New Roman" w:hAnsi="Times New Roman"/>
          <w:b w:val="false"/>
          <w:bCs w:val="false"/>
          <w:i w:val="false"/>
          <w:iCs w:val="false"/>
          <w:color w:val="000000"/>
          <w:sz w:val="24"/>
          <w:szCs w:val="24"/>
        </w:rPr>
        <w:t xml:space="preserve"> : le cahier des charges a été modifié et les exigences correspondantes (finalité « inscription en ligne », formulaire de contact complet) sont désormais portées par la plateforme sig-web-platform ; ces deux points ne sont donc plus comptés, ni dans le décompte ni dans le score. Deuxièmement, </w:t>
      </w:r>
      <w:r>
        <w:rPr>
          <w:rFonts w:ascii="Times New Roman" w:eastAsia="Times New Roman" w:hAnsi="Times New Roman"/>
          <w:b/>
          <w:bCs/>
          <w:i w:val="false"/>
          <w:iCs w:val="false"/>
          <w:color w:val="000000"/>
          <w:sz w:val="24"/>
          <w:szCs w:val="24"/>
        </w:rPr>
        <w:t xml:space="preserve">M1 n'est plus un écart</w:t>
      </w:r>
      <w:r>
        <w:rPr>
          <w:rFonts w:ascii="Times New Roman" w:eastAsia="Times New Roman" w:hAnsi="Times New Roman"/>
          <w:b w:val="false"/>
          <w:bCs w:val="false"/>
          <w:i w:val="false"/>
          <w:iCs w:val="false"/>
          <w:color w:val="000000"/>
          <w:sz w:val="24"/>
          <w:szCs w:val="24"/>
        </w:rPr>
        <w:t xml:space="preserve"> : le modèle d'accès retenu est « subscribe to the service » — le client s'inscrit depuis la vitrine, l'administrateur reçoit l'inscription et crée le compte qui donnera accès à la plateforme, celle-ci n'étant pas encore développée. Troisièmement, </w:t>
      </w:r>
      <w:r>
        <w:rPr>
          <w:rFonts w:ascii="Times New Roman" w:eastAsia="Times New Roman" w:hAnsi="Times New Roman"/>
          <w:b/>
          <w:bCs/>
          <w:i w:val="false"/>
          <w:iCs w:val="false"/>
          <w:color w:val="000000"/>
          <w:sz w:val="24"/>
          <w:szCs w:val="24"/>
        </w:rPr>
        <w:t xml:space="preserve">M2 n'est plus un écart</w:t>
      </w:r>
      <w:r>
        <w:rPr>
          <w:rFonts w:ascii="Times New Roman" w:eastAsia="Times New Roman" w:hAnsi="Times New Roman"/>
          <w:b w:val="false"/>
          <w:bCs w:val="false"/>
          <w:i w:val="false"/>
          <w:iCs w:val="false"/>
          <w:color w:val="000000"/>
          <w:sz w:val="24"/>
          <w:szCs w:val="24"/>
        </w:rPr>
        <w:t xml:space="preserve"> : l'équipe assume volontairement de laisser la route des mentions légales désactivée ; le point est sorti du comptage. Quatrièmement, les </w:t>
      </w:r>
      <w:r>
        <w:rPr>
          <w:rFonts w:ascii="Times New Roman" w:eastAsia="Times New Roman" w:hAnsi="Times New Roman"/>
          <w:b/>
          <w:bCs/>
          <w:i w:val="false"/>
          <w:iCs w:val="false"/>
          <w:color w:val="000000"/>
          <w:sz w:val="24"/>
          <w:szCs w:val="24"/>
        </w:rPr>
        <w:t xml:space="preserve">onze actions mineures (m1 à m11) sont ignorées</w:t>
      </w:r>
      <w:r>
        <w:rPr>
          <w:rFonts w:ascii="Times New Roman" w:eastAsia="Times New Roman" w:hAnsi="Times New Roman"/>
          <w:b w:val="false"/>
          <w:bCs w:val="false"/>
          <w:i w:val="false"/>
          <w:iCs w:val="false"/>
          <w:color w:val="000000"/>
          <w:sz w:val="24"/>
          <w:szCs w:val="24"/>
        </w:rPr>
        <w:t xml:space="preserve"> par décision assumée : elles n'entrent ni dans le décompte ni dans le score. Enfin, les points opérationnels non traités à ce stade sont réputés </w:t>
      </w:r>
      <w:r>
        <w:rPr>
          <w:rFonts w:ascii="Times New Roman" w:eastAsia="Times New Roman" w:hAnsi="Times New Roman"/>
          <w:b/>
          <w:bCs/>
          <w:i w:val="false"/>
          <w:iCs w:val="false"/>
          <w:color w:val="000000"/>
          <w:sz w:val="24"/>
          <w:szCs w:val="24"/>
        </w:rPr>
        <w:t xml:space="preserve">reportés à la mise en production</w:t>
      </w:r>
      <w:r>
        <w:rPr>
          <w:rFonts w:ascii="Times New Roman" w:eastAsia="Times New Roman" w:hAnsi="Times New Roman"/>
          <w:b w:val="false"/>
          <w:bCs w:val="false"/>
          <w:i w:val="false"/>
          <w:iCs w:val="false"/>
          <w:color w:val="000000"/>
          <w:sz w:val="24"/>
          <w:szCs w:val="24"/>
        </w:rPr>
        <w:t xml:space="preserve"> : M3 (e-mails transactionnels), M4 (PostgreSQL), M8 (chaîne de déploiement) et M10 (verrouillage des dépendances) sont des opérations de mise en production par nature, et l'équipe n'y est pas encore.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Restent donc </w:t>
      </w:r>
      <w:r>
        <w:rPr>
          <w:rFonts w:ascii="Times New Roman" w:eastAsia="Times New Roman" w:hAnsi="Times New Roman"/>
          <w:b/>
          <w:bCs/>
          <w:i w:val="false"/>
          <w:iCs w:val="false"/>
          <w:color w:val="000000"/>
          <w:sz w:val="24"/>
          <w:szCs w:val="24"/>
        </w:rPr>
        <w:t xml:space="preserve">onze points actifs</w:t>
      </w:r>
      <w:r>
        <w:rPr>
          <w:rFonts w:ascii="Times New Roman" w:eastAsia="Times New Roman" w:hAnsi="Times New Roman"/>
          <w:b w:val="false"/>
          <w:bCs w:val="false"/>
          <w:i w:val="false"/>
          <w:iCs w:val="false"/>
          <w:color w:val="000000"/>
          <w:sz w:val="24"/>
          <w:szCs w:val="24"/>
        </w:rPr>
        <w:t xml:space="preserve"> : C3 (durcissement de la configuration de production), C4 (consentement cookies et Google Analytics), C5 (conformité RGPD de la recherche) et M3 à M10. Pour chaque point, le présent rapport indique un statut unique — corrigé, partiel ou reporté — assorti d'une preuve matérielle dans le code ou d'un résultat de commande vérifiable ; </w:t>
      </w:r>
      <w:r>
        <w:rPr>
          <w:rFonts w:ascii="Times New Roman" w:eastAsia="Times New Roman" w:hAnsi="Times New Roman"/>
          <w:b/>
          <w:bCs/>
          <w:i w:val="false"/>
          <w:iCs w:val="false"/>
          <w:color w:val="000000"/>
          <w:sz w:val="24"/>
          <w:szCs w:val="24"/>
        </w:rPr>
        <w:t xml:space="preserve">aucun point actif n'est ouvert</w:t>
      </w:r>
      <w:r>
        <w:rPr>
          <w:rFonts w:ascii="Times New Roman" w:eastAsia="Times New Roman" w:hAnsi="Times New Roman"/>
          <w:b w:val="false"/>
          <w:bCs w:val="false"/>
          <w:i w:val="false"/>
          <w:iCs w:val="false"/>
          <w:color w:val="000000"/>
          <w:sz w:val="24"/>
          <w:szCs w:val="24"/>
        </w:rPr>
        <w:t xml:space="preserve">.</w:t>
      </w:r>
    </w:p>
    <w:p>
      <w:pPr>
        <w:pStyle w:val="Heading2"/>
        <w:spacing w:after="140" w:before="280" w:line="312"/>
      </w:pPr>
      <w:r>
        <w:rPr>
          <w:rFonts w:ascii="Times New Roman" w:eastAsia="Times New Roman" w:hAnsi="Times New Roman"/>
          <w:b/>
          <w:bCs/>
          <w:color w:val="1A4A7A"/>
          <w:sz w:val="28"/>
          <w:szCs w:val="28"/>
        </w:rPr>
        <w:t xml:space="preserve">1.2 Méthode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vérification combine quatre techniques reproductibles sur l'archive livrée « sig-web-site-audit.zip » (17 septembre 2026). En premier lieu, une revue ciblée du code modifié : réglages de production, gabarits et vues du consentement, modèle et commandes de la recherche, fixtures de contenu, routes et dépendances. En deuxième lieu, l'exécution complète de la suite de tests du projet dans un environnement virtuel propre reconstitué depuis requirements.txt (253 tests). En troisième lieu, l'audit de configuration natif de Django « manage.py check --deploy » sous les réglages de production, qui objective la couverture des réglages de sécurité. En dernier lieu, des contrôles ponctuels : vérification des migrations, installabilité des dépendances et comportement des variables d'environnement. Aucun test d'intrusion n'a été réalisé ; l'avis porte sur le code et la configuration, pas sur l'infrastructure réelle.</w:t>
      </w:r>
    </w:p>
    <w:p>
      <w:pPr>
        <w:pStyle w:val="Heading1"/>
        <w:spacing w:after="180" w:before="400" w:line="312"/>
      </w:pPr>
      <w:r>
        <w:rPr>
          <w:rFonts w:ascii="Times New Roman" w:eastAsia="Times New Roman" w:hAnsi="Times New Roman"/>
          <w:b/>
          <w:bCs/>
          <w:color w:val="1A4A7A"/>
          <w:sz w:val="32"/>
          <w:szCs w:val="32"/>
        </w:rPr>
        <w:t xml:space="preserve">2. Points critiques restants (C3 à C5) : corrigés et vérifiés</w:t>
      </w:r>
    </w:p>
    <w:p>
      <w:pPr>
        <w:pStyle w:val="Heading2"/>
        <w:spacing w:after="140" w:before="280" w:line="312"/>
      </w:pPr>
      <w:r>
        <w:rPr>
          <w:rFonts w:ascii="Times New Roman" w:eastAsia="Times New Roman" w:hAnsi="Times New Roman"/>
          <w:b/>
          <w:bCs/>
          <w:color w:val="1A4A7A"/>
          <w:sz w:val="28"/>
          <w:szCs w:val="28"/>
        </w:rPr>
        <w:t xml:space="preserve">2.1 C3 — Durcissement de la configuration de production : CORRIGÉ</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fichier core/settings/prod.py contient désormais l'ensemble des réglages attendus : </w:t>
      </w:r>
      <w:r>
        <w:rPr>
          <w:rFonts w:ascii="Times New Roman" w:eastAsia="Times New Roman" w:hAnsi="Times New Roman"/>
          <w:b/>
          <w:bCs/>
          <w:i w:val="false"/>
          <w:iCs w:val="false"/>
          <w:color w:val="000000"/>
          <w:sz w:val="24"/>
          <w:szCs w:val="24"/>
        </w:rPr>
        <w:t xml:space="preserve">DEBUG à False</w:t>
      </w:r>
      <w:r>
        <w:rPr>
          <w:rFonts w:ascii="Times New Roman" w:eastAsia="Times New Roman" w:hAnsi="Times New Roman"/>
          <w:b w:val="false"/>
          <w:bCs w:val="false"/>
          <w:i w:val="false"/>
          <w:iCs w:val="false"/>
          <w:color w:val="000000"/>
          <w:sz w:val="24"/>
          <w:szCs w:val="24"/>
        </w:rPr>
        <w:t xml:space="preserve">, liste ALLOWED_HOSTS lue depuis l'environnement, redirection HTTPS avec en-tête de proxy, HSTS (3600 s puis montée progressive, sous-domaines inclus), cookies de session et CSRF sécurisés (Secure, HttpOnly, SameSite), en-têtes nosniff, X-Frame-Options « DENY » et Referrer-Policy, journalisation structurée, intégration Sentry conditionnelle — avec send_default_pii à False, ce qui est un choix favorable au RGPD — et backend e-mail SMTP paramétrable. La clé secrète n'est plus écrite en dur : elle est lue depuis la variable DJANGO_SECRET_KEY, et Rosetta a été retiré des applications installées de production (il n'est activé qu'en développement).</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vérification objective confirme ce diagnostic : lancée avec les réglages de production et une clé forte, la commande « check --deploy » ne remonte plus qu'un seul avertissement, </w:t>
      </w:r>
      <w:r>
        <w:rPr>
          <w:rFonts w:ascii="Times New Roman" w:eastAsia="Times New Roman" w:hAnsi="Times New Roman"/>
          <w:b/>
          <w:bCs/>
          <w:i w:val="false"/>
          <w:iCs w:val="false"/>
          <w:color w:val="000000"/>
          <w:sz w:val="24"/>
          <w:szCs w:val="24"/>
        </w:rPr>
        <w:t xml:space="preserve">security.W021 (HSTS preload à False)</w:t>
      </w:r>
      <w:r>
        <w:rPr>
          <w:rFonts w:ascii="Times New Roman" w:eastAsia="Times New Roman" w:hAnsi="Times New Roman"/>
          <w:b w:val="false"/>
          <w:bCs w:val="false"/>
          <w:i w:val="false"/>
          <w:iCs w:val="false"/>
          <w:color w:val="000000"/>
          <w:sz w:val="24"/>
          <w:szCs w:val="24"/>
        </w:rPr>
        <w:t xml:space="preserve">, explicitement commenté dans le code comme un report volontaire jusqu'à la préparation du domaine. Contre six alertes au premier audit, dont plusieurs critiques, l'écart de sécurité est donc résorbé. Une réserve d'hygiène subsiste, détaillée au chapitre 5 : la route de l'éditeur de traductions Rosetta reste incluse sans condition dans core/urls.py et gagnerait à être limitée au mode débogage.</w:t>
      </w:r>
    </w:p>
    <w:p>
      <w:pPr>
        <w:pStyle w:val="Heading2"/>
        <w:spacing w:after="140" w:before="280" w:line="312"/>
      </w:pPr>
      <w:r>
        <w:rPr>
          <w:rFonts w:ascii="Times New Roman" w:eastAsia="Times New Roman" w:hAnsi="Times New Roman"/>
          <w:b/>
          <w:bCs/>
          <w:color w:val="1A4A7A"/>
          <w:sz w:val="28"/>
          <w:szCs w:val="28"/>
        </w:rPr>
        <w:t xml:space="preserve">2.2 C4 — Bannière de consentement et Google Analytics : CORRIGÉ</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mécanisme exigé est en place et complet. Une bannière affichée dès la première visite propose les trois choix attendus — accepter tout, refuser tout, paramétrer — avec une gestion accessible (rôles ARIA, libellés liés). Le choix de l'utilisateur est persisté douze mois dans un cookie dédié et </w:t>
      </w:r>
      <w:r>
        <w:rPr>
          <w:rFonts w:ascii="Times New Roman" w:eastAsia="Times New Roman" w:hAnsi="Times New Roman"/>
          <w:b/>
          <w:bCs/>
          <w:i w:val="false"/>
          <w:iCs w:val="false"/>
          <w:color w:val="000000"/>
          <w:sz w:val="24"/>
          <w:szCs w:val="24"/>
        </w:rPr>
        <w:t xml:space="preserve">journalisé en base</w:t>
      </w:r>
      <w:r>
        <w:rPr>
          <w:rFonts w:ascii="Times New Roman" w:eastAsia="Times New Roman" w:hAnsi="Times New Roman"/>
          <w:b w:val="false"/>
          <w:bCs w:val="false"/>
          <w:i w:val="false"/>
          <w:iCs w:val="false"/>
          <w:color w:val="000000"/>
          <w:sz w:val="24"/>
          <w:szCs w:val="24"/>
        </w:rPr>
        <w:t xml:space="preserve"> (modèle CookieConsent, avec action, horodatage et versions des préférences), ce qui couvre l'exigence de traçabilité du consentement. Google Analytics n'est chargé que si la catégorie « analytics » a été acceptée, avec anonymisation de l'adresse IP activée : aucun script tiers de mesure n'est exécuté avant consentement, conformément à la doctrine CNIL. L'utilisateur peut revenir sur sa décision à tout moment via une page de préférences dédiée, reliée depuis le pied de page, et une politique de cookies éditable (cookies essentiels et non essentiels gérés depuis l'admin) complète le dispositif.</w:t>
      </w:r>
    </w:p>
    <w:p>
      <w:pPr>
        <w:pStyle w:val="Heading2"/>
        <w:spacing w:after="140" w:before="280" w:line="312"/>
      </w:pPr>
      <w:r>
        <w:rPr>
          <w:rFonts w:ascii="Times New Roman" w:eastAsia="Times New Roman" w:hAnsi="Times New Roman"/>
          <w:b/>
          <w:bCs/>
          <w:color w:val="1A4A7A"/>
          <w:sz w:val="28"/>
          <w:szCs w:val="28"/>
        </w:rPr>
        <w:t xml:space="preserve">2.3 C5 — Conformité RGPD de la recherche : CORRIGÉ</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traitement de l'historique de recherche a été refondu dans le sens recommandé par l'audit. L'ancien champ d'adresse IP en clair est déprécié et n'est plus jamais écrit (valeur None systématique) ; il est remplacé par un </w:t>
      </w:r>
      <w:r>
        <w:rPr>
          <w:rFonts w:ascii="Times New Roman" w:eastAsia="Times New Roman" w:hAnsi="Times New Roman"/>
          <w:b/>
          <w:bCs/>
          <w:i w:val="false"/>
          <w:iCs w:val="false"/>
          <w:color w:val="000000"/>
          <w:sz w:val="24"/>
          <w:szCs w:val="24"/>
        </w:rPr>
        <w:t xml:space="preserve">empreinte pseudo-anonymisée ip_hash</w:t>
      </w:r>
      <w:r>
        <w:rPr>
          <w:rFonts w:ascii="Times New Roman" w:eastAsia="Times New Roman" w:hAnsi="Times New Roman"/>
          <w:b w:val="false"/>
          <w:bCs w:val="false"/>
          <w:i w:val="false"/>
          <w:iCs w:val="false"/>
          <w:color w:val="000000"/>
          <w:sz w:val="24"/>
          <w:szCs w:val="24"/>
        </w:rPr>
        <w:t xml:space="preserve"> — SHA-256 tronqué à seize caractères, calculée avec une clé tournant mensuellement —, de sorte que l'adresse exacte d'un visiteur n'est plus reconstructible au-delà du mois courant. Une commande de gestion « purge_search_history » fournit la purge à trente jours exigée ; elle devra simplement être programmée (cron ou tâche planifiée) lors du déploiement. Enfin, la politique de confidentialité a été mise à jour : durées de conservation annoncées et description d'une mesure d'audience anonymisée sans identification individuelle. Le dispositif est conforme à la logique de minimisation et de pseudo-anonymisation de l'article 32 du RGPD.</w:t>
      </w:r>
    </w:p>
    <w:p>
      <w:pPr>
        <w:pStyle w:val="Heading2"/>
        <w:spacing w:after="140" w:before="280" w:line="312"/>
      </w:pPr>
      <w:r>
        <w:rPr>
          <w:rFonts w:ascii="Times New Roman" w:eastAsia="Times New Roman" w:hAnsi="Times New Roman"/>
          <w:b/>
          <w:bCs/>
          <w:color w:val="1A4A7A"/>
          <w:sz w:val="28"/>
          <w:szCs w:val="28"/>
        </w:rPr>
        <w:t xml:space="preserve">2.4 C1 et C2 — transférés à la plateforme sig-web-platform (hors comptage)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Ces deux exigences ne relèvent plus du site vitrine : l'inscription des clients est portée par la plateforme sig-web-platform, qui recevra les inscriptions et pour laquelle les comptes seront créés par l'administrateur, et le formulaire de contact complet a été supprimé du cahier des charges révisé. Deux observations factuelles positives sont néanmoins consignées, sans valeur d'écart. D'une part, l'application d'inscription </w:t>
      </w:r>
      <w:r>
        <w:rPr>
          <w:rFonts w:ascii="Times New Roman" w:eastAsia="Times New Roman" w:hAnsi="Times New Roman"/>
          <w:b/>
          <w:bCs/>
          <w:i w:val="false"/>
          <w:iCs w:val="false"/>
          <w:color w:val="000000"/>
          <w:sz w:val="24"/>
          <w:szCs w:val="24"/>
        </w:rPr>
        <w:t xml:space="preserve">fonctionne désormais réellement</w:t>
      </w:r>
      <w:r>
        <w:rPr>
          <w:rFonts w:ascii="Times New Roman" w:eastAsia="Times New Roman" w:hAnsi="Times New Roman"/>
          <w:b w:val="false"/>
          <w:bCs w:val="false"/>
          <w:i w:val="false"/>
          <w:iCs w:val="false"/>
          <w:color w:val="000000"/>
          <w:sz w:val="24"/>
          <w:szCs w:val="24"/>
        </w:rPr>
        <w:t xml:space="preserve"> : la vue leads.signup_view enregistre le lead en base (nom, e-mail, organisation) puis redirige vers l'URL d'inscription de la plateforme — exactement le flux attendu par le modèle « subscribe to the service ». D'autre part, la page Contact reste une page d'information (coordonnées éditées depuis l'admin, carte et réseaux sociaux), conforme au cahier des charges révisé. Deux résidus techniques liés à ces évolutions sont listés au chapitre 5 (protection anti-spam de la route d'inscription et données personnelles transmises dans la chaîne de requête de redirection) et pourront être arbitrés le moment venu.</w:t>
      </w:r>
    </w:p>
    <w:p>
      <w:pPr>
        <w:pStyle w:val="Heading1"/>
        <w:spacing w:after="180" w:before="400" w:line="312"/>
      </w:pPr>
      <w:r>
        <w:rPr>
          <w:rFonts w:ascii="Times New Roman" w:eastAsia="Times New Roman" w:hAnsi="Times New Roman"/>
          <w:b/>
          <w:bCs/>
          <w:color w:val="1A4A7A"/>
          <w:sz w:val="32"/>
          <w:szCs w:val="32"/>
        </w:rPr>
        <w:t xml:space="preserve">3. Points majeurs actifs (M3 à M10) et points sortis du comptage</w:t>
      </w:r>
    </w:p>
    <w:p>
      <w:pPr>
        <w:keepNext/>
        <w:spacing w:after="140" w:line="312"/>
        <w:jc w:val="both"/>
      </w:pPr>
      <w:r>
        <w:rPr>
          <w:rFonts w:ascii="Times New Roman" w:eastAsia="Times New Roman" w:hAnsi="Times New Roman"/>
          <w:b w:val="false"/>
          <w:bCs w:val="false"/>
          <w:i w:val="false"/>
          <w:iCs w:val="false"/>
          <w:color w:val="000000"/>
          <w:sz w:val="24"/>
          <w:szCs w:val="24"/>
        </w:rPr>
        <w:t xml:space="preserve">Le tableau 1 récapitule le statut des huit points majeurs actifs, avec la preuve matérielle correspondante : trois sont faits et vérifiés, quatre sont reportés à la mise en production par décision assumée et un seul est partiel — aucun n'est ouvert. Le tableau 2 consigne les quatre points sortis du comptage (C1, C2, M1, M2) avec la décision produit qui les justifie, afin de conserver une trace d'audit complète.</w:t>
      </w:r>
    </w:p>
    <w:p>
      <w:pPr>
        <w:keepNext/>
        <w:spacing w:after="90" w:before="160" w:line="312"/>
      </w:pPr>
      <w:r>
        <w:rPr>
          <w:rFonts w:ascii="Times New Roman" w:eastAsia="Times New Roman" w:hAnsi="Times New Roman"/>
          <w:b/>
          <w:bCs/>
          <w:color w:val="1A4A7A"/>
          <w:sz w:val="20"/>
          <w:szCs w:val="20"/>
        </w:rPr>
        <w:t xml:space="preserve">Tableau 1 — Statut des huit points majeurs actifs</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N°</w:t>
            </w:r>
          </w:p>
        </w:tc>
        <w:tc>
          <w:tcPr>
            <w:tcW w:type="pct" w:w="3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Action (rappel)</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Statut</w:t>
            </w:r>
          </w:p>
        </w:tc>
        <w:tc>
          <w:tcPr>
            <w:tcW w:type="pct" w:w="51%"/>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Preuve / commentaire</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M3</w:t>
            </w:r>
          </w:p>
        </w:tc>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E-mails transactionnels réels (SMTP/SendGrid, notifications)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A4A7A"/>
                <w:sz w:val="18"/>
                <w:szCs w:val="18"/>
              </w:rPr>
              <w:t xml:space="preserve">Reporté</w:t>
            </w:r>
          </w:p>
        </w:tc>
        <w:tc>
          <w:tcPr>
            <w:tcW w:type="pct" w:w="5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 envoi réel dans le code ; réglages SMTP prêts dans prod.py — activation à la mise en production</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M4</w:t>
            </w:r>
          </w:p>
        </w:tc>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PostgreSQL en production (DATABASE_URL, vérifier plein texte)</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A4A7A"/>
                <w:sz w:val="18"/>
                <w:szCs w:val="18"/>
              </w:rPr>
              <w:t xml:space="preserve">Reporté</w:t>
            </w:r>
          </w:p>
        </w:tc>
        <w:tc>
          <w:tcPr>
            <w:tcW w:type="pct" w:w="5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dj-database-url et psycopg2-binary en place ; SQLite conservé en dev, PostgreSQL à activer via l'environnement</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M5</w:t>
            </w:r>
          </w:p>
        </w:tc>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Fixtures de démonstration et contenu éditorial</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Fait</w:t>
            </w:r>
          </w:p>
        </w:tc>
        <w:tc>
          <w:tcPr>
            <w:tcW w:type="pct" w:w="5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19 fixtures (accueil, tarifs, footer, politiques…), 5 articles de blog avec catégories, chiffres clés, partenaires et médias fournis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M6</w:t>
            </w:r>
          </w:p>
        </w:tc>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Ajouter le Pass Solidarité (4e offre)</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Fait</w:t>
            </w:r>
          </w:p>
        </w:tc>
        <w:tc>
          <w:tcPr>
            <w:tcW w:type="pct" w:w="5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Fixture pricing_solidarity.json (badge « Solidarité ») à côté des 3 offres — 4 offres affichées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M7</w:t>
            </w:r>
          </w:p>
        </w:tc>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Anti-spam (honeypot + django-ratelimit)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Fait</w:t>
            </w:r>
          </w:p>
        </w:tc>
        <w:tc>
          <w:tcPr>
            <w:tcW w:type="pct" w:w="5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honeypot + limite 5 POST/min/IP sur la newsletter, 60/m et 120/m GET sur la recherche ; réserve : la route d'inscription POST /signup/ n'est pas encore limitée</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M8</w:t>
            </w:r>
          </w:p>
        </w:tc>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Chaîne de déploiement (VPS, Nginx/Gunicorn, CI/CD)</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A4A7A"/>
                <w:sz w:val="18"/>
                <w:szCs w:val="18"/>
              </w:rPr>
              <w:t xml:space="preserve">Reporté</w:t>
            </w:r>
          </w:p>
        </w:tc>
        <w:tc>
          <w:tcPr>
            <w:tcW w:type="pct" w:w="5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 Dockerfile ni workflow dans le livrable — cohérent avec la décision (phase déploiement)</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M9</w:t>
            </w:r>
          </w:p>
        </w:tc>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Documentation (guide admin, déploiement, sauvegarde/restauration)</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Partiel</w:t>
            </w:r>
          </w:p>
        </w:tc>
        <w:tc>
          <w:tcPr>
            <w:tcW w:type="pct" w:w="5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README détaillé (installation, configuration, déploiement Contabo) ; il manque un guide administrateur et la procédure de sauvegarde/restauration</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M10</w:t>
            </w:r>
          </w:p>
        </w:tc>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Verrouiller les dépendances (dédoublonner, lock, pip-audit)</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A4A7A"/>
                <w:sz w:val="18"/>
                <w:szCs w:val="18"/>
              </w:rPr>
              <w:t xml:space="preserve">Reporté</w:t>
            </w:r>
          </w:p>
        </w:tc>
        <w:tc>
          <w:tcPr>
            <w:tcW w:type="pct" w:w="5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requirements.txt contient encore un bloc dupliqué (21 doublons) ; fichier de lock et pip-audit à produire au déploiement</w:t>
            </w:r>
          </w:p>
        </w:tc>
      </w:tr>
    </w:tbl>
    <w:p>
      <w:pPr>
        <w:spacing w:after="220" w:before="60" w:line="312"/>
        <w:jc w:val="center"/>
      </w:pPr>
      <w:r>
        <w:rPr>
          <w:rFonts w:ascii="Times New Roman" w:eastAsia="Times New Roman" w:hAnsi="Times New Roman"/>
          <w:i/>
          <w:iCs/>
          <w:color w:val="5A7A96"/>
          <w:sz w:val="18"/>
          <w:szCs w:val="18"/>
        </w:rPr>
        <w:t xml:space="preserve">Statut par point actif, avec preuve sourcée dans l'archive (fichiers, fixtures, résultats de commandes)</w:t>
      </w:r>
    </w:p>
    <w:p>
      <w:pPr>
        <w:keepNext/>
        <w:spacing w:after="90" w:before="160" w:line="312"/>
      </w:pPr>
      <w:r>
        <w:rPr>
          <w:rFonts w:ascii="Times New Roman" w:eastAsia="Times New Roman" w:hAnsi="Times New Roman"/>
          <w:b/>
          <w:bCs/>
          <w:color w:val="1A4A7A"/>
          <w:sz w:val="20"/>
          <w:szCs w:val="20"/>
        </w:rPr>
        <w:t xml:space="preserve">Tableau 2 — Points sortis du comptage : décisions produit actées</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N°</w:t>
            </w:r>
          </w:p>
        </w:tc>
        <w:tc>
          <w:tcPr>
            <w:tcW w:type="pct" w:w="2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Objet (rappel)</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Règle</w:t>
            </w:r>
          </w:p>
        </w:tc>
        <w:tc>
          <w:tcPr>
            <w:tcW w:type="pct" w:w="5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Décision du client</w:t>
            </w:r>
          </w:p>
        </w:tc>
      </w:tr>
      <w:tr>
        <w:trPr>
          <w:cantSplit/>
        </w:trPr>
        <w:tc>
          <w:tcPr>
            <w:tcW w:type="pct" w:w="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C1</w:t>
            </w:r>
          </w:p>
        </w:tc>
        <w:tc>
          <w:tcPr>
            <w:tcW w:type="pct" w:w="2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Formulaire d'inscription en ligne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5A7A96"/>
                <w:sz w:val="18"/>
                <w:szCs w:val="18"/>
              </w:rPr>
              <w:t xml:space="preserve">Transféré</w:t>
            </w:r>
          </w:p>
        </w:tc>
        <w:tc>
          <w:tcPr>
            <w:tcW w:type="pct" w:w="5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Pris en charge par la plateforme sig-web-platform, qui reçoit les inscriptions ; le cahier des charges révisé ne l'exige plus sur la vitrine</w:t>
            </w:r>
          </w:p>
        </w:tc>
      </w:tr>
      <w:tr>
        <w:trPr>
          <w:cantSplit/>
        </w:trPr>
        <w:tc>
          <w:tcPr>
            <w:tcW w:type="pct" w:w="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C2</w:t>
            </w:r>
          </w:p>
        </w:tc>
        <w:tc>
          <w:tcPr>
            <w:tcW w:type="pct" w:w="2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Formulaire de la page Contact</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5A7A96"/>
                <w:sz w:val="18"/>
                <w:szCs w:val="18"/>
              </w:rPr>
              <w:t xml:space="preserve">Transféré</w:t>
            </w:r>
          </w:p>
        </w:tc>
        <w:tc>
          <w:tcPr>
            <w:tcW w:type="pct" w:w="5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Exigence supprimée du cahier des charges révisé ; la page Contact reste une page d'information</w:t>
            </w:r>
          </w:p>
        </w:tc>
      </w:tr>
      <w:tr>
        <w:trPr>
          <w:cantSplit/>
        </w:trPr>
        <w:tc>
          <w:tcPr>
            <w:tcW w:type="pct" w:w="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w:t>
            </w:r>
          </w:p>
        </w:tc>
        <w:tc>
          <w:tcPr>
            <w:tcW w:type="pct" w:w="2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Page Connexion dédiée (bouton dans le header)</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5A7A96"/>
                <w:sz w:val="18"/>
                <w:szCs w:val="18"/>
              </w:rPr>
              <w:t xml:space="preserve">Non applicable</w:t>
            </w:r>
          </w:p>
        </w:tc>
        <w:tc>
          <w:tcPr>
            <w:tcW w:type="pct" w:w="5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Choix produit assumé : le client s'inscrit (« subscribe to the service »), l'administrateur reçoit l'inscription et crée le compte d'accès à la plateforme (non encore développée)</w:t>
            </w:r>
          </w:p>
        </w:tc>
      </w:tr>
      <w:tr>
        <w:trPr>
          <w:cantSplit/>
        </w:trPr>
        <w:tc>
          <w:tcPr>
            <w:tcW w:type="pct" w:w="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M2</w:t>
            </w:r>
          </w:p>
        </w:tc>
        <w:tc>
          <w:tcPr>
            <w:tcW w:type="pct" w:w="2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Réactiver la page Mentions légales (route legal/)</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5A7A96"/>
                <w:sz w:val="18"/>
                <w:szCs w:val="18"/>
              </w:rPr>
              <w:t xml:space="preserve">Non applicable</w:t>
            </w:r>
          </w:p>
        </w:tc>
        <w:tc>
          <w:tcPr>
            <w:tcW w:type="pct" w:w="5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Décision volontaire assumée : la route reste désactivée ; le point n'est plus considéré comme un écart</w:t>
            </w:r>
          </w:p>
        </w:tc>
      </w:tr>
      <w:tr>
        <w:trPr>
          <w:cantSplit/>
        </w:trPr>
        <w:tc>
          <w:tcPr>
            <w:tcW w:type="pct" w:w="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m1-m11</w:t>
            </w:r>
          </w:p>
        </w:tc>
        <w:tc>
          <w:tcPr>
            <w:tcW w:type="pct" w:w="2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Onze actions mineures</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5A7A96"/>
                <w:sz w:val="18"/>
                <w:szCs w:val="18"/>
              </w:rPr>
              <w:t xml:space="preserve">Ignorées</w:t>
            </w:r>
          </w:p>
        </w:tc>
        <w:tc>
          <w:tcPr>
            <w:tcW w:type="pct" w:w="5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Hors décompte et hors score, par décision assumée</w:t>
            </w:r>
          </w:p>
        </w:tc>
      </w:tr>
    </w:tbl>
    <w:p>
      <w:pPr>
        <w:spacing w:after="220" w:before="60" w:line="312"/>
        <w:jc w:val="center"/>
      </w:pPr>
      <w:r>
        <w:rPr>
          <w:rFonts w:ascii="Times New Roman" w:eastAsia="Times New Roman" w:hAnsi="Times New Roman"/>
          <w:i/>
          <w:iCs/>
          <w:color w:val="5A7A96"/>
          <w:sz w:val="18"/>
          <w:szCs w:val="18"/>
        </w:rPr>
        <w:t xml:space="preserve">Trace d'audit des exclusions de périmètre — aucun de ces points n'entre dans le taux de réalisation</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Une précision éclaire le seul statut non franc. Sur </w:t>
      </w:r>
      <w:r>
        <w:rPr>
          <w:rFonts w:ascii="Times New Roman" w:eastAsia="Times New Roman" w:hAnsi="Times New Roman"/>
          <w:b/>
          <w:bCs/>
          <w:i w:val="false"/>
          <w:iCs w:val="false"/>
          <w:color w:val="000000"/>
          <w:sz w:val="24"/>
          <w:szCs w:val="24"/>
        </w:rPr>
        <w:t xml:space="preserve">M9</w:t>
      </w:r>
      <w:r>
        <w:rPr>
          <w:rFonts w:ascii="Times New Roman" w:eastAsia="Times New Roman" w:hAnsi="Times New Roman"/>
          <w:b w:val="false"/>
          <w:bCs w:val="false"/>
          <w:i w:val="false"/>
          <w:iCs w:val="false"/>
          <w:color w:val="000000"/>
          <w:sz w:val="24"/>
          <w:szCs w:val="24"/>
        </w:rPr>
        <w:t xml:space="preserve">, la base documentaire est honorable mais orientée développeur ; la procédure de sauvegarde/restauration (pg_dump, test de restauration) et le guide administrateur restent à rédiger avant l'exploitation — leur rédaction s'insère naturellement dans la préparation de la mise en production et ne bloque pas la phase de développement. Les quatre points reportés partagent la même logique : leurs prérequis logiciels sont déjà en place (réglages SMTP, dj-database-url et psycopg2, environnement prêt pour le verrouillage des dépendances), seuls les gestes d'activation restent à accomplir au déploiement.</w:t>
      </w:r>
    </w:p>
    <w:p>
      <w:pPr>
        <w:pStyle w:val="Heading1"/>
        <w:spacing w:after="180" w:before="400" w:line="312"/>
      </w:pPr>
      <w:r>
        <w:rPr>
          <w:rFonts w:ascii="Times New Roman" w:eastAsia="Times New Roman" w:hAnsi="Times New Roman"/>
          <w:b/>
          <w:bCs/>
          <w:color w:val="1A4A7A"/>
          <w:sz w:val="32"/>
          <w:szCs w:val="32"/>
        </w:rPr>
        <w:t xml:space="preserve">4. Vérifications objectives : avant et après</w:t>
      </w:r>
    </w:p>
    <w:p>
      <w:pPr>
        <w:keepNext/>
        <w:spacing w:after="140" w:line="312"/>
        <w:jc w:val="both"/>
      </w:pPr>
      <w:r>
        <w:rPr>
          <w:rFonts w:ascii="Times New Roman" w:eastAsia="Times New Roman" w:hAnsi="Times New Roman"/>
          <w:b w:val="false"/>
          <w:bCs w:val="false"/>
          <w:i w:val="false"/>
          <w:iCs w:val="false"/>
          <w:color w:val="000000"/>
          <w:sz w:val="24"/>
          <w:szCs w:val="24"/>
        </w:rPr>
        <w:t xml:space="preserve">Toutes les mesures ci-dessous ont été reproductibles sur l'archive livrée, dans un environnement virtuel propre (Django 5.2, dépendances installées depuis requirements.txt). Elles objectivent la progression entre le premier audit et celui-ci.</w:t>
      </w:r>
    </w:p>
    <w:p>
      <w:pPr>
        <w:keepNext/>
        <w:spacing w:after="90" w:before="160" w:line="312"/>
      </w:pPr>
      <w:r>
        <w:rPr>
          <w:rFonts w:ascii="Times New Roman" w:eastAsia="Times New Roman" w:hAnsi="Times New Roman"/>
          <w:b/>
          <w:bCs/>
          <w:color w:val="1A4A7A"/>
          <w:sz w:val="20"/>
          <w:szCs w:val="20"/>
        </w:rPr>
        <w:t xml:space="preserve">Tableau 3 — Comparaison des vérifications objectives</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3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Vérification</w:t>
            </w:r>
          </w:p>
        </w:tc>
        <w:tc>
          <w:tcPr>
            <w:tcW w:type="pct" w:w="3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Audit du 16/09</w:t>
            </w:r>
          </w:p>
        </w:tc>
        <w:tc>
          <w:tcPr>
            <w:tcW w:type="pct" w:w="3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Suivi du 17/09</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Suite de tests automatisés</w:t>
            </w:r>
          </w:p>
        </w:tc>
        <w:tc>
          <w:tcPr>
            <w:tcW w:type="pct" w:w="3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221/221 réussis</w:t>
            </w:r>
          </w:p>
        </w:tc>
        <w:tc>
          <w:tcPr>
            <w:tcW w:type="pct" w:w="3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253/253 réussis (+32)</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check --deploy (réglages prod)</w:t>
            </w:r>
          </w:p>
        </w:tc>
        <w:tc>
          <w:tcPr>
            <w:tcW w:type="pct" w:w="3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6 avertissements (W004, W008, W009, W012, W016, W020)</w:t>
            </w:r>
          </w:p>
        </w:tc>
        <w:tc>
          <w:tcPr>
            <w:tcW w:type="pct" w:w="3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1 avertissement (W021, report volontaire du preload HSTS)</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Migrations</w:t>
            </w:r>
          </w:p>
        </w:tc>
        <w:tc>
          <w:tcPr>
            <w:tcW w:type="pct" w:w="3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À jour</w:t>
            </w:r>
          </w:p>
        </w:tc>
        <w:tc>
          <w:tcPr>
            <w:tcW w:type="pct" w:w="3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À jour (makemigrations --check : rien à faire)</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Installabilité des dépendances</w:t>
            </w:r>
          </w:p>
        </w:tc>
        <w:tc>
          <w:tcPr>
            <w:tcW w:type="pct" w:w="3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OK</w:t>
            </w:r>
          </w:p>
        </w:tc>
        <w:tc>
          <w:tcPr>
            <w:tcW w:type="pct" w:w="3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OK (avec doublons dans requirements.txt — voir M10)</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Bannière cookies / GA</w:t>
            </w:r>
          </w:p>
        </w:tc>
        <w:tc>
          <w:tcPr>
            <w:tcW w:type="pct" w:w="3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Absents</w:t>
            </w:r>
          </w:p>
        </w:tc>
        <w:tc>
          <w:tcPr>
            <w:tcW w:type="pct" w:w="3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Présents, consentement journalisé, GA sous consentement</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Stockage des IP (recherche)</w:t>
            </w:r>
          </w:p>
        </w:tc>
        <w:tc>
          <w:tcPr>
            <w:tcW w:type="pct" w:w="3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IP en clair conservée</w:t>
            </w:r>
          </w:p>
        </w:tc>
        <w:tc>
          <w:tcPr>
            <w:tcW w:type="pct" w:w="3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Empreinte hachée à clé tournante + purge 30 jours</w:t>
            </w:r>
          </w:p>
        </w:tc>
      </w:tr>
    </w:tbl>
    <w:p>
      <w:pPr>
        <w:spacing w:after="220" w:before="60" w:line="312"/>
        <w:jc w:val="center"/>
      </w:pPr>
      <w:r>
        <w:rPr>
          <w:rFonts w:ascii="Times New Roman" w:eastAsia="Times New Roman" w:hAnsi="Times New Roman"/>
          <w:i/>
          <w:iCs/>
          <w:color w:val="5A7A96"/>
          <w:sz w:val="18"/>
          <w:szCs w:val="18"/>
        </w:rPr>
        <w:t xml:space="preserve">Mesures reproductibles : tests, audit de configuration Django et contrôles de code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Note technique utile au déploiement : la bibliothèque django-environ donne priorité aux variables d'environnement du système sur le fichier .env. Lors de nos premières exécutions, une variable DATABASE_URL préexistante au niveau du système écrasait silencieusement celle du .env et provoquait une erreur de schéma de base de données ; le phénomène a été contourné en exportant explicitement la variable. Sur le VPS, l'équipe devra donc vérifier l'environnement réel du processus Gunicorn (service systemd, shell d'exécution) avant d'incriminer la configuration du projet.</w:t>
      </w:r>
    </w:p>
    <w:p>
      <w:pPr>
        <w:pStyle w:val="Heading1"/>
        <w:spacing w:after="180" w:before="400" w:line="312"/>
      </w:pPr>
      <w:r>
        <w:rPr>
          <w:rFonts w:ascii="Times New Roman" w:eastAsia="Times New Roman" w:hAnsi="Times New Roman"/>
          <w:b/>
          <w:bCs/>
          <w:color w:val="1A4A7A"/>
          <w:sz w:val="32"/>
          <w:szCs w:val="32"/>
        </w:rPr>
        <w:t xml:space="preserve">5. Points de vigilance résiduels (hors comptage)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Les points suivants sont hors du périmètre compté — certains relèvent des décisions de périmètre, d'autres des reportés — mais chacun est actionnable rapidement et mérite une place explicite dans la file d'attente avant ou pendant la mise en production.</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Rosetta exposé en production : </w:t>
      </w:r>
      <w:r>
        <w:rPr>
          <w:rFonts w:ascii="Times New Roman" w:eastAsia="Times New Roman" w:hAnsi="Times New Roman"/>
          <w:b w:val="false"/>
          <w:bCs w:val="false"/>
          <w:i w:val="false"/>
          <w:iCs w:val="false"/>
          <w:color w:val="000000"/>
          <w:sz w:val="24"/>
          <w:szCs w:val="24"/>
        </w:rPr>
        <w:t xml:space="preserve">la route rosetta/ est incluse sans condition dans core/urls.py alors que l'application n'est active qu'en développement ; conditionner l'inclusion à settings.DEBUG supprime l'exposition inutile (une ligne).</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Route d'inscription sans limitation : </w:t>
      </w:r>
      <w:r>
        <w:rPr>
          <w:rFonts w:ascii="Times New Roman" w:eastAsia="Times New Roman" w:hAnsi="Times New Roman"/>
          <w:b w:val="false"/>
          <w:bCs w:val="false"/>
          <w:i w:val="false"/>
          <w:iCs w:val="false"/>
          <w:color w:val="000000"/>
          <w:sz w:val="24"/>
          <w:szCs w:val="24"/>
        </w:rPr>
        <w:t xml:space="preserve">POST /signup/ écrit en base sans honeypot ni rate-limit, alors que newsletter et recherche en disposent (même classe de risque que M7) ; deux décorateurs à ajouter.</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Données personnelles dans l'URL de redirection : </w:t>
      </w:r>
      <w:r>
        <w:rPr>
          <w:rFonts w:ascii="Times New Roman" w:eastAsia="Times New Roman" w:hAnsi="Times New Roman"/>
          <w:b w:val="false"/>
          <w:bCs w:val="false"/>
          <w:i w:val="false"/>
          <w:iCs w:val="false"/>
          <w:color w:val="000000"/>
          <w:sz w:val="24"/>
          <w:szCs w:val="24"/>
        </w:rPr>
        <w:t xml:space="preserve">l'inscription transmet nom, e-mail et organisation en paramètres de requête vers la plateforme, donc potentiellement dans les logs serveur ; à arbitrer (passage en POST côté plateforme ou troncature des paramètres).</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Doublons de requirements.txt : </w:t>
      </w:r>
      <w:r>
        <w:rPr>
          <w:rFonts w:ascii="Times New Roman" w:eastAsia="Times New Roman" w:hAnsi="Times New Roman"/>
          <w:b w:val="false"/>
          <w:bCs w:val="false"/>
          <w:i w:val="false"/>
          <w:iCs w:val="false"/>
          <w:color w:val="000000"/>
          <w:sz w:val="24"/>
          <w:szCs w:val="24"/>
        </w:rPr>
        <w:t xml:space="preserve">un bloc de 21 dépendances est dupliqué dans le fichier ; à dédoublonner puis verrouiller au déploiement (objet de M10).</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Purge RGPD à planifier : </w:t>
      </w:r>
      <w:r>
        <w:rPr>
          <w:rFonts w:ascii="Times New Roman" w:eastAsia="Times New Roman" w:hAnsi="Times New Roman"/>
          <w:b w:val="false"/>
          <w:bCs w:val="false"/>
          <w:i w:val="false"/>
          <w:iCs w:val="false"/>
          <w:color w:val="000000"/>
          <w:sz w:val="24"/>
          <w:szCs w:val="24"/>
        </w:rPr>
        <w:t xml:space="preserve">la commande purge_search_history existe mais doit être programmée (cron quotidien) sur l'environnement de production pour que la purge à trente jours soit effective.</w:t>
      </w:r>
    </w:p>
    <w:p>
      <w:pPr>
        <w:pStyle w:val="Heading1"/>
        <w:spacing w:after="180" w:before="400" w:line="312"/>
      </w:pPr>
      <w:r>
        <w:rPr>
          <w:rFonts w:ascii="Times New Roman" w:eastAsia="Times New Roman" w:hAnsi="Times New Roman"/>
          <w:b/>
          <w:bCs/>
          <w:color w:val="1A4A7A"/>
          <w:sz w:val="32"/>
          <w:szCs w:val="32"/>
        </w:rPr>
        <w:t xml:space="preserve">6. Conclusion et prochaines étapes</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suivi confirme un travail de correction </w:t>
      </w:r>
      <w:r>
        <w:rPr>
          <w:rFonts w:ascii="Times New Roman" w:eastAsia="Times New Roman" w:hAnsi="Times New Roman"/>
          <w:b/>
          <w:bCs/>
          <w:i w:val="false"/>
          <w:iCs w:val="false"/>
          <w:color w:val="000000"/>
          <w:sz w:val="24"/>
          <w:szCs w:val="24"/>
        </w:rPr>
        <w:t xml:space="preserve">sérieux et vérifiable</w:t>
      </w:r>
      <w:r>
        <w:rPr>
          <w:rFonts w:ascii="Times New Roman" w:eastAsia="Times New Roman" w:hAnsi="Times New Roman"/>
          <w:b w:val="false"/>
          <w:bCs w:val="false"/>
          <w:i w:val="false"/>
          <w:iCs w:val="false"/>
          <w:color w:val="000000"/>
          <w:sz w:val="24"/>
          <w:szCs w:val="24"/>
        </w:rPr>
        <w:t xml:space="preserve"> : les trois points critiques restants sont corrigés conformément aux recommandations de l'audit initial, avec des mécanismes complets plutôt que des réponses de surface (journalisation du consentement, clé de hachage tournante, réglages commentés), et la couverture de tests s'est accrue de trente-deux cas sans régression. Les règles de comptage actées par le client — C1 et C2 transférés à la plateforme sig-web-platform, M1 et M2 assumés comme choix produit, mineures ignorées — sont appliquées telles quelles dans ce rapport : le </w:t>
      </w:r>
      <w:r>
        <w:rPr>
          <w:rFonts w:ascii="Times New Roman" w:eastAsia="Times New Roman" w:hAnsi="Times New Roman"/>
          <w:b/>
          <w:bCs/>
          <w:i w:val="false"/>
          <w:iCs w:val="false"/>
          <w:color w:val="000000"/>
          <w:sz w:val="24"/>
          <w:szCs w:val="24"/>
        </w:rPr>
        <w:t xml:space="preserve">taux de réalisation du périmètre actif ressort à 95 %</w:t>
      </w:r>
      <w:r>
        <w:rPr>
          <w:rFonts w:ascii="Times New Roman" w:eastAsia="Times New Roman" w:hAnsi="Times New Roman"/>
          <w:b w:val="false"/>
          <w:bCs w:val="false"/>
          <w:i w:val="false"/>
          <w:iCs w:val="false"/>
          <w:color w:val="000000"/>
          <w:sz w:val="24"/>
          <w:szCs w:val="24"/>
        </w:rPr>
        <w:t xml:space="preserve"> (points corrigés et reportés actés, partiels à 0,5), </w:t>
      </w:r>
      <w:r>
        <w:rPr>
          <w:rFonts w:ascii="Times New Roman" w:eastAsia="Times New Roman" w:hAnsi="Times New Roman"/>
          <w:b/>
          <w:bCs/>
          <w:i w:val="false"/>
          <w:iCs w:val="false"/>
          <w:color w:val="000000"/>
          <w:sz w:val="24"/>
          <w:szCs w:val="24"/>
        </w:rPr>
        <w:t xml:space="preserve">sans aucun point ouvert</w:t>
      </w:r>
      <w:r>
        <w:rPr>
          <w:rFonts w:ascii="Times New Roman" w:eastAsia="Times New Roman" w:hAnsi="Times New Roman"/>
          <w:b w:val="false"/>
          <w:bCs w:val="false"/>
          <w:i w:val="false"/>
          <w:iCs w:val="false"/>
          <w:color w:val="000000"/>
          <w:sz w:val="24"/>
          <w:szCs w:val="24"/>
        </w:rPr>
        <w:t xml:space="preserve">, et aucun des six points corrigés ne présente de réserve bloquante.</w:t>
      </w:r>
    </w:p>
    <w:p>
      <w:pPr>
        <w:keepNext/>
        <w:spacing w:after="90" w:line="312"/>
        <w:jc w:val="both"/>
      </w:pPr>
      <w:r>
        <w:rPr>
          <w:rFonts w:ascii="Times New Roman" w:eastAsia="Times New Roman" w:hAnsi="Times New Roman"/>
          <w:b w:val="false"/>
          <w:bCs w:val="false"/>
          <w:i w:val="false"/>
          <w:iCs w:val="false"/>
          <w:color w:val="000000"/>
          <w:sz w:val="24"/>
          <w:szCs w:val="24"/>
        </w:rPr>
        <w:t xml:space="preserve">Avant d'entrer en déploiement, la liste de contrôle suivante clôture le périmètre pré-production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Compléter M9 — rédiger le guide administrateur et la procédure de sauvegarde/restauration (pg_dump, test de restauration)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étendre honeypot et rate-limit à POST /signup/ (deux décorateurs)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conditionner l'inclusion de rosetta à settings.DEBUG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programmer le cron de purge_search_history (purge à 30 jours)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dédoublonner requirements.txt puis générer le fichier de verrouillage (ouverture de M10).</w:t>
      </w:r>
    </w:p>
    <w:p>
      <w:pPr>
        <w:keepNext w:val="false"/>
        <w:spacing w:after="240" w:line="312"/>
        <w:jc w:val="both"/>
      </w:pPr>
      <w:r>
        <w:rPr>
          <w:rFonts w:ascii="Times New Roman" w:eastAsia="Times New Roman" w:hAnsi="Times New Roman"/>
          <w:b w:val="false"/>
          <w:bCs w:val="false"/>
          <w:i w:val="false"/>
          <w:iCs w:val="false"/>
          <w:color w:val="000000"/>
          <w:sz w:val="24"/>
          <w:szCs w:val="24"/>
        </w:rPr>
        <w:t xml:space="preserve">Au déclenchement de la mise en production, les quatre points reportés s'activent dans l'ordre logique de la chaîne : M4 (PostgreSQL et vérification de la recherche plein texte), M3 (e-mails transactionnels sur SMTP), M8 (provisioning du VPS, Nginx/Gunicorn, CI/CD) et M10 (dépendances verrouillées et pip-audit), en complétant M9 par les guides d'exploitation. Une fois ces activations réalisées et la liste de contrôle ci-dessus fermée, le site vitrine sera dans un état conforme au référentiel révisé et prêt pour la mise en ligne.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A8DA" w:sz="4" w:space="4"/>
      </w:pBdr>
      <w:spacing w:after="60" w:line="240"/>
      <w:jc w:val="right"/>
    </w:pPr>
    <w:r>
      <w:rPr>
        <w:rFonts w:ascii="Times New Roman" w:eastAsia="Times New Roman" w:hAnsi="Times New Roman"/>
        <w:color w:val="5A7A96"/>
        <w:sz w:val="18"/>
        <w:szCs w:val="18"/>
      </w:rPr>
      <w:t xml:space="preserve">Suivi d'audit — SIG Web 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Times New Roman" w:eastAsia="Times New Roman" w:hAnsi="Times New Roman"/>
      <w:b/>
      <w:bCs/>
      <w:color w:val="1A4A7A"/>
      <w:sz w:val="32"/>
      <w:szCs w:val="32"/>
    </w:rPr>
  </w:style>
  <w:style w:type="paragraph" w:styleId="Heading2">
    <w:name w:val="Heading 2"/>
    <w:basedOn w:val="Normal"/>
    <w:next w:val="Normal"/>
    <w:qFormat/>
    <w:pPr>
      <w:spacing w:after="140" w:before="280" w:line="312"/>
      <w:outlineLvl w:val="1"/>
    </w:pPr>
    <w:rPr>
      <w:rFonts w:ascii="Times New Roman" w:eastAsia="Times New Roman" w:hAnsi="Times New Roman"/>
      <w:b/>
      <w:bCs/>
      <w:color w:val="1A4A7A"/>
      <w:sz w:val="28"/>
      <w:szCs w:val="28"/>
    </w:rPr>
  </w:style>
  <w:style w:type="paragraph" w:styleId="Heading3">
    <w:name w:val="Heading 3"/>
    <w:basedOn w:val="Normal"/>
    <w:next w:val="Normal"/>
    <w:qFormat/>
    <w:pPr>
      <w:spacing w:after="110" w:before="220" w:line="312"/>
      <w:outlineLvl w:val="2"/>
    </w:pPr>
    <w:rPr>
      <w:rFonts w:ascii="Times New Roman" w:eastAsia="Times New Roman" w:hAnsi="Times New Roman"/>
      <w:b/>
      <w:bCs/>
      <w:color w:val="1428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30e668e4bd4af2659226c7672ffb325be0e1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Suivi d'audit technique — SIG Web Site</dc:title>
  <dc:creator>Z.ai</dc:creator>
  <dc:description>Contrôle des correctifs : points critiques C3-C5 et points majeurs actifs M3-M10 — SIG.tg</dc:description>
  <cp:lastModifiedBy>Un-named</cp:lastModifiedBy>
  <cp:revision>1</cp:revision>
  <dcterms:created xsi:type="dcterms:W3CDTF">2026-09-17T08:06:03.845Z</dcterms:created>
  <dcterms:modified xsi:type="dcterms:W3CDTF">2026-09-17T08:06:03.845Z</dcterms:modified>
</cp:coreProperties>
</file>

<file path=docProps/custom.xml><?xml version="1.0" encoding="utf-8"?>
<Properties xmlns="http://schemas.openxmlformats.org/officeDocument/2006/custom-properties" xmlns:vt="http://schemas.openxmlformats.org/officeDocument/2006/docPropsVTypes"/>
</file>