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F5F8FC" w:val="clear"/>
          </w:tcPr>
          <w:p>
            <w:pPr>
              <w:spacing w:before="4786"/>
            </w:pPr>
          </w:p>
          <w:p>
            <w:pPr>
              <w:pBdr>
                <w:bottom w:val="single" w:color="2E86C1" w:sz="6" w:space="8"/>
              </w:pBdr>
              <w:spacing w:after="500" w:line="260" w:lineRule="atLeast"/>
              <w:ind w:left="1200" w:right="800"/>
            </w:pPr>
            <w:r>
              <w:rPr>
                <w:rFonts w:ascii="Times New Roman" w:eastAsia="SimSun" w:hAnsi="Times New Roman"/>
                <w:color w:val="2E86C1"/>
                <w:spacing w:val="40"/>
                <w:sz w:val="18"/>
                <w:szCs w:val="18"/>
              </w:rPr>
              <w:t xml:space="preserve">T  E  S  T     R  E  F  E  R  E  N  C  E     G  U  I  D  E</w:t>
            </w:r>
          </w:p>
          <w:p>
            <w:pPr>
              <w:spacing w:after="300" w:line="828" w:lineRule="atLeast"/>
              <w:ind w:left="1200"/>
            </w:pPr>
            <w:r>
              <w:rPr>
                <w:rFonts w:ascii="Times New Roman" w:eastAsia="SimHei" w:hAnsi="Times New Roman"/>
                <w:b/>
                <w:bCs/>
                <w:color w:val="1A5276"/>
                <w:sz w:val="72"/>
                <w:szCs w:val="72"/>
              </w:rPr>
              <w:t xml:space="preserve">GRE, GMAT, TOEFL &amp; IELTS</w:t>
            </w:r>
          </w:p>
          <w:p>
            <w:pPr>
              <w:spacing w:after="800" w:line="340" w:lineRule="atLeast"/>
              <w:ind w:left="1200" w:right="800"/>
            </w:pPr>
            <w:r>
              <w:rPr>
                <w:rFonts w:ascii="Times New Roman" w:eastAsia="SimSun" w:hAnsi="Times New Roman"/>
                <w:color w:val="606060"/>
                <w:sz w:val="24"/>
                <w:szCs w:val="24"/>
              </w:rPr>
              <w:t xml:space="preserve">A Complete Practical Guide to Graduate Admissions and Scholarship Testing</w:t>
            </w:r>
          </w:p>
          <w:p>
            <w:pPr>
              <w:pBdr>
                <w:left w:val="single" w:color="2E86C1" w:sz="8" w:space="12"/>
              </w:pBdr>
              <w:spacing w:after="80" w:line="300" w:lineRule="atLeast"/>
              <w:ind w:left="1400" w:right="800"/>
            </w:pPr>
            <w:r>
              <w:rPr>
                <w:rFonts w:ascii="Times New Roman" w:eastAsia="SimSun" w:hAnsi="Times New Roman"/>
                <w:color w:val="707070"/>
                <w:sz w:val="22"/>
                <w:szCs w:val="22"/>
              </w:rPr>
              <w:t xml:space="preserve">Audience: Students and scholarship applicants applying worldwide</w:t>
            </w:r>
          </w:p>
          <w:p>
            <w:pPr>
              <w:pBdr>
                <w:left w:val="single" w:color="2E86C1" w:sz="8" w:space="12"/>
              </w:pBdr>
              <w:spacing w:after="80" w:line="300" w:lineRule="atLeast"/>
              <w:ind w:left="1400" w:right="800"/>
            </w:pPr>
            <w:r>
              <w:rPr>
                <w:rFonts w:ascii="Times New Roman" w:eastAsia="SimSun" w:hAnsi="Times New Roman"/>
                <w:color w:val="707070"/>
                <w:sz w:val="22"/>
                <w:szCs w:val="22"/>
              </w:rPr>
              <w:t xml:space="preserve">Scope: Exam mechanics, preparation, registration, costs, score benchmarks</w:t>
            </w:r>
          </w:p>
          <w:p>
            <w:pPr>
              <w:pBdr>
                <w:left w:val="single" w:color="2E86C1" w:sz="8" w:space="12"/>
              </w:pBdr>
              <w:spacing w:after="80" w:line="300" w:lineRule="atLeast"/>
              <w:ind w:left="1400" w:right="800"/>
            </w:pPr>
            <w:r>
              <w:rPr>
                <w:rFonts w:ascii="Times New Roman" w:eastAsia="SimSun" w:hAnsi="Times New Roman"/>
                <w:color w:val="707070"/>
                <w:sz w:val="22"/>
                <w:szCs w:val="22"/>
              </w:rPr>
              <w:t xml:space="preserve">Edition: September 2026</w:t>
            </w:r>
          </w:p>
          <w:p>
            <w:pPr>
              <w:spacing w:before="4786"/>
            </w:pPr>
          </w:p>
          <w:p>
            <w:pPr>
              <w:pBdr>
                <w:top w:val="single" w:color="2E86C1" w:sz="2" w:space="8"/>
              </w:pBdr>
              <w:spacing w:before="200" w:line="260" w:lineRule="atLeast"/>
              <w:ind w:left="1200" w:right="800"/>
            </w:pPr>
            <w:r>
              <w:rPr>
                <w:rFonts w:ascii="Times New Roman" w:eastAsia="SimSun" w:hAnsi="Times New Roman"/>
                <w:color w:val="A0A0A0"/>
                <w:sz w:val="16"/>
                <w:szCs w:val="16"/>
              </w:rPr>
              <w:t xml:space="preserve">Personal Reference Document</w:t>
            </w:r>
            <w:r>
              <w:rPr>
                <w:rFonts w:ascii="Times New Roman" w:eastAsia="SimSun" w:hAnsi="Times New Roman"/>
                <w:sz w:val="16"/>
                <w:szCs w:val="16"/>
              </w:rPr>
              <w:t xml:space="preserve">                                                            </w:t>
            </w:r>
            <w:r>
              <w:rPr>
                <w:rFonts w:ascii="Times New Roman" w:eastAsia="SimSun" w:hAnsi="Times New Roman"/>
                <w:color w:val="A0A0A0"/>
                <w:sz w:val="16"/>
                <w:szCs w:val="16"/>
              </w:rPr>
              <w:t xml:space="preserve">September 2026</w:t>
            </w:r>
          </w:p>
        </w:tc>
      </w:tr>
    </w:tbl>
    <w:p>
      <w:pPr>
        <w:sectPr>
          <w:pgSz w:w="11906" w:h="16838" w:orient="portrait"/>
          <w:pgMar w:top="0" w:right="0" w:bottom="0" w:left="0" w:header="708" w:footer="708" w:gutter="0"/>
          <w:docGrid w:linePitch="360"/>
        </w:sectPr>
      </w:pPr>
    </w:p>
    <w:p>
      <w:pPr>
        <w:spacing w:after="360" w:before="480" w:line="400" w:lineRule="atLeast"/>
        <w:jc w:val="center"/>
      </w:pPr>
      <w:r>
        <w:rPr>
          <w:rFonts w:ascii="Times New Roman" w:eastAsia="SimHei" w:hAnsi="Times New Roman"/>
          <w:b/>
          <w:bCs/>
          <w:color w:val="1A5276"/>
          <w:sz w:val="32"/>
          <w:szCs w:val="32"/>
        </w:rPr>
        <w:t xml:space="preserve">Table of Contents</w:t>
      </w:r>
    </w:p>
    <w:sdt>
      <w:sdtPr>
        <w:alias w:val="Table of Contents"/>
      </w:sdtPr>
      <w:sdtContent>
        <w:p>
          <w:r>
            <w:fldChar w:fldCharType="begin" w:dirty="true"/>
          </w:r>
          <w:r>
            <w:instrText xml:space="preserve">TOC \h \o "1-2"</w:instrText>
          </w:r>
          <w:r>
            <w:fldChar w:fldCharType="separate"/>
          </w:r>
        </w:p>
        <w:p>
          <w:pPr>
            <w:pStyle w:val="9"/>
            <w:tabs>
              <w:tab w:val="right" w:leader="dot" w:pos="9026"/>
            </w:tabs>
            <w:spacing w:before="120" w:after="60"/>
          </w:pPr>
          <w:hyperlink w:anchor="_Toc100000" w:history="1">
            <w:r>
              <w:rPr>
                <w:rStyle w:val="Hyperlink"/>
              </w:rPr>
              <w:t>Executive Summary</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1. Introduction: The Four Exams at a Glance</w:t>
            </w:r>
            <w:r>
              <w:tab/>
            </w:r>
            <w:r>
              <w:fldChar w:fldCharType="begin"/>
            </w:r>
            <w:r>
              <w:instrText xml:space="preserve"> PAGEREF _Toc100001 \h </w:instrText>
            </w:r>
            <w:r>
              <w:fldChar w:fldCharType="separate"/>
            </w:r>
            <w:r>
              <w:t>2</w:t>
            </w:r>
            <w:r>
              <w:fldChar w:fldCharType="end"/>
            </w:r>
          </w:hyperlink>
        </w:p>
        <w:p>
          <w:pPr>
            <w:pStyle w:val="11"/>
            <w:ind w:left="360"/>
            <w:tabs>
              <w:tab w:val="right" w:leader="dot" w:pos="9026"/>
            </w:tabs>
            <w:spacing w:before="120" w:after="60"/>
          </w:pPr>
          <w:hyperlink w:anchor="_Toc100002" w:history="1">
            <w:r>
              <w:rPr>
                <w:rStyle w:val="Hyperlink"/>
              </w:rPr>
              <w:t>1.1 Purpose and Scope of This Guide</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1.2 Aptitude Tests and English Tests: Two Different Jobs</w:t>
            </w:r>
            <w:r>
              <w:tab/>
            </w:r>
            <w:r>
              <w:fldChar w:fldCharType="begin"/>
            </w:r>
            <w:r>
              <w:instrText xml:space="preserve"> PAGEREF _Toc100003 \h </w:instrText>
            </w:r>
            <w:r>
              <w:fldChar w:fldCharType="separate"/>
            </w:r>
            <w:r>
              <w:t>2</w:t>
            </w:r>
            <w:r>
              <w:fldChar w:fldCharType="end"/>
            </w:r>
          </w:hyperlink>
        </w:p>
        <w:p>
          <w:pPr>
            <w:pStyle w:val="9"/>
            <w:tabs>
              <w:tab w:val="right" w:leader="dot" w:pos="9026"/>
            </w:tabs>
            <w:spacing w:before="120" w:after="60"/>
          </w:pPr>
          <w:hyperlink w:anchor="_Toc100004" w:history="1">
            <w:r>
              <w:rPr>
                <w:rStyle w:val="Hyperlink"/>
              </w:rPr>
              <w:t>2. Understanding Each Examination</w:t>
            </w:r>
            <w:r>
              <w:tab/>
            </w:r>
            <w:r>
              <w:fldChar w:fldCharType="begin"/>
            </w:r>
            <w:r>
              <w:instrText xml:space="preserve"> PAGEREF _Toc100004 \h </w:instrText>
            </w:r>
            <w:r>
              <w:fldChar w:fldCharType="separate"/>
            </w:r>
            <w:r>
              <w:t>3</w:t>
            </w:r>
            <w:r>
              <w:fldChar w:fldCharType="end"/>
            </w:r>
          </w:hyperlink>
        </w:p>
        <w:p>
          <w:pPr>
            <w:pStyle w:val="11"/>
            <w:ind w:left="360"/>
            <w:tabs>
              <w:tab w:val="right" w:leader="dot" w:pos="9026"/>
            </w:tabs>
            <w:spacing w:before="120" w:after="60"/>
          </w:pPr>
          <w:hyperlink w:anchor="_Toc100005" w:history="1">
            <w:r>
              <w:rPr>
                <w:rStyle w:val="Hyperlink"/>
              </w:rPr>
              <w:t>2.1 The GRE (Graduate Record Examinations)</w:t>
            </w:r>
            <w:r>
              <w:tab/>
            </w:r>
            <w:r>
              <w:fldChar w:fldCharType="begin"/>
            </w:r>
            <w:r>
              <w:instrText xml:space="preserve"> PAGEREF _Toc100005 \h </w:instrText>
            </w:r>
            <w:r>
              <w:fldChar w:fldCharType="separate"/>
            </w:r>
            <w:r>
              <w:t>3</w:t>
            </w:r>
            <w:r>
              <w:fldChar w:fldCharType="end"/>
            </w:r>
          </w:hyperlink>
        </w:p>
        <w:p>
          <w:pPr>
            <w:pStyle w:val="11"/>
            <w:ind w:left="360"/>
            <w:tabs>
              <w:tab w:val="right" w:leader="dot" w:pos="9026"/>
            </w:tabs>
            <w:spacing w:before="120" w:after="60"/>
          </w:pPr>
          <w:hyperlink w:anchor="_Toc100006" w:history="1">
            <w:r>
              <w:rPr>
                <w:rStyle w:val="Hyperlink"/>
              </w:rPr>
              <w:t>2.2 The GMAT (Graduate Management Admission Test)</w:t>
            </w:r>
            <w:r>
              <w:tab/>
            </w:r>
            <w:r>
              <w:fldChar w:fldCharType="begin"/>
            </w:r>
            <w:r>
              <w:instrText xml:space="preserve"> PAGEREF _Toc100006 \h </w:instrText>
            </w:r>
            <w:r>
              <w:fldChar w:fldCharType="separate"/>
            </w:r>
            <w:r>
              <w:t>4</w:t>
            </w:r>
            <w:r>
              <w:fldChar w:fldCharType="end"/>
            </w:r>
          </w:hyperlink>
        </w:p>
        <w:p>
          <w:pPr>
            <w:pStyle w:val="11"/>
            <w:ind w:left="360"/>
            <w:tabs>
              <w:tab w:val="right" w:leader="dot" w:pos="9026"/>
            </w:tabs>
            <w:spacing w:before="120" w:after="60"/>
          </w:pPr>
          <w:hyperlink w:anchor="_Toc100007" w:history="1">
            <w:r>
              <w:rPr>
                <w:rStyle w:val="Hyperlink"/>
              </w:rPr>
              <w:t>2.3 The TOEFL iBT (Test of English as a Foreign Language, Internet-Based Test)</w:t>
            </w:r>
            <w:r>
              <w:tab/>
            </w:r>
            <w:r>
              <w:fldChar w:fldCharType="begin"/>
            </w:r>
            <w:r>
              <w:instrText xml:space="preserve"> PAGEREF _Toc100007 \h </w:instrText>
            </w:r>
            <w:r>
              <w:fldChar w:fldCharType="separate"/>
            </w:r>
            <w:r>
              <w:t>5</w:t>
            </w:r>
            <w:r>
              <w:fldChar w:fldCharType="end"/>
            </w:r>
          </w:hyperlink>
        </w:p>
        <w:p>
          <w:pPr>
            <w:pStyle w:val="11"/>
            <w:ind w:left="360"/>
            <w:tabs>
              <w:tab w:val="right" w:leader="dot" w:pos="9026"/>
            </w:tabs>
            <w:spacing w:before="120" w:after="60"/>
          </w:pPr>
          <w:hyperlink w:anchor="_Toc100008" w:history="1">
            <w:r>
              <w:rPr>
                <w:rStyle w:val="Hyperlink"/>
              </w:rPr>
              <w:t>2.4 The IELTS (International English Language Testing System)</w:t>
            </w:r>
            <w:r>
              <w:tab/>
            </w:r>
            <w:r>
              <w:fldChar w:fldCharType="begin"/>
            </w:r>
            <w:r>
              <w:instrText xml:space="preserve"> PAGEREF _Toc100008 \h </w:instrText>
            </w:r>
            <w:r>
              <w:fldChar w:fldCharType="separate"/>
            </w:r>
            <w:r>
              <w:t>5</w:t>
            </w:r>
            <w:r>
              <w:fldChar w:fldCharType="end"/>
            </w:r>
          </w:hyperlink>
        </w:p>
        <w:p>
          <w:pPr>
            <w:pStyle w:val="11"/>
            <w:ind w:left="360"/>
            <w:tabs>
              <w:tab w:val="right" w:leader="dot" w:pos="9026"/>
            </w:tabs>
            <w:spacing w:before="120" w:after="60"/>
          </w:pPr>
          <w:hyperlink w:anchor="_Toc100009" w:history="1">
            <w:r>
              <w:rPr>
                <w:rStyle w:val="Hyperlink"/>
              </w:rPr>
              <w:t>2.5 GRE or GMAT: How to Choose</w:t>
            </w:r>
            <w:r>
              <w:tab/>
            </w:r>
            <w:r>
              <w:fldChar w:fldCharType="begin"/>
            </w:r>
            <w:r>
              <w:instrText xml:space="preserve"> PAGEREF _Toc100009 \h </w:instrText>
            </w:r>
            <w:r>
              <w:fldChar w:fldCharType="separate"/>
            </w:r>
            <w:r>
              <w:t>6</w:t>
            </w:r>
            <w:r>
              <w:fldChar w:fldCharType="end"/>
            </w:r>
          </w:hyperlink>
        </w:p>
        <w:p>
          <w:pPr>
            <w:pStyle w:val="11"/>
            <w:ind w:left="360"/>
            <w:tabs>
              <w:tab w:val="right" w:leader="dot" w:pos="9026"/>
            </w:tabs>
            <w:spacing w:before="120" w:after="60"/>
          </w:pPr>
          <w:hyperlink w:anchor="_Toc100010" w:history="1">
            <w:r>
              <w:rPr>
                <w:rStyle w:val="Hyperlink"/>
              </w:rPr>
              <w:t>2.6 TOEFL or IELTS: How to Choose</w:t>
            </w:r>
            <w:r>
              <w:tab/>
            </w:r>
            <w:r>
              <w:fldChar w:fldCharType="begin"/>
            </w:r>
            <w:r>
              <w:instrText xml:space="preserve"> PAGEREF _Toc100010 \h </w:instrText>
            </w:r>
            <w:r>
              <w:fldChar w:fldCharType="separate"/>
            </w:r>
            <w:r>
              <w:t>6</w:t>
            </w:r>
            <w:r>
              <w:fldChar w:fldCharType="end"/>
            </w:r>
          </w:hyperlink>
        </w:p>
        <w:p>
          <w:pPr>
            <w:pStyle w:val="9"/>
            <w:tabs>
              <w:tab w:val="right" w:leader="dot" w:pos="9026"/>
            </w:tabs>
            <w:spacing w:before="120" w:after="60"/>
          </w:pPr>
          <w:hyperlink w:anchor="_Toc100011" w:history="1">
            <w:r>
              <w:rPr>
                <w:rStyle w:val="Hyperlink"/>
              </w:rPr>
              <w:t>3. How to Prepare and Train</w:t>
            </w:r>
            <w:r>
              <w:tab/>
            </w:r>
            <w:r>
              <w:fldChar w:fldCharType="begin"/>
            </w:r>
            <w:r>
              <w:instrText xml:space="preserve"> PAGEREF _Toc100011 \h </w:instrText>
            </w:r>
            <w:r>
              <w:fldChar w:fldCharType="separate"/>
            </w:r>
            <w:r>
              <w:t>7</w:t>
            </w:r>
            <w:r>
              <w:fldChar w:fldCharType="end"/>
            </w:r>
          </w:hyperlink>
        </w:p>
        <w:p>
          <w:pPr>
            <w:pStyle w:val="11"/>
            <w:ind w:left="360"/>
            <w:tabs>
              <w:tab w:val="right" w:leader="dot" w:pos="9026"/>
            </w:tabs>
            <w:spacing w:before="120" w:after="60"/>
          </w:pPr>
          <w:hyperlink w:anchor="_Toc100012" w:history="1">
            <w:r>
              <w:rPr>
                <w:rStyle w:val="Hyperlink"/>
              </w:rPr>
              <w:t>3.1 Principles That Apply to All Four Exams</w:t>
            </w:r>
            <w:r>
              <w:tab/>
            </w:r>
            <w:r>
              <w:fldChar w:fldCharType="begin"/>
            </w:r>
            <w:r>
              <w:instrText xml:space="preserve"> PAGEREF _Toc100012 \h </w:instrText>
            </w:r>
            <w:r>
              <w:fldChar w:fldCharType="separate"/>
            </w:r>
            <w:r>
              <w:t>7</w:t>
            </w:r>
            <w:r>
              <w:fldChar w:fldCharType="end"/>
            </w:r>
          </w:hyperlink>
        </w:p>
        <w:p>
          <w:pPr>
            <w:pStyle w:val="11"/>
            <w:ind w:left="360"/>
            <w:tabs>
              <w:tab w:val="right" w:leader="dot" w:pos="9026"/>
            </w:tabs>
            <w:spacing w:before="120" w:after="60"/>
          </w:pPr>
          <w:hyperlink w:anchor="_Toc100013" w:history="1">
            <w:r>
              <w:rPr>
                <w:rStyle w:val="Hyperlink"/>
              </w:rPr>
              <w:t>3.2 Preparing for the GRE</w:t>
            </w:r>
            <w:r>
              <w:tab/>
            </w:r>
            <w:r>
              <w:fldChar w:fldCharType="begin"/>
            </w:r>
            <w:r>
              <w:instrText xml:space="preserve"> PAGEREF _Toc100013 \h </w:instrText>
            </w:r>
            <w:r>
              <w:fldChar w:fldCharType="separate"/>
            </w:r>
            <w:r>
              <w:t>7</w:t>
            </w:r>
            <w:r>
              <w:fldChar w:fldCharType="end"/>
            </w:r>
          </w:hyperlink>
        </w:p>
        <w:p>
          <w:pPr>
            <w:pStyle w:val="11"/>
            <w:ind w:left="360"/>
            <w:tabs>
              <w:tab w:val="right" w:leader="dot" w:pos="9026"/>
            </w:tabs>
            <w:spacing w:before="120" w:after="60"/>
          </w:pPr>
          <w:hyperlink w:anchor="_Toc100014" w:history="1">
            <w:r>
              <w:rPr>
                <w:rStyle w:val="Hyperlink"/>
              </w:rPr>
              <w:t>3.3 Preparing for the GMAT</w:t>
            </w:r>
            <w:r>
              <w:tab/>
            </w:r>
            <w:r>
              <w:fldChar w:fldCharType="begin"/>
            </w:r>
            <w:r>
              <w:instrText xml:space="preserve"> PAGEREF _Toc100014 \h </w:instrText>
            </w:r>
            <w:r>
              <w:fldChar w:fldCharType="separate"/>
            </w:r>
            <w:r>
              <w:t>8</w:t>
            </w:r>
            <w:r>
              <w:fldChar w:fldCharType="end"/>
            </w:r>
          </w:hyperlink>
        </w:p>
        <w:p>
          <w:pPr>
            <w:pStyle w:val="11"/>
            <w:ind w:left="360"/>
            <w:tabs>
              <w:tab w:val="right" w:leader="dot" w:pos="9026"/>
            </w:tabs>
            <w:spacing w:before="120" w:after="60"/>
          </w:pPr>
          <w:hyperlink w:anchor="_Toc100015" w:history="1">
            <w:r>
              <w:rPr>
                <w:rStyle w:val="Hyperlink"/>
              </w:rPr>
              <w:t>3.4 Preparing for the TOEFL iBT</w:t>
            </w:r>
            <w:r>
              <w:tab/>
            </w:r>
            <w:r>
              <w:fldChar w:fldCharType="begin"/>
            </w:r>
            <w:r>
              <w:instrText xml:space="preserve"> PAGEREF _Toc100015 \h </w:instrText>
            </w:r>
            <w:r>
              <w:fldChar w:fldCharType="separate"/>
            </w:r>
            <w:r>
              <w:t>8</w:t>
            </w:r>
            <w:r>
              <w:fldChar w:fldCharType="end"/>
            </w:r>
          </w:hyperlink>
        </w:p>
        <w:p>
          <w:pPr>
            <w:pStyle w:val="11"/>
            <w:ind w:left="360"/>
            <w:tabs>
              <w:tab w:val="right" w:leader="dot" w:pos="9026"/>
            </w:tabs>
            <w:spacing w:before="120" w:after="60"/>
          </w:pPr>
          <w:hyperlink w:anchor="_Toc100016" w:history="1">
            <w:r>
              <w:rPr>
                <w:rStyle w:val="Hyperlink"/>
              </w:rPr>
              <w:t>3.5 Preparing for the IELTS</w:t>
            </w:r>
            <w:r>
              <w:tab/>
            </w:r>
            <w:r>
              <w:fldChar w:fldCharType="begin"/>
            </w:r>
            <w:r>
              <w:instrText xml:space="preserve"> PAGEREF _Toc100016 \h </w:instrText>
            </w:r>
            <w:r>
              <w:fldChar w:fldCharType="separate"/>
            </w:r>
            <w:r>
              <w:t>9</w:t>
            </w:r>
            <w:r>
              <w:fldChar w:fldCharType="end"/>
            </w:r>
          </w:hyperlink>
        </w:p>
        <w:p>
          <w:pPr>
            <w:pStyle w:val="11"/>
            <w:ind w:left="360"/>
            <w:tabs>
              <w:tab w:val="right" w:leader="dot" w:pos="9026"/>
            </w:tabs>
            <w:spacing w:before="120" w:after="60"/>
          </w:pPr>
          <w:hyperlink w:anchor="_Toc100017" w:history="1">
            <w:r>
              <w:rPr>
                <w:rStyle w:val="Hyperlink"/>
              </w:rPr>
              <w:t>3.6 Resource Summary by Exam</w:t>
            </w:r>
            <w:r>
              <w:tab/>
            </w:r>
            <w:r>
              <w:fldChar w:fldCharType="begin"/>
            </w:r>
            <w:r>
              <w:instrText xml:space="preserve"> PAGEREF _Toc100017 \h </w:instrText>
            </w:r>
            <w:r>
              <w:fldChar w:fldCharType="separate"/>
            </w:r>
            <w:r>
              <w:t>10</w:t>
            </w:r>
            <w:r>
              <w:fldChar w:fldCharType="end"/>
            </w:r>
          </w:hyperlink>
        </w:p>
        <w:p>
          <w:pPr>
            <w:pStyle w:val="9"/>
            <w:tabs>
              <w:tab w:val="right" w:leader="dot" w:pos="9026"/>
            </w:tabs>
            <w:spacing w:before="120" w:after="60"/>
          </w:pPr>
          <w:hyperlink w:anchor="_Toc100018" w:history="1">
            <w:r>
              <w:rPr>
                <w:rStyle w:val="Hyperlink"/>
              </w:rPr>
              <w:t>4. Registering and Sitting the Exams</w:t>
            </w:r>
            <w:r>
              <w:tab/>
            </w:r>
            <w:r>
              <w:fldChar w:fldCharType="begin"/>
            </w:r>
            <w:r>
              <w:instrText xml:space="preserve"> PAGEREF _Toc100018 \h </w:instrText>
            </w:r>
            <w:r>
              <w:fldChar w:fldCharType="separate"/>
            </w:r>
            <w:r>
              <w:t>10</w:t>
            </w:r>
            <w:r>
              <w:fldChar w:fldCharType="end"/>
            </w:r>
          </w:hyperlink>
        </w:p>
        <w:p>
          <w:pPr>
            <w:pStyle w:val="11"/>
            <w:ind w:left="360"/>
            <w:tabs>
              <w:tab w:val="right" w:leader="dot" w:pos="9026"/>
            </w:tabs>
            <w:spacing w:before="120" w:after="60"/>
          </w:pPr>
          <w:hyperlink w:anchor="_Toc100019" w:history="1">
            <w:r>
              <w:rPr>
                <w:rStyle w:val="Hyperlink"/>
              </w:rPr>
              <w:t>4.1 Registering for the GRE</w:t>
            </w:r>
            <w:r>
              <w:tab/>
            </w:r>
            <w:r>
              <w:fldChar w:fldCharType="begin"/>
            </w:r>
            <w:r>
              <w:instrText xml:space="preserve"> PAGEREF _Toc100019 \h </w:instrText>
            </w:r>
            <w:r>
              <w:fldChar w:fldCharType="separate"/>
            </w:r>
            <w:r>
              <w:t>10</w:t>
            </w:r>
            <w:r>
              <w:fldChar w:fldCharType="end"/>
            </w:r>
          </w:hyperlink>
        </w:p>
        <w:p>
          <w:pPr>
            <w:pStyle w:val="11"/>
            <w:ind w:left="360"/>
            <w:tabs>
              <w:tab w:val="right" w:leader="dot" w:pos="9026"/>
            </w:tabs>
            <w:spacing w:before="120" w:after="60"/>
          </w:pPr>
          <w:hyperlink w:anchor="_Toc100020" w:history="1">
            <w:r>
              <w:rPr>
                <w:rStyle w:val="Hyperlink"/>
              </w:rPr>
              <w:t>4.2 Registering for the GMAT</w:t>
            </w:r>
            <w:r>
              <w:tab/>
            </w:r>
            <w:r>
              <w:fldChar w:fldCharType="begin"/>
            </w:r>
            <w:r>
              <w:instrText xml:space="preserve"> PAGEREF _Toc100020 \h </w:instrText>
            </w:r>
            <w:r>
              <w:fldChar w:fldCharType="separate"/>
            </w:r>
            <w:r>
              <w:t>11</w:t>
            </w:r>
            <w:r>
              <w:fldChar w:fldCharType="end"/>
            </w:r>
          </w:hyperlink>
        </w:p>
        <w:p>
          <w:pPr>
            <w:pStyle w:val="11"/>
            <w:ind w:left="360"/>
            <w:tabs>
              <w:tab w:val="right" w:leader="dot" w:pos="9026"/>
            </w:tabs>
            <w:spacing w:before="120" w:after="60"/>
          </w:pPr>
          <w:hyperlink w:anchor="_Toc100021" w:history="1">
            <w:r>
              <w:rPr>
                <w:rStyle w:val="Hyperlink"/>
              </w:rPr>
              <w:t>4.3 Registering for the TOEFL iBT</w:t>
            </w:r>
            <w:r>
              <w:tab/>
            </w:r>
            <w:r>
              <w:fldChar w:fldCharType="begin"/>
            </w:r>
            <w:r>
              <w:instrText xml:space="preserve"> PAGEREF _Toc100021 \h </w:instrText>
            </w:r>
            <w:r>
              <w:fldChar w:fldCharType="separate"/>
            </w:r>
            <w:r>
              <w:t>11</w:t>
            </w:r>
            <w:r>
              <w:fldChar w:fldCharType="end"/>
            </w:r>
          </w:hyperlink>
        </w:p>
        <w:p>
          <w:pPr>
            <w:pStyle w:val="11"/>
            <w:ind w:left="360"/>
            <w:tabs>
              <w:tab w:val="right" w:leader="dot" w:pos="9026"/>
            </w:tabs>
            <w:spacing w:before="120" w:after="60"/>
          </w:pPr>
          <w:hyperlink w:anchor="_Toc100022" w:history="1">
            <w:r>
              <w:rPr>
                <w:rStyle w:val="Hyperlink"/>
              </w:rPr>
              <w:t>4.4 Registering for the IELTS</w:t>
            </w:r>
            <w:r>
              <w:tab/>
            </w:r>
            <w:r>
              <w:fldChar w:fldCharType="begin"/>
            </w:r>
            <w:r>
              <w:instrText xml:space="preserve"> PAGEREF _Toc100022 \h </w:instrText>
            </w:r>
            <w:r>
              <w:fldChar w:fldCharType="separate"/>
            </w:r>
            <w:r>
              <w:t>12</w:t>
            </w:r>
            <w:r>
              <w:fldChar w:fldCharType="end"/>
            </w:r>
          </w:hyperlink>
        </w:p>
        <w:p>
          <w:pPr>
            <w:pStyle w:val="11"/>
            <w:ind w:left="360"/>
            <w:tabs>
              <w:tab w:val="right" w:leader="dot" w:pos="9026"/>
            </w:tabs>
            <w:spacing w:before="120" w:after="60"/>
          </w:pPr>
          <w:hyperlink w:anchor="_Toc100023" w:history="1">
            <w:r>
              <w:rPr>
                <w:rStyle w:val="Hyperlink"/>
              </w:rPr>
              <w:t>4.5 Test Center or At Home: Which to Choose</w:t>
            </w:r>
            <w:r>
              <w:tab/>
            </w:r>
            <w:r>
              <w:fldChar w:fldCharType="begin"/>
            </w:r>
            <w:r>
              <w:instrText xml:space="preserve"> PAGEREF _Toc100023 \h </w:instrText>
            </w:r>
            <w:r>
              <w:fldChar w:fldCharType="separate"/>
            </w:r>
            <w:r>
              <w:t>12</w:t>
            </w:r>
            <w:r>
              <w:fldChar w:fldCharType="end"/>
            </w:r>
          </w:hyperlink>
        </w:p>
        <w:p>
          <w:pPr>
            <w:pStyle w:val="11"/>
            <w:ind w:left="360"/>
            <w:tabs>
              <w:tab w:val="right" w:leader="dot" w:pos="9026"/>
            </w:tabs>
            <w:spacing w:before="120" w:after="60"/>
          </w:pPr>
          <w:hyperlink w:anchor="_Toc100024" w:history="1">
            <w:r>
              <w:rPr>
                <w:rStyle w:val="Hyperlink"/>
              </w:rPr>
              <w:t>4.6 What Happens on Test Day</w:t>
            </w:r>
            <w:r>
              <w:tab/>
            </w:r>
            <w:r>
              <w:fldChar w:fldCharType="begin"/>
            </w:r>
            <w:r>
              <w:instrText xml:space="preserve"> PAGEREF _Toc100024 \h </w:instrText>
            </w:r>
            <w:r>
              <w:fldChar w:fldCharType="separate"/>
            </w:r>
            <w:r>
              <w:t>13</w:t>
            </w:r>
            <w:r>
              <w:fldChar w:fldCharType="end"/>
            </w:r>
          </w:hyperlink>
        </w:p>
        <w:p>
          <w:pPr>
            <w:pStyle w:val="9"/>
            <w:tabs>
              <w:tab w:val="right" w:leader="dot" w:pos="9026"/>
            </w:tabs>
            <w:spacing w:before="120" w:after="60"/>
          </w:pPr>
          <w:hyperlink w:anchor="_Toc100025" w:history="1">
            <w:r>
              <w:rPr>
                <w:rStyle w:val="Hyperlink"/>
              </w:rPr>
              <w:t>5. Costs, Fees and Financial Planning</w:t>
            </w:r>
            <w:r>
              <w:tab/>
            </w:r>
            <w:r>
              <w:fldChar w:fldCharType="begin"/>
            </w:r>
            <w:r>
              <w:instrText xml:space="preserve"> PAGEREF _Toc100025 \h </w:instrText>
            </w:r>
            <w:r>
              <w:fldChar w:fldCharType="separate"/>
            </w:r>
            <w:r>
              <w:t>14</w:t>
            </w:r>
            <w:r>
              <w:fldChar w:fldCharType="end"/>
            </w:r>
          </w:hyperlink>
        </w:p>
        <w:p>
          <w:pPr>
            <w:pStyle w:val="11"/>
            <w:ind w:left="360"/>
            <w:tabs>
              <w:tab w:val="right" w:leader="dot" w:pos="9026"/>
            </w:tabs>
            <w:spacing w:before="120" w:after="60"/>
          </w:pPr>
          <w:hyperlink w:anchor="_Toc100026" w:history="1">
            <w:r>
              <w:rPr>
                <w:rStyle w:val="Hyperlink"/>
              </w:rPr>
              <w:t>5.1 What Each Exam Costs</w:t>
            </w:r>
            <w:r>
              <w:tab/>
            </w:r>
            <w:r>
              <w:fldChar w:fldCharType="begin"/>
            </w:r>
            <w:r>
              <w:instrText xml:space="preserve"> PAGEREF _Toc100026 \h </w:instrText>
            </w:r>
            <w:r>
              <w:fldChar w:fldCharType="separate"/>
            </w:r>
            <w:r>
              <w:t>14</w:t>
            </w:r>
            <w:r>
              <w:fldChar w:fldCharType="end"/>
            </w:r>
          </w:hyperlink>
        </w:p>
        <w:p>
          <w:pPr>
            <w:pStyle w:val="11"/>
            <w:ind w:left="360"/>
            <w:tabs>
              <w:tab w:val="right" w:leader="dot" w:pos="9026"/>
            </w:tabs>
            <w:spacing w:before="120" w:after="60"/>
          </w:pPr>
          <w:hyperlink w:anchor="_Toc100027" w:history="1">
            <w:r>
              <w:rPr>
                <w:rStyle w:val="Hyperlink"/>
              </w:rPr>
              <w:t>5.2 The Hidden Costs Worth Budgeting</w:t>
            </w:r>
            <w:r>
              <w:tab/>
            </w:r>
            <w:r>
              <w:fldChar w:fldCharType="begin"/>
            </w:r>
            <w:r>
              <w:instrText xml:space="preserve"> PAGEREF _Toc100027 \h </w:instrText>
            </w:r>
            <w:r>
              <w:fldChar w:fldCharType="separate"/>
            </w:r>
            <w:r>
              <w:t>14</w:t>
            </w:r>
            <w:r>
              <w:fldChar w:fldCharType="end"/>
            </w:r>
          </w:hyperlink>
        </w:p>
        <w:p>
          <w:pPr>
            <w:pStyle w:val="11"/>
            <w:ind w:left="360"/>
            <w:tabs>
              <w:tab w:val="right" w:leader="dot" w:pos="9026"/>
            </w:tabs>
            <w:spacing w:before="120" w:after="60"/>
          </w:pPr>
          <w:hyperlink w:anchor="_Toc100028" w:history="1">
            <w:r>
              <w:rPr>
                <w:rStyle w:val="Hyperlink"/>
              </w:rPr>
              <w:t>5.3 Fee Reductions and Waivers</w:t>
            </w:r>
            <w:r>
              <w:tab/>
            </w:r>
            <w:r>
              <w:fldChar w:fldCharType="begin"/>
            </w:r>
            <w:r>
              <w:instrText xml:space="preserve"> PAGEREF _Toc100028 \h </w:instrText>
            </w:r>
            <w:r>
              <w:fldChar w:fldCharType="separate"/>
            </w:r>
            <w:r>
              <w:t>15</w:t>
            </w:r>
            <w:r>
              <w:fldChar w:fldCharType="end"/>
            </w:r>
          </w:hyperlink>
        </w:p>
        <w:p>
          <w:pPr>
            <w:pStyle w:val="9"/>
            <w:tabs>
              <w:tab w:val="right" w:leader="dot" w:pos="9026"/>
            </w:tabs>
            <w:spacing w:before="120" w:after="60"/>
          </w:pPr>
          <w:hyperlink w:anchor="_Toc100029" w:history="1">
            <w:r>
              <w:rPr>
                <w:rStyle w:val="Hyperlink"/>
              </w:rPr>
              <w:t>6. Score Benchmarks for Scholarships and Admissions</w:t>
            </w:r>
            <w:r>
              <w:tab/>
            </w:r>
            <w:r>
              <w:fldChar w:fldCharType="begin"/>
            </w:r>
            <w:r>
              <w:instrText xml:space="preserve"> PAGEREF _Toc100029 \h </w:instrText>
            </w:r>
            <w:r>
              <w:fldChar w:fldCharType="separate"/>
            </w:r>
            <w:r>
              <w:t>15</w:t>
            </w:r>
            <w:r>
              <w:fldChar w:fldCharType="end"/>
            </w:r>
          </w:hyperlink>
        </w:p>
        <w:p>
          <w:pPr>
            <w:pStyle w:val="11"/>
            <w:ind w:left="360"/>
            <w:tabs>
              <w:tab w:val="right" w:leader="dot" w:pos="9026"/>
            </w:tabs>
            <w:spacing w:before="120" w:after="60"/>
          </w:pPr>
          <w:hyperlink w:anchor="_Toc100030" w:history="1">
            <w:r>
              <w:rPr>
                <w:rStyle w:val="Hyperlink"/>
              </w:rPr>
              <w:t>6.1 How Committees Actually Read Scores</w:t>
            </w:r>
            <w:r>
              <w:tab/>
            </w:r>
            <w:r>
              <w:fldChar w:fldCharType="begin"/>
            </w:r>
            <w:r>
              <w:instrText xml:space="preserve"> PAGEREF _Toc100030 \h </w:instrText>
            </w:r>
            <w:r>
              <w:fldChar w:fldCharType="separate"/>
            </w:r>
            <w:r>
              <w:t>15</w:t>
            </w:r>
            <w:r>
              <w:fldChar w:fldCharType="end"/>
            </w:r>
          </w:hyperlink>
        </w:p>
        <w:p>
          <w:pPr>
            <w:pStyle w:val="11"/>
            <w:ind w:left="360"/>
            <w:tabs>
              <w:tab w:val="right" w:leader="dot" w:pos="9026"/>
            </w:tabs>
            <w:spacing w:before="120" w:after="60"/>
          </w:pPr>
          <w:hyperlink w:anchor="_Toc100031" w:history="1">
            <w:r>
              <w:rPr>
                <w:rStyle w:val="Hyperlink"/>
              </w:rPr>
              <w:t>6.2 GRE Benchmarks</w:t>
            </w:r>
            <w:r>
              <w:tab/>
            </w:r>
            <w:r>
              <w:fldChar w:fldCharType="begin"/>
            </w:r>
            <w:r>
              <w:instrText xml:space="preserve"> PAGEREF _Toc100031 \h </w:instrText>
            </w:r>
            <w:r>
              <w:fldChar w:fldCharType="separate"/>
            </w:r>
            <w:r>
              <w:t>16</w:t>
            </w:r>
            <w:r>
              <w:fldChar w:fldCharType="end"/>
            </w:r>
          </w:hyperlink>
        </w:p>
        <w:p>
          <w:pPr>
            <w:pStyle w:val="11"/>
            <w:ind w:left="360"/>
            <w:tabs>
              <w:tab w:val="right" w:leader="dot" w:pos="9026"/>
            </w:tabs>
            <w:spacing w:before="120" w:after="60"/>
          </w:pPr>
          <w:hyperlink w:anchor="_Toc100032" w:history="1">
            <w:r>
              <w:rPr>
                <w:rStyle w:val="Hyperlink"/>
              </w:rPr>
              <w:t>6.3 GMAT Benchmarks</w:t>
            </w:r>
            <w:r>
              <w:tab/>
            </w:r>
            <w:r>
              <w:fldChar w:fldCharType="begin"/>
            </w:r>
            <w:r>
              <w:instrText xml:space="preserve"> PAGEREF _Toc100032 \h </w:instrText>
            </w:r>
            <w:r>
              <w:fldChar w:fldCharType="separate"/>
            </w:r>
            <w:r>
              <w:t>16</w:t>
            </w:r>
            <w:r>
              <w:fldChar w:fldCharType="end"/>
            </w:r>
          </w:hyperlink>
        </w:p>
        <w:p>
          <w:pPr>
            <w:pStyle w:val="11"/>
            <w:ind w:left="360"/>
            <w:tabs>
              <w:tab w:val="right" w:leader="dot" w:pos="9026"/>
            </w:tabs>
            <w:spacing w:before="120" w:after="60"/>
          </w:pPr>
          <w:hyperlink w:anchor="_Toc100033" w:history="1">
            <w:r>
              <w:rPr>
                <w:rStyle w:val="Hyperlink"/>
              </w:rPr>
              <w:t>6.4 TOEFL and IELTS Benchmarks</w:t>
            </w:r>
            <w:r>
              <w:tab/>
            </w:r>
            <w:r>
              <w:fldChar w:fldCharType="begin"/>
            </w:r>
            <w:r>
              <w:instrText xml:space="preserve"> PAGEREF _Toc100033 \h </w:instrText>
            </w:r>
            <w:r>
              <w:fldChar w:fldCharType="separate"/>
            </w:r>
            <w:r>
              <w:t>17</w:t>
            </w:r>
            <w:r>
              <w:fldChar w:fldCharType="end"/>
            </w:r>
          </w:hyperlink>
        </w:p>
        <w:p>
          <w:pPr>
            <w:pStyle w:val="11"/>
            <w:ind w:left="360"/>
            <w:tabs>
              <w:tab w:val="right" w:leader="dot" w:pos="9026"/>
            </w:tabs>
            <w:spacing w:before="120" w:after="60"/>
          </w:pPr>
          <w:hyperlink w:anchor="_Toc100034" w:history="1">
            <w:r>
              <w:rPr>
                <w:rStyle w:val="Hyperlink"/>
              </w:rPr>
              <w:t>6.5 What Major Scholarships Actually Require</w:t>
            </w:r>
            <w:r>
              <w:tab/>
            </w:r>
            <w:r>
              <w:fldChar w:fldCharType="begin"/>
            </w:r>
            <w:r>
              <w:instrText xml:space="preserve"> PAGEREF _Toc100034 \h </w:instrText>
            </w:r>
            <w:r>
              <w:fldChar w:fldCharType="separate"/>
            </w:r>
            <w:r>
              <w:t>18</w:t>
            </w:r>
            <w:r>
              <w:fldChar w:fldCharType="end"/>
            </w:r>
          </w:hyperlink>
        </w:p>
        <w:p>
          <w:pPr>
            <w:pStyle w:val="11"/>
            <w:ind w:left="360"/>
            <w:tabs>
              <w:tab w:val="right" w:leader="dot" w:pos="9026"/>
            </w:tabs>
            <w:spacing w:before="120" w:after="60"/>
          </w:pPr>
          <w:hyperlink w:anchor="_Toc100035" w:history="1">
            <w:r>
              <w:rPr>
                <w:rStyle w:val="Hyperlink"/>
              </w:rPr>
              <w:t>6.6 Keeping Scores Valid and Getting Them Where They Belong</w:t>
            </w:r>
            <w:r>
              <w:tab/>
            </w:r>
            <w:r>
              <w:fldChar w:fldCharType="begin"/>
            </w:r>
            <w:r>
              <w:instrText xml:space="preserve"> PAGEREF _Toc100035 \h </w:instrText>
            </w:r>
            <w:r>
              <w:fldChar w:fldCharType="separate"/>
            </w:r>
            <w:r>
              <w:t>19</w:t>
            </w:r>
            <w:r>
              <w:fldChar w:fldCharType="end"/>
            </w:r>
          </w:hyperlink>
        </w:p>
        <w:p>
          <w:pPr>
            <w:pStyle w:val="9"/>
            <w:tabs>
              <w:tab w:val="right" w:leader="dot" w:pos="9026"/>
            </w:tabs>
            <w:spacing w:before="120" w:after="60"/>
          </w:pPr>
          <w:hyperlink w:anchor="_Toc100036" w:history="1">
            <w:r>
              <w:rPr>
                <w:rStyle w:val="Hyperlink"/>
              </w:rPr>
              <w:t>7. Policies, Retakes and Practical Logistics</w:t>
            </w:r>
            <w:r>
              <w:tab/>
            </w:r>
            <w:r>
              <w:fldChar w:fldCharType="begin"/>
            </w:r>
            <w:r>
              <w:instrText xml:space="preserve"> PAGEREF _Toc100036 \h </w:instrText>
            </w:r>
            <w:r>
              <w:fldChar w:fldCharType="separate"/>
            </w:r>
            <w:r>
              <w:t>20</w:t>
            </w:r>
            <w:r>
              <w:fldChar w:fldCharType="end"/>
            </w:r>
          </w:hyperlink>
        </w:p>
        <w:p>
          <w:pPr>
            <w:pStyle w:val="11"/>
            <w:ind w:left="360"/>
            <w:tabs>
              <w:tab w:val="right" w:leader="dot" w:pos="9026"/>
            </w:tabs>
            <w:spacing w:before="120" w:after="60"/>
          </w:pPr>
          <w:hyperlink w:anchor="_Toc100037" w:history="1">
            <w:r>
              <w:rPr>
                <w:rStyle w:val="Hyperlink"/>
              </w:rPr>
              <w:t>7.1 Retake Rules Compared</w:t>
            </w:r>
            <w:r>
              <w:tab/>
            </w:r>
            <w:r>
              <w:fldChar w:fldCharType="begin"/>
            </w:r>
            <w:r>
              <w:instrText xml:space="preserve"> PAGEREF _Toc100037 \h </w:instrText>
            </w:r>
            <w:r>
              <w:fldChar w:fldCharType="separate"/>
            </w:r>
            <w:r>
              <w:t>20</w:t>
            </w:r>
            <w:r>
              <w:fldChar w:fldCharType="end"/>
            </w:r>
          </w:hyperlink>
        </w:p>
        <w:p>
          <w:pPr>
            <w:pStyle w:val="11"/>
            <w:ind w:left="360"/>
            <w:tabs>
              <w:tab w:val="right" w:leader="dot" w:pos="9026"/>
            </w:tabs>
            <w:spacing w:before="120" w:after="60"/>
          </w:pPr>
          <w:hyperlink w:anchor="_Toc100038" w:history="1">
            <w:r>
              <w:rPr>
                <w:rStyle w:val="Hyperlink"/>
              </w:rPr>
              <w:t>7.2 Accommodations for Disabilities and Health Conditions</w:t>
            </w:r>
            <w:r>
              <w:tab/>
            </w:r>
            <w:r>
              <w:fldChar w:fldCharType="begin"/>
            </w:r>
            <w:r>
              <w:instrText xml:space="preserve"> PAGEREF _Toc100038 \h </w:instrText>
            </w:r>
            <w:r>
              <w:fldChar w:fldCharType="separate"/>
            </w:r>
            <w:r>
              <w:t>21</w:t>
            </w:r>
            <w:r>
              <w:fldChar w:fldCharType="end"/>
            </w:r>
          </w:hyperlink>
        </w:p>
        <w:p>
          <w:pPr>
            <w:pStyle w:val="11"/>
            <w:ind w:left="360"/>
            <w:tabs>
              <w:tab w:val="right" w:leader="dot" w:pos="9026"/>
            </w:tabs>
            <w:spacing w:before="120" w:after="60"/>
          </w:pPr>
          <w:hyperlink w:anchor="_Toc100039" w:history="1">
            <w:r>
              <w:rPr>
                <w:rStyle w:val="Hyperlink"/>
              </w:rPr>
              <w:t>7.3 Common Mistakes and How to Avoid Them</w:t>
            </w:r>
            <w:r>
              <w:tab/>
            </w:r>
            <w:r>
              <w:fldChar w:fldCharType="begin"/>
            </w:r>
            <w:r>
              <w:instrText xml:space="preserve"> PAGEREF _Toc100039 \h </w:instrText>
            </w:r>
            <w:r>
              <w:fldChar w:fldCharType="separate"/>
            </w:r>
            <w:r>
              <w:t>21</w:t>
            </w:r>
            <w:r>
              <w:fldChar w:fldCharType="end"/>
            </w:r>
          </w:hyperlink>
        </w:p>
        <w:p>
          <w:pPr>
            <w:pStyle w:val="9"/>
            <w:tabs>
              <w:tab w:val="right" w:leader="dot" w:pos="9026"/>
            </w:tabs>
            <w:spacing w:before="120" w:after="60"/>
          </w:pPr>
          <w:hyperlink w:anchor="_Toc100040" w:history="1">
            <w:r>
              <w:rPr>
                <w:rStyle w:val="Hyperlink"/>
              </w:rPr>
              <w:t>8. Building Your Personal Testing Roadmap</w:t>
            </w:r>
            <w:r>
              <w:tab/>
            </w:r>
            <w:r>
              <w:fldChar w:fldCharType="begin"/>
            </w:r>
            <w:r>
              <w:instrText xml:space="preserve"> PAGEREF _Toc100040 \h </w:instrText>
            </w:r>
            <w:r>
              <w:fldChar w:fldCharType="separate"/>
            </w:r>
            <w:r>
              <w:t>22</w:t>
            </w:r>
            <w:r>
              <w:fldChar w:fldCharType="end"/>
            </w:r>
          </w:hyperlink>
        </w:p>
        <w:p>
          <w:pPr>
            <w:pStyle w:val="11"/>
            <w:ind w:left="360"/>
            <w:tabs>
              <w:tab w:val="right" w:leader="dot" w:pos="9026"/>
            </w:tabs>
            <w:spacing w:before="120" w:after="60"/>
          </w:pPr>
          <w:hyperlink w:anchor="_Toc100041" w:history="1">
            <w:r>
              <w:rPr>
                <w:rStyle w:val="Hyperlink"/>
              </w:rPr>
              <w:t>8.1 A Twelve-Month Plan Working Backwards from Deadlines</w:t>
            </w:r>
            <w:r>
              <w:tab/>
            </w:r>
            <w:r>
              <w:fldChar w:fldCharType="begin"/>
            </w:r>
            <w:r>
              <w:instrText xml:space="preserve"> PAGEREF _Toc100041 \h </w:instrText>
            </w:r>
            <w:r>
              <w:fldChar w:fldCharType="separate"/>
            </w:r>
            <w:r>
              <w:t>22</w:t>
            </w:r>
            <w:r>
              <w:fldChar w:fldCharType="end"/>
            </w:r>
          </w:hyperlink>
        </w:p>
        <w:p>
          <w:pPr>
            <w:pStyle w:val="11"/>
            <w:ind w:left="360"/>
            <w:tabs>
              <w:tab w:val="right" w:leader="dot" w:pos="9026"/>
            </w:tabs>
            <w:spacing w:before="120" w:after="60"/>
          </w:pPr>
          <w:hyperlink w:anchor="_Toc100042" w:history="1">
            <w:r>
              <w:rPr>
                <w:rStyle w:val="Hyperlink"/>
              </w:rPr>
              <w:t>8.2 A Decision Checklist Before You Register</w:t>
            </w:r>
            <w:r>
              <w:tab/>
            </w:r>
            <w:r>
              <w:fldChar w:fldCharType="begin"/>
            </w:r>
            <w:r>
              <w:instrText xml:space="preserve"> PAGEREF _Toc100042 \h </w:instrText>
            </w:r>
            <w:r>
              <w:fldChar w:fldCharType="separate"/>
            </w:r>
            <w:r>
              <w:t>23</w:t>
            </w:r>
            <w:r>
              <w:fldChar w:fldCharType="end"/>
            </w:r>
          </w:hyperlink>
        </w:p>
        <w:p>
          <w:pPr>
            <w:pStyle w:val="9"/>
            <w:tabs>
              <w:tab w:val="right" w:leader="dot" w:pos="9026"/>
            </w:tabs>
            <w:spacing w:before="120" w:after="60"/>
          </w:pPr>
          <w:hyperlink w:anchor="_Toc100043" w:history="1">
            <w:r>
              <w:rPr>
                <w:rStyle w:val="Hyperlink"/>
              </w:rPr>
              <w:t>9. Frequently Asked Questions</w:t>
            </w:r>
            <w:r>
              <w:tab/>
            </w:r>
            <w:r>
              <w:fldChar w:fldCharType="begin"/>
            </w:r>
            <w:r>
              <w:instrText xml:space="preserve"> PAGEREF _Toc100043 \h </w:instrText>
            </w:r>
            <w:r>
              <w:fldChar w:fldCharType="separate"/>
            </w:r>
            <w:r>
              <w:t>23</w:t>
            </w:r>
            <w:r>
              <w:fldChar w:fldCharType="end"/>
            </w:r>
          </w:hyperlink>
        </w:p>
        <w:p>
          <w:pPr>
            <w:pStyle w:val="9"/>
            <w:tabs>
              <w:tab w:val="right" w:leader="dot" w:pos="9026"/>
            </w:tabs>
            <w:spacing w:before="120" w:after="60"/>
          </w:pPr>
          <w:hyperlink w:anchor="_Toc100044" w:history="1">
            <w:r>
              <w:rPr>
                <w:rStyle w:val="Hyperlink"/>
              </w:rPr>
              <w:t>10. Final Recommendations</w:t>
            </w:r>
            <w:r>
              <w:tab/>
            </w:r>
            <w:r>
              <w:fldChar w:fldCharType="begin"/>
            </w:r>
            <w:r>
              <w:instrText xml:space="preserve"> PAGEREF _Toc100044 \h </w:instrText>
            </w:r>
            <w:r>
              <w:fldChar w:fldCharType="separate"/>
            </w:r>
            <w:r>
              <w:t>25</w:t>
            </w:r>
            <w:r>
              <w:fldChar w:fldCharType="end"/>
            </w:r>
          </w:hyperlink>
        </w:p>
        <w:p>
          <w:r>
            <w:fldChar w:fldCharType="end"/>
          </w:r>
        </w:p>
      </w:sdtContent>
    </w:sdt>
    <w:p>
      <w:pPr>
        <w:spacing w:before="200" w:line="280"/>
      </w:pPr>
      <w:r>
        <w:rPr>
          <w:rFonts w:ascii="Times New Roman" w:eastAsia="SimSun" w:hAnsi="Times New Roman"/>
          <w:i/>
          <w:iCs/>
          <w:color w:val="888888"/>
          <w:sz w:val="18"/>
          <w:szCs w:val="18"/>
        </w:rPr>
        <w:t xml:space="preserve">Note: This Table of Contents is generated via field codes. To ensure page number accuracy after editing, please right-click the TOC and select "Update Field."</w:t>
      </w:r>
    </w:p>
    <w:p>
      <w:pPr>
        <w:sectPr>
          <w:footerReference w:type="default" r:id="rId7"/>
          <w:type w:val="nextPage"/>
          <w:pgSz w:w="11906" w:h="16838" w:orient="portrait"/>
          <w:pgMar w:top="1440" w:right="1417" w:bottom="1440" w:left="1701" w:header="708" w:footer="708" w:gutter="0"/>
          <w:pgNumType w:start="1" w:fmt="upperRoman"/>
          <w:docGrid w:linePitch="360"/>
        </w:sectPr>
      </w:pPr>
    </w:p>
    <w:p>
      <w:pPr>
        <w:pStyle w:val="Heading1"/>
        <w:keepNext/>
        <w:spacing w:after="160" w:before="360" w:line="380" w:lineRule="atLeast"/>
      </w:pPr>
      <w:bookmarkStart w:id="100000" w:name="_Toc100000"/>
      <w:r>
        <w:rPr>
          <w:rFonts w:ascii="Times New Roman" w:eastAsia="SimHei" w:hAnsi="Times New Roman"/>
          <w:b/>
          <w:bCs/>
          <w:color w:val="1A5276"/>
          <w:sz w:val="32"/>
          <w:szCs w:val="32"/>
        </w:rPr>
        <w:t xml:space="preserve">Executive Summary</w:t>
      </w:r>
      <w:bookmarkEnd w:id="100000"/>
    </w:p>
    <w:p>
      <w:pPr>
        <w:keepNext w:val="false"/>
        <w:spacing w:after="140" w:line="312"/>
        <w:jc w:val="both"/>
      </w:pPr>
      <w:r>
        <w:rPr>
          <w:rFonts w:ascii="Times New Roman" w:eastAsia="SimSun" w:hAnsi="Times New Roman"/>
          <w:b w:val="false"/>
          <w:bCs w:val="false"/>
          <w:color w:val="000000"/>
          <w:sz w:val="24"/>
          <w:szCs w:val="24"/>
        </w:rPr>
        <w:t xml:space="preserve">This guide explains, in one place, everything an international student needs to know about the four standardized examinations that dominate graduate admissions and scholarship applications worldwide: the </w:t>
      </w:r>
      <w:r>
        <w:rPr>
          <w:rFonts w:ascii="Times New Roman" w:eastAsia="SimSun" w:hAnsi="Times New Roman"/>
          <w:b/>
          <w:bCs/>
          <w:color w:val="000000"/>
          <w:sz w:val="24"/>
          <w:szCs w:val="24"/>
        </w:rPr>
        <w:t xml:space="preserve">GRE</w:t>
      </w:r>
      <w:r>
        <w:rPr>
          <w:rFonts w:ascii="Times New Roman" w:eastAsia="SimSun" w:hAnsi="Times New Roman"/>
          <w:b w:val="false"/>
          <w:bCs w:val="false"/>
          <w:color w:val="000000"/>
          <w:sz w:val="24"/>
          <w:szCs w:val="24"/>
        </w:rPr>
        <w:t xml:space="preserve"> (Graduate Record Examinations), the </w:t>
      </w:r>
      <w:r>
        <w:rPr>
          <w:rFonts w:ascii="Times New Roman" w:eastAsia="SimSun" w:hAnsi="Times New Roman"/>
          <w:b/>
          <w:bCs/>
          <w:color w:val="000000"/>
          <w:sz w:val="24"/>
          <w:szCs w:val="24"/>
        </w:rPr>
        <w:t xml:space="preserve">GMAT</w:t>
      </w:r>
      <w:r>
        <w:rPr>
          <w:rFonts w:ascii="Times New Roman" w:eastAsia="SimSun" w:hAnsi="Times New Roman"/>
          <w:b w:val="false"/>
          <w:bCs w:val="false"/>
          <w:color w:val="000000"/>
          <w:sz w:val="24"/>
          <w:szCs w:val="24"/>
        </w:rPr>
        <w:t xml:space="preserve"> (Graduate Management Admission Test), the </w:t>
      </w:r>
      <w:r>
        <w:rPr>
          <w:rFonts w:ascii="Times New Roman" w:eastAsia="SimSun" w:hAnsi="Times New Roman"/>
          <w:b/>
          <w:bCs/>
          <w:color w:val="000000"/>
          <w:sz w:val="24"/>
          <w:szCs w:val="24"/>
        </w:rPr>
        <w:t xml:space="preserve">TOEFL iBT</w:t>
      </w:r>
      <w:r>
        <w:rPr>
          <w:rFonts w:ascii="Times New Roman" w:eastAsia="SimSun" w:hAnsi="Times New Roman"/>
          <w:b w:val="false"/>
          <w:bCs w:val="false"/>
          <w:color w:val="000000"/>
          <w:sz w:val="24"/>
          <w:szCs w:val="24"/>
        </w:rPr>
        <w:t xml:space="preserve"> (Test of English as a Foreign Language) and the </w:t>
      </w:r>
      <w:r>
        <w:rPr>
          <w:rFonts w:ascii="Times New Roman" w:eastAsia="SimSun" w:hAnsi="Times New Roman"/>
          <w:b/>
          <w:bCs/>
          <w:color w:val="000000"/>
          <w:sz w:val="24"/>
          <w:szCs w:val="24"/>
        </w:rPr>
        <w:t xml:space="preserve">IELTS</w:t>
      </w:r>
      <w:r>
        <w:rPr>
          <w:rFonts w:ascii="Times New Roman" w:eastAsia="SimSun" w:hAnsi="Times New Roman"/>
          <w:b w:val="false"/>
          <w:bCs w:val="false"/>
          <w:color w:val="000000"/>
          <w:sz w:val="24"/>
          <w:szCs w:val="24"/>
        </w:rPr>
        <w:t xml:space="preserve"> (International English Language Testing System). It covers what each test measures, how each is scored, how to prepare and train for them effectively, where and how to register and sit the exams, what the tests cost, and, most importantly, which scores are actually needed for the results to be valuable when applying to scholarships and funded programs.</w:t>
      </w:r>
    </w:p>
    <w:p>
      <w:pPr>
        <w:keepNext w:val="false"/>
        <w:spacing w:after="140" w:line="312"/>
        <w:jc w:val="both"/>
      </w:pPr>
      <w:r>
        <w:rPr>
          <w:rFonts w:ascii="Times New Roman" w:eastAsia="SimSun" w:hAnsi="Times New Roman"/>
          <w:b w:val="false"/>
          <w:bCs w:val="false"/>
          <w:color w:val="000000"/>
          <w:sz w:val="24"/>
          <w:szCs w:val="24"/>
        </w:rPr>
        <w:t xml:space="preserve">The four exams fall into two distinct families, and almost every applicant to a program taught in English needs one from each family. The GRE and GMAT are </w:t>
      </w:r>
      <w:r>
        <w:rPr>
          <w:rFonts w:ascii="Times New Roman" w:eastAsia="SimSun" w:hAnsi="Times New Roman"/>
          <w:b/>
          <w:bCs/>
          <w:color w:val="000000"/>
          <w:sz w:val="24"/>
          <w:szCs w:val="24"/>
        </w:rPr>
        <w:t xml:space="preserve">aptitude tests</w:t>
      </w:r>
      <w:r>
        <w:rPr>
          <w:rFonts w:ascii="Times New Roman" w:eastAsia="SimSun" w:hAnsi="Times New Roman"/>
          <w:b w:val="false"/>
          <w:bCs w:val="false"/>
          <w:color w:val="000000"/>
          <w:sz w:val="24"/>
          <w:szCs w:val="24"/>
        </w:rPr>
        <w:t xml:space="preserve">: they assess quantitative reasoning, verbal reasoning and analytical writing, and they are used by universities to compare applicants from very different academic backgrounds. The TOEFL and IELTS are </w:t>
      </w:r>
      <w:r>
        <w:rPr>
          <w:rFonts w:ascii="Times New Roman" w:eastAsia="SimSun" w:hAnsi="Times New Roman"/>
          <w:b/>
          <w:bCs/>
          <w:color w:val="000000"/>
          <w:sz w:val="24"/>
          <w:szCs w:val="24"/>
        </w:rPr>
        <w:t xml:space="preserve">English proficiency tests</w:t>
      </w:r>
      <w:r>
        <w:rPr>
          <w:rFonts w:ascii="Times New Roman" w:eastAsia="SimSun" w:hAnsi="Times New Roman"/>
          <w:b w:val="false"/>
          <w:bCs w:val="false"/>
          <w:color w:val="000000"/>
          <w:sz w:val="24"/>
          <w:szCs w:val="24"/>
        </w:rPr>
        <w:t xml:space="preserve">: they certify that you can read, listen, speak and write in English at the level required to survive in a graduate classroom. A high GRE score cannot compensate for a missing English certificate, and an excellent IELTS band cannot replace a required GMAT score.</w:t>
      </w:r>
    </w:p>
    <w:p>
      <w:pPr>
        <w:keepNext w:val="false"/>
        <w:spacing w:after="140" w:line="312"/>
        <w:jc w:val="both"/>
      </w:pPr>
      <w:r>
        <w:rPr>
          <w:rFonts w:ascii="Times New Roman" w:eastAsia="SimSun" w:hAnsi="Times New Roman"/>
          <w:b w:val="false"/>
          <w:bCs w:val="false"/>
          <w:color w:val="000000"/>
          <w:sz w:val="24"/>
          <w:szCs w:val="24"/>
        </w:rPr>
        <w:t xml:space="preserve">The practical benchmarks that matter for scholarships are straightforward. For English tests, an IELTS overall band of </w:t>
      </w:r>
      <w:r>
        <w:rPr>
          <w:rFonts w:ascii="Times New Roman" w:eastAsia="SimSun" w:hAnsi="Times New Roman"/>
          <w:b/>
          <w:bCs/>
          <w:color w:val="000000"/>
          <w:sz w:val="24"/>
          <w:szCs w:val="24"/>
        </w:rPr>
        <w:t xml:space="preserve">6.5 to 7.0</w:t>
      </w:r>
      <w:r>
        <w:rPr>
          <w:rFonts w:ascii="Times New Roman" w:eastAsia="SimSun" w:hAnsi="Times New Roman"/>
          <w:b w:val="false"/>
          <w:bCs w:val="false"/>
          <w:color w:val="000000"/>
          <w:sz w:val="24"/>
          <w:szCs w:val="24"/>
        </w:rPr>
        <w:t xml:space="preserve"> or a TOEFL iBT score of </w:t>
      </w:r>
      <w:r>
        <w:rPr>
          <w:rFonts w:ascii="Times New Roman" w:eastAsia="SimSun" w:hAnsi="Times New Roman"/>
          <w:b/>
          <w:bCs/>
          <w:color w:val="000000"/>
          <w:sz w:val="24"/>
          <w:szCs w:val="24"/>
        </w:rPr>
        <w:t xml:space="preserve">90 to 100</w:t>
      </w:r>
      <w:r>
        <w:rPr>
          <w:rFonts w:ascii="Times New Roman" w:eastAsia="SimSun" w:hAnsi="Times New Roman"/>
          <w:b w:val="false"/>
          <w:bCs w:val="false"/>
          <w:color w:val="000000"/>
          <w:sz w:val="24"/>
          <w:szCs w:val="24"/>
        </w:rPr>
        <w:t xml:space="preserve"> clears the stated minimum of most major scholarship programs, while competitive applicants typically present IELTS 7.5 or TOEFL 105 and above. For aptitude tests, a GRE total of </w:t>
      </w:r>
      <w:r>
        <w:rPr>
          <w:rFonts w:ascii="Times New Roman" w:eastAsia="SimSun" w:hAnsi="Times New Roman"/>
          <w:b/>
          <w:bCs/>
          <w:color w:val="000000"/>
          <w:sz w:val="24"/>
          <w:szCs w:val="24"/>
        </w:rPr>
        <w:t xml:space="preserve">315 to 320+</w:t>
      </w:r>
      <w:r>
        <w:rPr>
          <w:rFonts w:ascii="Times New Roman" w:eastAsia="SimSun" w:hAnsi="Times New Roman"/>
          <w:b w:val="false"/>
          <w:bCs w:val="false"/>
          <w:color w:val="000000"/>
          <w:sz w:val="24"/>
          <w:szCs w:val="24"/>
        </w:rPr>
        <w:t xml:space="preserve"> (Verbal plus Quantitative) or a GMAT Focus Edition score of </w:t>
      </w:r>
      <w:r>
        <w:rPr>
          <w:rFonts w:ascii="Times New Roman" w:eastAsia="SimSun" w:hAnsi="Times New Roman"/>
          <w:b/>
          <w:bCs/>
          <w:color w:val="000000"/>
          <w:sz w:val="24"/>
          <w:szCs w:val="24"/>
        </w:rPr>
        <w:t xml:space="preserve">645+</w:t>
      </w:r>
      <w:r>
        <w:rPr>
          <w:rFonts w:ascii="Times New Roman" w:eastAsia="SimSun" w:hAnsi="Times New Roman"/>
          <w:b w:val="false"/>
          <w:bCs w:val="false"/>
          <w:color w:val="000000"/>
          <w:sz w:val="24"/>
          <w:szCs w:val="24"/>
        </w:rPr>
        <w:t xml:space="preserve"> places an applicant in the competitive range for merit-based funding at strong programs. Scores from the GRE and GMAT remain valid for five years, while TOEFL and IELTS scores expire after two years, so the English test should generally be taken first and the aptitude test second, with both arranged to still be valid at the time of application.</w:t>
      </w:r>
    </w:p>
    <w:p>
      <w:pPr>
        <w:keepNext w:val="false"/>
        <w:spacing w:after="200" w:line="312"/>
        <w:jc w:val="both"/>
      </w:pPr>
      <w:r>
        <w:rPr>
          <w:rFonts w:ascii="Times New Roman" w:eastAsia="SimSun" w:hAnsi="Times New Roman"/>
          <w:b w:val="false"/>
          <w:bCs w:val="false"/>
          <w:color w:val="000000"/>
          <w:sz w:val="24"/>
          <w:szCs w:val="24"/>
        </w:rPr>
        <w:t xml:space="preserve">Each chapter of this guide is self-contained: Chapter 1 gives a rapid overview, Chapters 2 to 5 explain the exams, preparation, registration and costs, Chapter 6 provides detailed score benchmark tables for scholarships, Chapters 7 and 8 cover policies and planning, and Chapters 9 and 10 answer the most common questions and summarize recommended actions.</w:t>
      </w:r>
    </w:p>
    <w:p>
      <w:pPr>
        <w:pStyle w:val="Heading1"/>
        <w:keepNext/>
        <w:spacing w:after="160" w:before="360" w:line="380" w:lineRule="atLeast"/>
      </w:pPr>
      <w:bookmarkStart w:id="100001" w:name="_Toc100001"/>
      <w:r>
        <w:rPr>
          <w:rFonts w:ascii="Times New Roman" w:eastAsia="SimHei" w:hAnsi="Times New Roman"/>
          <w:b/>
          <w:bCs/>
          <w:color w:val="1A5276"/>
          <w:sz w:val="32"/>
          <w:szCs w:val="32"/>
        </w:rPr>
        <w:t xml:space="preserve">1. Introduction: The Four Exams at a Glance</w:t>
      </w:r>
      <w:bookmarkEnd w:id="100001"/>
    </w:p>
    <w:p>
      <w:pPr>
        <w:pStyle w:val="Heading2"/>
        <w:keepNext/>
        <w:spacing w:after="120" w:before="260" w:line="340" w:lineRule="atLeast"/>
      </w:pPr>
      <w:bookmarkStart w:id="100002" w:name="_Toc100002"/>
      <w:r>
        <w:rPr>
          <w:rFonts w:ascii="Times New Roman" w:eastAsia="SimHei" w:hAnsi="Times New Roman"/>
          <w:b/>
          <w:bCs/>
          <w:color w:val="1A5276"/>
          <w:sz w:val="28"/>
          <w:szCs w:val="28"/>
        </w:rPr>
        <w:t xml:space="preserve">1.1 Purpose and Scope of This Guide</w:t>
      </w:r>
      <w:bookmarkEnd w:id="100002"/>
    </w:p>
    <w:p>
      <w:pPr>
        <w:keepNext w:val="false"/>
        <w:spacing w:after="140" w:line="312"/>
        <w:jc w:val="both"/>
      </w:pPr>
      <w:r>
        <w:rPr>
          <w:rFonts w:ascii="Times New Roman" w:eastAsia="SimSun" w:hAnsi="Times New Roman"/>
          <w:b w:val="false"/>
          <w:bCs w:val="false"/>
          <w:color w:val="000000"/>
          <w:sz w:val="24"/>
          <w:szCs w:val="24"/>
        </w:rPr>
        <w:t xml:space="preserve">Applying to a master's degree, a doctorate or an MBA abroad usually means confronting a wall of acronyms: GRE, GMAT, TOEFL, IELTS, and sometimes PTE or Duolingo English Test. The information is scattered across official websites that describe formats in dense technical language, and across forums where advice is often outdated or contradictory. This guide consolidates that information into a single, practical reference written for a student who is exploring their options and needs accurate, actionable detail.</w:t>
      </w:r>
    </w:p>
    <w:p>
      <w:pPr>
        <w:keepNext w:val="false"/>
        <w:spacing w:after="140" w:line="312"/>
        <w:jc w:val="both"/>
      </w:pPr>
      <w:r>
        <w:rPr>
          <w:rFonts w:ascii="Times New Roman" w:eastAsia="SimSun" w:hAnsi="Times New Roman"/>
          <w:b w:val="false"/>
          <w:bCs w:val="false"/>
          <w:color w:val="000000"/>
          <w:sz w:val="24"/>
          <w:szCs w:val="24"/>
        </w:rPr>
        <w:t xml:space="preserve">The scope of the guide is deliberately complete. It explains what each examination contains and how it is scored; how to choose between GRE and GMAT, and between TOEFL and IELTS; how to build an effective preparation plan using free and paid resources; how to register, where the exams are held and what happens on test day; what everything costs and where fee reductions exist; which scores make applications competitive for major international scholarships; and how to sequence everything into a realistic twelve-month roadmap. Fees and policies change periodically, so every figure in this document should be confirmed on the official websites listed in Chapter 9 before you pay.</w:t>
      </w:r>
    </w:p>
    <w:p>
      <w:pPr>
        <w:pStyle w:val="Heading2"/>
        <w:keepNext/>
        <w:spacing w:after="120" w:before="260" w:line="340" w:lineRule="atLeast"/>
      </w:pPr>
      <w:bookmarkStart w:id="100003" w:name="_Toc100003"/>
      <w:r>
        <w:rPr>
          <w:rFonts w:ascii="Times New Roman" w:eastAsia="SimHei" w:hAnsi="Times New Roman"/>
          <w:b/>
          <w:bCs/>
          <w:color w:val="1A5276"/>
          <w:sz w:val="28"/>
          <w:szCs w:val="28"/>
        </w:rPr>
        <w:t xml:space="preserve">1.2 Aptitude Tests and English Tests: Two Different Jobs</w:t>
      </w:r>
      <w:bookmarkEnd w:id="100003"/>
    </w:p>
    <w:p>
      <w:pPr>
        <w:keepNext w:val="false"/>
        <w:spacing w:after="140" w:line="312"/>
        <w:jc w:val="both"/>
      </w:pPr>
      <w:r>
        <w:rPr>
          <w:rFonts w:ascii="Times New Roman" w:eastAsia="SimSun" w:hAnsi="Times New Roman"/>
          <w:b w:val="false"/>
          <w:bCs w:val="false"/>
          <w:color w:val="000000"/>
          <w:sz w:val="24"/>
          <w:szCs w:val="24"/>
        </w:rPr>
        <w:t xml:space="preserve">The most common source of confusion for first-time applicants is assuming that the four exams are interchangeable. They are not. The </w:t>
      </w:r>
      <w:r>
        <w:rPr>
          <w:rFonts w:ascii="Times New Roman" w:eastAsia="SimSun" w:hAnsi="Times New Roman"/>
          <w:b/>
          <w:bCs/>
          <w:color w:val="000000"/>
          <w:sz w:val="24"/>
          <w:szCs w:val="24"/>
        </w:rPr>
        <w:t xml:space="preserve">GRE</w:t>
      </w:r>
      <w:r>
        <w:rPr>
          <w:rFonts w:ascii="Times New Roman" w:eastAsia="SimSun" w:hAnsi="Times New Roman"/>
          <w:b w:val="false"/>
          <w:bCs w:val="false"/>
          <w:color w:val="000000"/>
          <w:sz w:val="24"/>
          <w:szCs w:val="24"/>
        </w:rPr>
        <w:t xml:space="preserve">, owned and administered by ETS (Educational Testing Service, United States), is accepted by graduate programs across nearly every discipline, from engineering to public policy, and increasingly by business schools as well. The </w:t>
      </w:r>
      <w:r>
        <w:rPr>
          <w:rFonts w:ascii="Times New Roman" w:eastAsia="SimSun" w:hAnsi="Times New Roman"/>
          <w:b/>
          <w:bCs/>
          <w:color w:val="000000"/>
          <w:sz w:val="24"/>
          <w:szCs w:val="24"/>
        </w:rPr>
        <w:t xml:space="preserve">GMAT</w:t>
      </w:r>
      <w:r>
        <w:rPr>
          <w:rFonts w:ascii="Times New Roman" w:eastAsia="SimSun" w:hAnsi="Times New Roman"/>
          <w:b w:val="false"/>
          <w:bCs w:val="false"/>
          <w:color w:val="000000"/>
          <w:sz w:val="24"/>
          <w:szCs w:val="24"/>
        </w:rPr>
        <w:t xml:space="preserve">, owned by GMAC (Graduate Management Admission Council), is designed specifically for business and management admissions and is the traditional benchmark for MBA programs. Both tests assume you already speak English fluently and measure reasoning skill instead.</w:t>
      </w:r>
    </w:p>
    <w:p>
      <w:pPr>
        <w:keepNext w:val="false"/>
        <w:spacing w:after="140" w:line="312"/>
        <w:jc w:val="both"/>
      </w:pPr>
      <w:r>
        <w:rPr>
          <w:rFonts w:ascii="Times New Roman" w:eastAsia="SimSun" w:hAnsi="Times New Roman"/>
          <w:b w:val="false"/>
          <w:bCs w:val="false"/>
          <w:color w:val="000000"/>
          <w:sz w:val="24"/>
          <w:szCs w:val="24"/>
        </w:rPr>
        <w:t xml:space="preserve">The </w:t>
      </w:r>
      <w:r>
        <w:rPr>
          <w:rFonts w:ascii="Times New Roman" w:eastAsia="SimSun" w:hAnsi="Times New Roman"/>
          <w:b/>
          <w:bCs/>
          <w:color w:val="000000"/>
          <w:sz w:val="24"/>
          <w:szCs w:val="24"/>
        </w:rPr>
        <w:t xml:space="preserve">TOEFL iBT</w:t>
      </w:r>
      <w:r>
        <w:rPr>
          <w:rFonts w:ascii="Times New Roman" w:eastAsia="SimSun" w:hAnsi="Times New Roman"/>
          <w:b w:val="false"/>
          <w:bCs w:val="false"/>
          <w:color w:val="000000"/>
          <w:sz w:val="24"/>
          <w:szCs w:val="24"/>
        </w:rPr>
        <w:t xml:space="preserve">, also owned by ETS, and the </w:t>
      </w:r>
      <w:r>
        <w:rPr>
          <w:rFonts w:ascii="Times New Roman" w:eastAsia="SimSun" w:hAnsi="Times New Roman"/>
          <w:b/>
          <w:bCs/>
          <w:color w:val="000000"/>
          <w:sz w:val="24"/>
          <w:szCs w:val="24"/>
        </w:rPr>
        <w:t xml:space="preserve">IELTS</w:t>
      </w:r>
      <w:r>
        <w:rPr>
          <w:rFonts w:ascii="Times New Roman" w:eastAsia="SimSun" w:hAnsi="Times New Roman"/>
          <w:b w:val="false"/>
          <w:bCs w:val="false"/>
          <w:color w:val="000000"/>
          <w:sz w:val="24"/>
          <w:szCs w:val="24"/>
        </w:rPr>
        <w:t xml:space="preserve">, jointly owned by the British Council, IDP Education and Cambridge Assessment English, do the opposite: they measure English language ability and assume nothing about your academic aptitude. American and Canadian institutions have historically favored the TOEFL, while the IELTS dominates in the United Kingdom, Australia and much of Europe, although today both are accepted almost everywhere. Table 1 summarizes the four exams side by side, and the chapters that follow examine each one in detail.</w:t>
      </w:r>
    </w:p>
    <w:p>
      <w:pPr>
        <w:keepNext/>
        <w:spacing w:after="80" w:before="160" w:line="312"/>
      </w:pPr>
      <w:r>
        <w:rPr>
          <w:rFonts w:ascii="Times New Roman" w:eastAsia="SimSun" w:hAnsi="Times New Roman"/>
          <w:b/>
          <w:bCs/>
          <w:color w:val="1A5276"/>
          <w:sz w:val="21"/>
          <w:szCs w:val="21"/>
        </w:rPr>
        <w:t xml:space="preserve">Table 1: </w:t>
      </w:r>
      <w:r>
        <w:rPr>
          <w:rFonts w:ascii="Times New Roman" w:eastAsia="SimSun" w:hAnsi="Times New Roman"/>
          <w:b/>
          <w:bCs/>
          <w:color w:val="000000"/>
          <w:sz w:val="21"/>
          <w:szCs w:val="21"/>
        </w:rPr>
        <w:t xml:space="preserve">The four examinations at a glance</w:t>
      </w:r>
    </w:p>
    <w:tbl>
      <w:tblPr>
        <w:tblW w:type="pct" w:w="100%"/>
        <w:tblBorders>
          <w:top w:val="single" w:color="1A5276" w:sz="6"/>
          <w:left w:val="none" w:color="FFFFFF" w:sz="0"/>
          <w:bottom w:val="single" w:color="1A5276" w:sz="6"/>
          <w:right w:val="none" w:color="FFFFFF" w:sz="0"/>
          <w:insideH w:val="single" w:color="D0DDE8" w:sz="2"/>
          <w:insideV w:val="none" w:color="FFFFFF" w:sz="0"/>
        </w:tblBorders>
      </w:tblPr>
      <w:tblGrid>
        <w:gridCol w:w="100"/>
        <w:gridCol w:w="100"/>
        <w:gridCol w:w="100"/>
        <w:gridCol w:w="100"/>
        <w:gridCol w:w="100"/>
        <w:gridCol w:w="100"/>
        <w:gridCol w:w="100"/>
      </w:tblGrid>
      <w:tr>
        <w:trPr>
          <w:cantSplit/>
          <w:tblHeader/>
        </w:trPr>
        <w:tc>
          <w:tcPr>
            <w:tcW w:type="pct" w:w="13%"/>
            <w:shd w:fill="2E86C1" w:val="clear"/>
            <w:tcMar>
              <w:top w:type="dxa" w:w="70"/>
              <w:left w:type="dxa" w:w="110"/>
              <w:bottom w:type="dxa" w:w="70"/>
              <w:right w:type="dxa" w:w="110"/>
            </w:tcMar>
          </w:tcPr>
          <w:p>
            <w:pPr>
              <w:spacing w:line="312"/>
              <w:jc w:val="left"/>
            </w:pPr>
            <w:r>
              <w:rPr>
                <w:rFonts w:ascii="Times New Roman" w:eastAsia="SimSun" w:hAnsi="Times New Roman"/>
                <w:b/>
                <w:bCs/>
                <w:color w:val="FFFFFF"/>
                <w:sz w:val="21"/>
                <w:szCs w:val="21"/>
              </w:rPr>
              <w:t xml:space="preserve">Exam</w:t>
            </w:r>
          </w:p>
        </w:tc>
        <w:tc>
          <w:tcPr>
            <w:tcW w:type="pct" w:w="22%"/>
            <w:shd w:fill="2E86C1" w:val="clear"/>
            <w:tcMar>
              <w:top w:type="dxa" w:w="70"/>
              <w:left w:type="dxa" w:w="110"/>
              <w:bottom w:type="dxa" w:w="70"/>
              <w:right w:type="dxa" w:w="110"/>
            </w:tcMar>
          </w:tcPr>
          <w:p>
            <w:pPr>
              <w:spacing w:line="312"/>
              <w:jc w:val="left"/>
            </w:pPr>
            <w:r>
              <w:rPr>
                <w:rFonts w:ascii="Times New Roman" w:eastAsia="SimSun" w:hAnsi="Times New Roman"/>
                <w:b/>
                <w:bCs/>
                <w:color w:val="FFFFFF"/>
                <w:sz w:val="21"/>
                <w:szCs w:val="21"/>
              </w:rPr>
              <w:t xml:space="preserve">What it measures</w:t>
            </w:r>
          </w:p>
        </w:tc>
        <w:tc>
          <w:tcPr>
            <w:tcW w:type="pct" w:w="15%"/>
            <w:shd w:fill="2E86C1" w:val="clear"/>
            <w:tcMar>
              <w:top w:type="dxa" w:w="70"/>
              <w:left w:type="dxa" w:w="110"/>
              <w:bottom w:type="dxa" w:w="70"/>
              <w:right w:type="dxa" w:w="110"/>
            </w:tcMar>
          </w:tcPr>
          <w:p>
            <w:pPr>
              <w:spacing w:line="312"/>
              <w:jc w:val="left"/>
            </w:pPr>
            <w:r>
              <w:rPr>
                <w:rFonts w:ascii="Times New Roman" w:eastAsia="SimSun" w:hAnsi="Times New Roman"/>
                <w:b/>
                <w:bCs/>
                <w:color w:val="FFFFFF"/>
                <w:sz w:val="21"/>
                <w:szCs w:val="21"/>
              </w:rPr>
              <w:t xml:space="preserve">Owner</w:t>
            </w:r>
          </w:p>
        </w:tc>
        <w:tc>
          <w:tcPr>
            <w:tcW w:type="pct" w:w="14%"/>
            <w:shd w:fill="2E86C1" w:val="clear"/>
            <w:tcMar>
              <w:top w:type="dxa" w:w="70"/>
              <w:left w:type="dxa" w:w="110"/>
              <w:bottom w:type="dxa" w:w="70"/>
              <w:right w:type="dxa" w:w="110"/>
            </w:tcMar>
          </w:tcPr>
          <w:p>
            <w:pPr>
              <w:spacing w:line="312"/>
              <w:jc w:val="left"/>
            </w:pPr>
            <w:r>
              <w:rPr>
                <w:rFonts w:ascii="Times New Roman" w:eastAsia="SimSun" w:hAnsi="Times New Roman"/>
                <w:b/>
                <w:bCs/>
                <w:color w:val="FFFFFF"/>
                <w:sz w:val="21"/>
                <w:szCs w:val="21"/>
              </w:rPr>
              <w:t xml:space="preserve">Length</w:t>
            </w:r>
          </w:p>
        </w:tc>
        <w:tc>
          <w:tcPr>
            <w:tcW w:type="pct" w:w="16%"/>
            <w:shd w:fill="2E86C1" w:val="clear"/>
            <w:tcMar>
              <w:top w:type="dxa" w:w="70"/>
              <w:left w:type="dxa" w:w="110"/>
              <w:bottom w:type="dxa" w:w="70"/>
              <w:right w:type="dxa" w:w="110"/>
            </w:tcMar>
          </w:tcPr>
          <w:p>
            <w:pPr>
              <w:spacing w:line="312"/>
              <w:jc w:val="left"/>
            </w:pPr>
            <w:r>
              <w:rPr>
                <w:rFonts w:ascii="Times New Roman" w:eastAsia="SimSun" w:hAnsi="Times New Roman"/>
                <w:b/>
                <w:bCs/>
                <w:color w:val="FFFFFF"/>
                <w:sz w:val="21"/>
                <w:szCs w:val="21"/>
              </w:rPr>
              <w:t xml:space="preserve">Score scale</w:t>
            </w:r>
          </w:p>
        </w:tc>
        <w:tc>
          <w:tcPr>
            <w:tcW w:type="pct" w:w="8%"/>
            <w:shd w:fill="2E86C1" w:val="clear"/>
            <w:tcMar>
              <w:top w:type="dxa" w:w="70"/>
              <w:left w:type="dxa" w:w="110"/>
              <w:bottom w:type="dxa" w:w="70"/>
              <w:right w:type="dxa" w:w="110"/>
            </w:tcMar>
          </w:tcPr>
          <w:p>
            <w:pPr>
              <w:spacing w:line="312"/>
              <w:jc w:val="left"/>
            </w:pPr>
            <w:r>
              <w:rPr>
                <w:rFonts w:ascii="Times New Roman" w:eastAsia="SimSun" w:hAnsi="Times New Roman"/>
                <w:b/>
                <w:bCs/>
                <w:color w:val="FFFFFF"/>
                <w:sz w:val="21"/>
                <w:szCs w:val="21"/>
              </w:rPr>
              <w:t xml:space="preserve">Validity</w:t>
            </w:r>
          </w:p>
        </w:tc>
        <w:tc>
          <w:tcPr>
            <w:tcW w:type="pct" w:w="12%"/>
            <w:shd w:fill="2E86C1" w:val="clear"/>
            <w:tcMar>
              <w:top w:type="dxa" w:w="70"/>
              <w:left w:type="dxa" w:w="110"/>
              <w:bottom w:type="dxa" w:w="70"/>
              <w:right w:type="dxa" w:w="110"/>
            </w:tcMar>
          </w:tcPr>
          <w:p>
            <w:pPr>
              <w:spacing w:line="312"/>
              <w:jc w:val="left"/>
            </w:pPr>
            <w:r>
              <w:rPr>
                <w:rFonts w:ascii="Times New Roman" w:eastAsia="SimSun" w:hAnsi="Times New Roman"/>
                <w:b/>
                <w:bCs/>
                <w:color w:val="FFFFFF"/>
                <w:sz w:val="21"/>
                <w:szCs w:val="21"/>
              </w:rPr>
              <w:t xml:space="preserve">Typical fee</w:t>
            </w:r>
          </w:p>
        </w:tc>
      </w:tr>
      <w:tr>
        <w:trPr>
          <w:cantSplit/>
        </w:trPr>
        <w:tc>
          <w:tcPr>
            <w:tcW w:type="pct" w:w="13%"/>
            <w:shd w:fill="EDF3F8" w:val="clear"/>
            <w:tcMar>
              <w:top w:type="dxa" w:w="70"/>
              <w:left w:type="dxa" w:w="110"/>
              <w:bottom w:type="dxa" w:w="70"/>
              <w:right w:type="dxa" w:w="110"/>
            </w:tcMar>
          </w:tcPr>
          <w:p>
            <w:pPr>
              <w:spacing w:line="312"/>
              <w:jc w:val="left"/>
            </w:pPr>
            <w:r>
              <w:rPr>
                <w:rFonts w:ascii="Times New Roman" w:eastAsia="SimSun" w:hAnsi="Times New Roman"/>
                <w:b w:val="false"/>
                <w:bCs w:val="false"/>
                <w:color w:val="000000"/>
                <w:sz w:val="21"/>
                <w:szCs w:val="21"/>
              </w:rPr>
              <w:t xml:space="preserve">GRE</w:t>
            </w:r>
          </w:p>
        </w:tc>
        <w:tc>
          <w:tcPr>
            <w:tcW w:type="pct" w:w="22%"/>
            <w:shd w:fill="EDF3F8" w:val="clear"/>
            <w:tcMar>
              <w:top w:type="dxa" w:w="70"/>
              <w:left w:type="dxa" w:w="110"/>
              <w:bottom w:type="dxa" w:w="70"/>
              <w:right w:type="dxa" w:w="110"/>
            </w:tcMar>
          </w:tcPr>
          <w:p>
            <w:pPr>
              <w:spacing w:line="312"/>
              <w:jc w:val="left"/>
            </w:pPr>
            <w:r>
              <w:rPr>
                <w:rFonts w:ascii="Times New Roman" w:eastAsia="SimSun" w:hAnsi="Times New Roman"/>
                <w:b w:val="false"/>
                <w:bCs w:val="false"/>
                <w:color w:val="000000"/>
                <w:sz w:val="21"/>
                <w:szCs w:val="21"/>
              </w:rPr>
              <w:t xml:space="preserve">Academic aptitude: verbal, quantitative, analytical writing</w:t>
            </w:r>
          </w:p>
        </w:tc>
        <w:tc>
          <w:tcPr>
            <w:tcW w:type="pct" w:w="15%"/>
            <w:shd w:fill="EDF3F8" w:val="clear"/>
            <w:tcMar>
              <w:top w:type="dxa" w:w="70"/>
              <w:left w:type="dxa" w:w="110"/>
              <w:bottom w:type="dxa" w:w="70"/>
              <w:right w:type="dxa" w:w="110"/>
            </w:tcMar>
          </w:tcPr>
          <w:p>
            <w:pPr>
              <w:spacing w:line="312"/>
              <w:jc w:val="left"/>
            </w:pPr>
            <w:r>
              <w:rPr>
                <w:rFonts w:ascii="Times New Roman" w:eastAsia="SimSun" w:hAnsi="Times New Roman"/>
                <w:b w:val="false"/>
                <w:bCs w:val="false"/>
                <w:color w:val="000000"/>
                <w:sz w:val="21"/>
                <w:szCs w:val="21"/>
              </w:rPr>
              <w:t xml:space="preserve">ETS (USA)</w:t>
            </w:r>
          </w:p>
        </w:tc>
        <w:tc>
          <w:tcPr>
            <w:tcW w:type="pct" w:w="14%"/>
            <w:shd w:fill="EDF3F8" w:val="clear"/>
            <w:tcMar>
              <w:top w:type="dxa" w:w="70"/>
              <w:left w:type="dxa" w:w="110"/>
              <w:bottom w:type="dxa" w:w="70"/>
              <w:right w:type="dxa" w:w="110"/>
            </w:tcMar>
          </w:tcPr>
          <w:p>
            <w:pPr>
              <w:spacing w:line="312"/>
              <w:jc w:val="left"/>
            </w:pPr>
            <w:r>
              <w:rPr>
                <w:rFonts w:ascii="Times New Roman" w:eastAsia="SimSun" w:hAnsi="Times New Roman"/>
                <w:b w:val="false"/>
                <w:bCs w:val="false"/>
                <w:color w:val="000000"/>
                <w:sz w:val="21"/>
                <w:szCs w:val="21"/>
              </w:rPr>
              <w:t xml:space="preserve">About 2 hours</w:t>
            </w:r>
          </w:p>
        </w:tc>
        <w:tc>
          <w:tcPr>
            <w:tcW w:type="pct" w:w="16%"/>
            <w:shd w:fill="EDF3F8" w:val="clear"/>
            <w:tcMar>
              <w:top w:type="dxa" w:w="70"/>
              <w:left w:type="dxa" w:w="110"/>
              <w:bottom w:type="dxa" w:w="70"/>
              <w:right w:type="dxa" w:w="110"/>
            </w:tcMar>
          </w:tcPr>
          <w:p>
            <w:pPr>
              <w:spacing w:line="312"/>
              <w:jc w:val="left"/>
            </w:pPr>
            <w:r>
              <w:rPr>
                <w:rFonts w:ascii="Times New Roman" w:eastAsia="SimSun" w:hAnsi="Times New Roman"/>
                <w:b w:val="false"/>
                <w:bCs w:val="false"/>
                <w:color w:val="000000"/>
                <w:sz w:val="21"/>
                <w:szCs w:val="21"/>
              </w:rPr>
              <w:t xml:space="preserve">130-170 per section (Verbal, Quantitative); 0-6 Writing</w:t>
            </w:r>
          </w:p>
        </w:tc>
        <w:tc>
          <w:tcPr>
            <w:tcW w:type="pct" w:w="8%"/>
            <w:shd w:fill="EDF3F8" w:val="clear"/>
            <w:tcMar>
              <w:top w:type="dxa" w:w="70"/>
              <w:left w:type="dxa" w:w="110"/>
              <w:bottom w:type="dxa" w:w="70"/>
              <w:right w:type="dxa" w:w="110"/>
            </w:tcMar>
          </w:tcPr>
          <w:p>
            <w:pPr>
              <w:spacing w:line="312"/>
              <w:jc w:val="left"/>
            </w:pPr>
            <w:r>
              <w:rPr>
                <w:rFonts w:ascii="Times New Roman" w:eastAsia="SimSun" w:hAnsi="Times New Roman"/>
                <w:b w:val="false"/>
                <w:bCs w:val="false"/>
                <w:color w:val="000000"/>
                <w:sz w:val="21"/>
                <w:szCs w:val="21"/>
              </w:rPr>
              <w:t xml:space="preserve">5 years</w:t>
            </w:r>
          </w:p>
        </w:tc>
        <w:tc>
          <w:tcPr>
            <w:tcW w:type="pct" w:w="12%"/>
            <w:shd w:fill="EDF3F8" w:val="clear"/>
            <w:tcMar>
              <w:top w:type="dxa" w:w="70"/>
              <w:left w:type="dxa" w:w="110"/>
              <w:bottom w:type="dxa" w:w="70"/>
              <w:right w:type="dxa" w:w="110"/>
            </w:tcMar>
          </w:tcPr>
          <w:p>
            <w:pPr>
              <w:spacing w:line="312"/>
              <w:jc w:val="left"/>
            </w:pPr>
            <w:r>
              <w:rPr>
                <w:rFonts w:ascii="Times New Roman" w:eastAsia="SimSun" w:hAnsi="Times New Roman"/>
                <w:b w:val="false"/>
                <w:bCs w:val="false"/>
                <w:color w:val="000000"/>
                <w:sz w:val="21"/>
                <w:szCs w:val="21"/>
              </w:rPr>
              <w:t xml:space="preserve">About US$220, varies by country</w:t>
            </w:r>
          </w:p>
        </w:tc>
      </w:tr>
      <w:tr>
        <w:trPr>
          <w:cantSplit/>
        </w:trPr>
        <w:tc>
          <w:tcPr>
            <w:tcW w:type="pct" w:w="13%"/>
            <w:shd w:fill="FFFFFF" w:val="clear"/>
            <w:tcMar>
              <w:top w:type="dxa" w:w="70"/>
              <w:left w:type="dxa" w:w="110"/>
              <w:bottom w:type="dxa" w:w="70"/>
              <w:right w:type="dxa" w:w="110"/>
            </w:tcMar>
          </w:tcPr>
          <w:p>
            <w:pPr>
              <w:spacing w:line="312"/>
              <w:jc w:val="left"/>
            </w:pPr>
            <w:r>
              <w:rPr>
                <w:rFonts w:ascii="Times New Roman" w:eastAsia="SimSun" w:hAnsi="Times New Roman"/>
                <w:b w:val="false"/>
                <w:bCs w:val="false"/>
                <w:color w:val="000000"/>
                <w:sz w:val="21"/>
                <w:szCs w:val="21"/>
              </w:rPr>
              <w:t xml:space="preserve">GMAT Focus Edition</w:t>
            </w:r>
          </w:p>
        </w:tc>
        <w:tc>
          <w:tcPr>
            <w:tcW w:type="pct" w:w="22%"/>
            <w:shd w:fill="FFFFFF" w:val="clear"/>
            <w:tcMar>
              <w:top w:type="dxa" w:w="70"/>
              <w:left w:type="dxa" w:w="110"/>
              <w:bottom w:type="dxa" w:w="70"/>
              <w:right w:type="dxa" w:w="110"/>
            </w:tcMar>
          </w:tcPr>
          <w:p>
            <w:pPr>
              <w:spacing w:line="312"/>
              <w:jc w:val="left"/>
            </w:pPr>
            <w:r>
              <w:rPr>
                <w:rFonts w:ascii="Times New Roman" w:eastAsia="SimSun" w:hAnsi="Times New Roman"/>
                <w:b w:val="false"/>
                <w:bCs w:val="false"/>
                <w:color w:val="000000"/>
                <w:sz w:val="21"/>
                <w:szCs w:val="21"/>
              </w:rPr>
              <w:t xml:space="preserve">Business aptitude: quantitative, verbal, data insights</w:t>
            </w:r>
          </w:p>
        </w:tc>
        <w:tc>
          <w:tcPr>
            <w:tcW w:type="pct" w:w="15%"/>
            <w:shd w:fill="FFFFFF" w:val="clear"/>
            <w:tcMar>
              <w:top w:type="dxa" w:w="70"/>
              <w:left w:type="dxa" w:w="110"/>
              <w:bottom w:type="dxa" w:w="70"/>
              <w:right w:type="dxa" w:w="110"/>
            </w:tcMar>
          </w:tcPr>
          <w:p>
            <w:pPr>
              <w:spacing w:line="312"/>
              <w:jc w:val="left"/>
            </w:pPr>
            <w:r>
              <w:rPr>
                <w:rFonts w:ascii="Times New Roman" w:eastAsia="SimSun" w:hAnsi="Times New Roman"/>
                <w:b w:val="false"/>
                <w:bCs w:val="false"/>
                <w:color w:val="000000"/>
                <w:sz w:val="21"/>
                <w:szCs w:val="21"/>
              </w:rPr>
              <w:t xml:space="preserve">GMAC</w:t>
            </w:r>
          </w:p>
        </w:tc>
        <w:tc>
          <w:tcPr>
            <w:tcW w:type="pct" w:w="14%"/>
            <w:shd w:fill="FFFFFF" w:val="clear"/>
            <w:tcMar>
              <w:top w:type="dxa" w:w="70"/>
              <w:left w:type="dxa" w:w="110"/>
              <w:bottom w:type="dxa" w:w="70"/>
              <w:right w:type="dxa" w:w="110"/>
            </w:tcMar>
          </w:tcPr>
          <w:p>
            <w:pPr>
              <w:spacing w:line="312"/>
              <w:jc w:val="left"/>
            </w:pPr>
            <w:r>
              <w:rPr>
                <w:rFonts w:ascii="Times New Roman" w:eastAsia="SimSun" w:hAnsi="Times New Roman"/>
                <w:b w:val="false"/>
                <w:bCs w:val="false"/>
                <w:color w:val="000000"/>
                <w:sz w:val="21"/>
                <w:szCs w:val="21"/>
              </w:rPr>
              <w:t xml:space="preserve">2 hours 15 minutes</w:t>
            </w:r>
          </w:p>
        </w:tc>
        <w:tc>
          <w:tcPr>
            <w:tcW w:type="pct" w:w="16%"/>
            <w:shd w:fill="FFFFFF" w:val="clear"/>
            <w:tcMar>
              <w:top w:type="dxa" w:w="70"/>
              <w:left w:type="dxa" w:w="110"/>
              <w:bottom w:type="dxa" w:w="70"/>
              <w:right w:type="dxa" w:w="110"/>
            </w:tcMar>
          </w:tcPr>
          <w:p>
            <w:pPr>
              <w:spacing w:line="312"/>
              <w:jc w:val="left"/>
            </w:pPr>
            <w:r>
              <w:rPr>
                <w:rFonts w:ascii="Times New Roman" w:eastAsia="SimSun" w:hAnsi="Times New Roman"/>
                <w:b w:val="false"/>
                <w:bCs w:val="false"/>
                <w:color w:val="000000"/>
                <w:sz w:val="21"/>
                <w:szCs w:val="21"/>
              </w:rPr>
              <w:t xml:space="preserve">205-805 total; 60-90 per section</w:t>
            </w:r>
          </w:p>
        </w:tc>
        <w:tc>
          <w:tcPr>
            <w:tcW w:type="pct" w:w="8%"/>
            <w:shd w:fill="FFFFFF" w:val="clear"/>
            <w:tcMar>
              <w:top w:type="dxa" w:w="70"/>
              <w:left w:type="dxa" w:w="110"/>
              <w:bottom w:type="dxa" w:w="70"/>
              <w:right w:type="dxa" w:w="110"/>
            </w:tcMar>
          </w:tcPr>
          <w:p>
            <w:pPr>
              <w:spacing w:line="312"/>
              <w:jc w:val="left"/>
            </w:pPr>
            <w:r>
              <w:rPr>
                <w:rFonts w:ascii="Times New Roman" w:eastAsia="SimSun" w:hAnsi="Times New Roman"/>
                <w:b w:val="false"/>
                <w:bCs w:val="false"/>
                <w:color w:val="000000"/>
                <w:sz w:val="21"/>
                <w:szCs w:val="21"/>
              </w:rPr>
              <w:t xml:space="preserve">5 years</w:t>
            </w:r>
          </w:p>
        </w:tc>
        <w:tc>
          <w:tcPr>
            <w:tcW w:type="pct" w:w="12%"/>
            <w:shd w:fill="FFFFFF" w:val="clear"/>
            <w:tcMar>
              <w:top w:type="dxa" w:w="70"/>
              <w:left w:type="dxa" w:w="110"/>
              <w:bottom w:type="dxa" w:w="70"/>
              <w:right w:type="dxa" w:w="110"/>
            </w:tcMar>
          </w:tcPr>
          <w:p>
            <w:pPr>
              <w:spacing w:line="312"/>
              <w:jc w:val="left"/>
            </w:pPr>
            <w:r>
              <w:rPr>
                <w:rFonts w:ascii="Times New Roman" w:eastAsia="SimSun" w:hAnsi="Times New Roman"/>
                <w:b w:val="false"/>
                <w:bCs w:val="false"/>
                <w:color w:val="000000"/>
                <w:sz w:val="21"/>
                <w:szCs w:val="21"/>
              </w:rPr>
              <w:t xml:space="preserve">US$275 center, US$300 online</w:t>
            </w:r>
          </w:p>
        </w:tc>
      </w:tr>
      <w:tr>
        <w:trPr>
          <w:cantSplit/>
        </w:trPr>
        <w:tc>
          <w:tcPr>
            <w:tcW w:type="pct" w:w="13%"/>
            <w:shd w:fill="EDF3F8" w:val="clear"/>
            <w:tcMar>
              <w:top w:type="dxa" w:w="70"/>
              <w:left w:type="dxa" w:w="110"/>
              <w:bottom w:type="dxa" w:w="70"/>
              <w:right w:type="dxa" w:w="110"/>
            </w:tcMar>
          </w:tcPr>
          <w:p>
            <w:pPr>
              <w:spacing w:line="312"/>
              <w:jc w:val="left"/>
            </w:pPr>
            <w:r>
              <w:rPr>
                <w:rFonts w:ascii="Times New Roman" w:eastAsia="SimSun" w:hAnsi="Times New Roman"/>
                <w:b w:val="false"/>
                <w:bCs w:val="false"/>
                <w:color w:val="000000"/>
                <w:sz w:val="21"/>
                <w:szCs w:val="21"/>
              </w:rPr>
              <w:t xml:space="preserve">TOEFL iBT</w:t>
            </w:r>
          </w:p>
        </w:tc>
        <w:tc>
          <w:tcPr>
            <w:tcW w:type="pct" w:w="22%"/>
            <w:shd w:fill="EDF3F8" w:val="clear"/>
            <w:tcMar>
              <w:top w:type="dxa" w:w="70"/>
              <w:left w:type="dxa" w:w="110"/>
              <w:bottom w:type="dxa" w:w="70"/>
              <w:right w:type="dxa" w:w="110"/>
            </w:tcMar>
          </w:tcPr>
          <w:p>
            <w:pPr>
              <w:spacing w:line="312"/>
              <w:jc w:val="left"/>
            </w:pPr>
            <w:r>
              <w:rPr>
                <w:rFonts w:ascii="Times New Roman" w:eastAsia="SimSun" w:hAnsi="Times New Roman"/>
                <w:b w:val="false"/>
                <w:bCs w:val="false"/>
                <w:color w:val="000000"/>
                <w:sz w:val="21"/>
                <w:szCs w:val="21"/>
              </w:rPr>
              <w:t xml:space="preserve">Academic English: reading, listening, speaking, writing</w:t>
            </w:r>
          </w:p>
        </w:tc>
        <w:tc>
          <w:tcPr>
            <w:tcW w:type="pct" w:w="15%"/>
            <w:shd w:fill="EDF3F8" w:val="clear"/>
            <w:tcMar>
              <w:top w:type="dxa" w:w="70"/>
              <w:left w:type="dxa" w:w="110"/>
              <w:bottom w:type="dxa" w:w="70"/>
              <w:right w:type="dxa" w:w="110"/>
            </w:tcMar>
          </w:tcPr>
          <w:p>
            <w:pPr>
              <w:spacing w:line="312"/>
              <w:jc w:val="left"/>
            </w:pPr>
            <w:r>
              <w:rPr>
                <w:rFonts w:ascii="Times New Roman" w:eastAsia="SimSun" w:hAnsi="Times New Roman"/>
                <w:b w:val="false"/>
                <w:bCs w:val="false"/>
                <w:color w:val="000000"/>
                <w:sz w:val="21"/>
                <w:szCs w:val="21"/>
              </w:rPr>
              <w:t xml:space="preserve">ETS (USA)</w:t>
            </w:r>
          </w:p>
        </w:tc>
        <w:tc>
          <w:tcPr>
            <w:tcW w:type="pct" w:w="14%"/>
            <w:shd w:fill="EDF3F8" w:val="clear"/>
            <w:tcMar>
              <w:top w:type="dxa" w:w="70"/>
              <w:left w:type="dxa" w:w="110"/>
              <w:bottom w:type="dxa" w:w="70"/>
              <w:right w:type="dxa" w:w="110"/>
            </w:tcMar>
          </w:tcPr>
          <w:p>
            <w:pPr>
              <w:spacing w:line="312"/>
              <w:jc w:val="left"/>
            </w:pPr>
            <w:r>
              <w:rPr>
                <w:rFonts w:ascii="Times New Roman" w:eastAsia="SimSun" w:hAnsi="Times New Roman"/>
                <w:b w:val="false"/>
                <w:bCs w:val="false"/>
                <w:color w:val="000000"/>
                <w:sz w:val="21"/>
                <w:szCs w:val="21"/>
              </w:rPr>
              <w:t xml:space="preserve">Under 2 hours</w:t>
            </w:r>
          </w:p>
        </w:tc>
        <w:tc>
          <w:tcPr>
            <w:tcW w:type="pct" w:w="16%"/>
            <w:shd w:fill="EDF3F8" w:val="clear"/>
            <w:tcMar>
              <w:top w:type="dxa" w:w="70"/>
              <w:left w:type="dxa" w:w="110"/>
              <w:bottom w:type="dxa" w:w="70"/>
              <w:right w:type="dxa" w:w="110"/>
            </w:tcMar>
          </w:tcPr>
          <w:p>
            <w:pPr>
              <w:spacing w:line="312"/>
              <w:jc w:val="left"/>
            </w:pPr>
            <w:r>
              <w:rPr>
                <w:rFonts w:ascii="Times New Roman" w:eastAsia="SimSun" w:hAnsi="Times New Roman"/>
                <w:b w:val="false"/>
                <w:bCs w:val="false"/>
                <w:color w:val="000000"/>
                <w:sz w:val="21"/>
                <w:szCs w:val="21"/>
              </w:rPr>
              <w:t xml:space="preserve">0-120 total; 0-30 per skill</w:t>
            </w:r>
          </w:p>
        </w:tc>
        <w:tc>
          <w:tcPr>
            <w:tcW w:type="pct" w:w="8%"/>
            <w:shd w:fill="EDF3F8" w:val="clear"/>
            <w:tcMar>
              <w:top w:type="dxa" w:w="70"/>
              <w:left w:type="dxa" w:w="110"/>
              <w:bottom w:type="dxa" w:w="70"/>
              <w:right w:type="dxa" w:w="110"/>
            </w:tcMar>
          </w:tcPr>
          <w:p>
            <w:pPr>
              <w:spacing w:line="312"/>
              <w:jc w:val="left"/>
            </w:pPr>
            <w:r>
              <w:rPr>
                <w:rFonts w:ascii="Times New Roman" w:eastAsia="SimSun" w:hAnsi="Times New Roman"/>
                <w:b w:val="false"/>
                <w:bCs w:val="false"/>
                <w:color w:val="000000"/>
                <w:sz w:val="21"/>
                <w:szCs w:val="21"/>
              </w:rPr>
              <w:t xml:space="preserve">2 years</w:t>
            </w:r>
          </w:p>
        </w:tc>
        <w:tc>
          <w:tcPr>
            <w:tcW w:type="pct" w:w="12%"/>
            <w:shd w:fill="EDF3F8" w:val="clear"/>
            <w:tcMar>
              <w:top w:type="dxa" w:w="70"/>
              <w:left w:type="dxa" w:w="110"/>
              <w:bottom w:type="dxa" w:w="70"/>
              <w:right w:type="dxa" w:w="110"/>
            </w:tcMar>
          </w:tcPr>
          <w:p>
            <w:pPr>
              <w:spacing w:line="312"/>
              <w:jc w:val="left"/>
            </w:pPr>
            <w:r>
              <w:rPr>
                <w:rFonts w:ascii="Times New Roman" w:eastAsia="SimSun" w:hAnsi="Times New Roman"/>
                <w:b w:val="false"/>
                <w:bCs w:val="false"/>
                <w:color w:val="000000"/>
                <w:sz w:val="21"/>
                <w:szCs w:val="21"/>
              </w:rPr>
              <w:t xml:space="preserve">About US$195-270, varies by country</w:t>
            </w:r>
          </w:p>
        </w:tc>
      </w:tr>
      <w:tr>
        <w:trPr>
          <w:cantSplit/>
        </w:trPr>
        <w:tc>
          <w:tcPr>
            <w:tcW w:type="pct" w:w="13%"/>
            <w:shd w:fill="FFFFFF" w:val="clear"/>
            <w:tcMar>
              <w:top w:type="dxa" w:w="70"/>
              <w:left w:type="dxa" w:w="110"/>
              <w:bottom w:type="dxa" w:w="70"/>
              <w:right w:type="dxa" w:w="110"/>
            </w:tcMar>
          </w:tcPr>
          <w:p>
            <w:pPr>
              <w:spacing w:line="312"/>
              <w:jc w:val="left"/>
            </w:pPr>
            <w:r>
              <w:rPr>
                <w:rFonts w:ascii="Times New Roman" w:eastAsia="SimSun" w:hAnsi="Times New Roman"/>
                <w:b w:val="false"/>
                <w:bCs w:val="false"/>
                <w:color w:val="000000"/>
                <w:sz w:val="21"/>
                <w:szCs w:val="21"/>
              </w:rPr>
              <w:t xml:space="preserve">IELTS Academic</w:t>
            </w:r>
          </w:p>
        </w:tc>
        <w:tc>
          <w:tcPr>
            <w:tcW w:type="pct" w:w="22%"/>
            <w:shd w:fill="FFFFFF" w:val="clear"/>
            <w:tcMar>
              <w:top w:type="dxa" w:w="70"/>
              <w:left w:type="dxa" w:w="110"/>
              <w:bottom w:type="dxa" w:w="70"/>
              <w:right w:type="dxa" w:w="110"/>
            </w:tcMar>
          </w:tcPr>
          <w:p>
            <w:pPr>
              <w:spacing w:line="312"/>
              <w:jc w:val="left"/>
            </w:pPr>
            <w:r>
              <w:rPr>
                <w:rFonts w:ascii="Times New Roman" w:eastAsia="SimSun" w:hAnsi="Times New Roman"/>
                <w:b w:val="false"/>
                <w:bCs w:val="false"/>
                <w:color w:val="000000"/>
                <w:sz w:val="21"/>
                <w:szCs w:val="21"/>
              </w:rPr>
              <w:t xml:space="preserve">General English: listening, reading, writing, speaking</w:t>
            </w:r>
          </w:p>
        </w:tc>
        <w:tc>
          <w:tcPr>
            <w:tcW w:type="pct" w:w="15%"/>
            <w:shd w:fill="FFFFFF" w:val="clear"/>
            <w:tcMar>
              <w:top w:type="dxa" w:w="70"/>
              <w:left w:type="dxa" w:w="110"/>
              <w:bottom w:type="dxa" w:w="70"/>
              <w:right w:type="dxa" w:w="110"/>
            </w:tcMar>
          </w:tcPr>
          <w:p>
            <w:pPr>
              <w:spacing w:line="312"/>
              <w:jc w:val="left"/>
            </w:pPr>
            <w:r>
              <w:rPr>
                <w:rFonts w:ascii="Times New Roman" w:eastAsia="SimSun" w:hAnsi="Times New Roman"/>
                <w:b w:val="false"/>
                <w:bCs w:val="false"/>
                <w:color w:val="000000"/>
                <w:sz w:val="21"/>
                <w:szCs w:val="21"/>
              </w:rPr>
              <w:t xml:space="preserve">British Council, IDP, Cambridge</w:t>
            </w:r>
          </w:p>
        </w:tc>
        <w:tc>
          <w:tcPr>
            <w:tcW w:type="pct" w:w="14%"/>
            <w:shd w:fill="FFFFFF" w:val="clear"/>
            <w:tcMar>
              <w:top w:type="dxa" w:w="70"/>
              <w:left w:type="dxa" w:w="110"/>
              <w:bottom w:type="dxa" w:w="70"/>
              <w:right w:type="dxa" w:w="110"/>
            </w:tcMar>
          </w:tcPr>
          <w:p>
            <w:pPr>
              <w:spacing w:line="312"/>
              <w:jc w:val="left"/>
            </w:pPr>
            <w:r>
              <w:rPr>
                <w:rFonts w:ascii="Times New Roman" w:eastAsia="SimSun" w:hAnsi="Times New Roman"/>
                <w:b w:val="false"/>
                <w:bCs w:val="false"/>
                <w:color w:val="000000"/>
                <w:sz w:val="21"/>
                <w:szCs w:val="21"/>
              </w:rPr>
              <w:t xml:space="preserve">About 2h45 plus separate speaking</w:t>
            </w:r>
          </w:p>
        </w:tc>
        <w:tc>
          <w:tcPr>
            <w:tcW w:type="pct" w:w="16%"/>
            <w:shd w:fill="FFFFFF" w:val="clear"/>
            <w:tcMar>
              <w:top w:type="dxa" w:w="70"/>
              <w:left w:type="dxa" w:w="110"/>
              <w:bottom w:type="dxa" w:w="70"/>
              <w:right w:type="dxa" w:w="110"/>
            </w:tcMar>
          </w:tcPr>
          <w:p>
            <w:pPr>
              <w:spacing w:line="312"/>
              <w:jc w:val="left"/>
            </w:pPr>
            <w:r>
              <w:rPr>
                <w:rFonts w:ascii="Times New Roman" w:eastAsia="SimSun" w:hAnsi="Times New Roman"/>
                <w:b w:val="false"/>
                <w:bCs w:val="false"/>
                <w:color w:val="000000"/>
                <w:sz w:val="21"/>
                <w:szCs w:val="21"/>
              </w:rPr>
              <w:t xml:space="preserve">Bands 0-9 in 0.5 steps</w:t>
            </w:r>
          </w:p>
        </w:tc>
        <w:tc>
          <w:tcPr>
            <w:tcW w:type="pct" w:w="8%"/>
            <w:shd w:fill="FFFFFF" w:val="clear"/>
            <w:tcMar>
              <w:top w:type="dxa" w:w="70"/>
              <w:left w:type="dxa" w:w="110"/>
              <w:bottom w:type="dxa" w:w="70"/>
              <w:right w:type="dxa" w:w="110"/>
            </w:tcMar>
          </w:tcPr>
          <w:p>
            <w:pPr>
              <w:spacing w:line="312"/>
              <w:jc w:val="left"/>
            </w:pPr>
            <w:r>
              <w:rPr>
                <w:rFonts w:ascii="Times New Roman" w:eastAsia="SimSun" w:hAnsi="Times New Roman"/>
                <w:b w:val="false"/>
                <w:bCs w:val="false"/>
                <w:color w:val="000000"/>
                <w:sz w:val="21"/>
                <w:szCs w:val="21"/>
              </w:rPr>
              <w:t xml:space="preserve">2 years</w:t>
            </w:r>
          </w:p>
        </w:tc>
        <w:tc>
          <w:tcPr>
            <w:tcW w:type="pct" w:w="12%"/>
            <w:shd w:fill="FFFFFF" w:val="clear"/>
            <w:tcMar>
              <w:top w:type="dxa" w:w="70"/>
              <w:left w:type="dxa" w:w="110"/>
              <w:bottom w:type="dxa" w:w="70"/>
              <w:right w:type="dxa" w:w="110"/>
            </w:tcMar>
          </w:tcPr>
          <w:p>
            <w:pPr>
              <w:spacing w:line="312"/>
              <w:jc w:val="left"/>
            </w:pPr>
            <w:r>
              <w:rPr>
                <w:rFonts w:ascii="Times New Roman" w:eastAsia="SimSun" w:hAnsi="Times New Roman"/>
                <w:b w:val="false"/>
                <w:bCs w:val="false"/>
                <w:color w:val="000000"/>
                <w:sz w:val="21"/>
                <w:szCs w:val="21"/>
              </w:rPr>
              <w:t xml:space="preserve">About US$215-340 equivalent, varies widely</w:t>
            </w:r>
          </w:p>
        </w:tc>
      </w:tr>
    </w:tbl>
    <w:p>
      <w:pPr>
        <w:keepNext w:val="false"/>
        <w:spacing w:after="200" w:line="312"/>
        <w:jc w:val="both"/>
      </w:pPr>
      <w:r>
        <w:rPr>
          <w:rFonts w:ascii="Times New Roman" w:eastAsia="SimSun" w:hAnsi="Times New Roman"/>
          <w:b w:val="false"/>
          <w:bCs w:val="false"/>
          <w:color w:val="000000"/>
          <w:sz w:val="24"/>
          <w:szCs w:val="24"/>
        </w:rPr>
        <w:t xml:space="preserve">Two practical observations follow directly from this table. First, because aptitude scores last five years and English scores only two, it is usually wise to take the GRE or GMAT early and schedule the TOEFL or IELTS closer to the application window, so that nothing expires before admission. Second, the two families serve as independent filters in scholarship evaluation: selection committees check the English certificate first (as a pass or fail gate) and then compare aptitude scores between candidates who passed that gate.</w:t>
      </w:r>
    </w:p>
    <w:p>
      <w:pPr>
        <w:pStyle w:val="Heading1"/>
        <w:keepNext/>
        <w:spacing w:after="160" w:before="360" w:line="380" w:lineRule="atLeast"/>
      </w:pPr>
      <w:bookmarkStart w:id="100004" w:name="_Toc100004"/>
      <w:r>
        <w:rPr>
          <w:rFonts w:ascii="Times New Roman" w:eastAsia="SimHei" w:hAnsi="Times New Roman"/>
          <w:b/>
          <w:bCs/>
          <w:color w:val="1A5276"/>
          <w:sz w:val="32"/>
          <w:szCs w:val="32"/>
        </w:rPr>
        <w:t xml:space="preserve">2. Understanding Each Examination</w:t>
      </w:r>
      <w:bookmarkEnd w:id="100004"/>
    </w:p>
    <w:p>
      <w:pPr>
        <w:pStyle w:val="Heading2"/>
        <w:keepNext/>
        <w:spacing w:after="120" w:before="260" w:line="340" w:lineRule="atLeast"/>
      </w:pPr>
      <w:bookmarkStart w:id="100005" w:name="_Toc100005"/>
      <w:r>
        <w:rPr>
          <w:rFonts w:ascii="Times New Roman" w:eastAsia="SimHei" w:hAnsi="Times New Roman"/>
          <w:b/>
          <w:bCs/>
          <w:color w:val="1A5276"/>
          <w:sz w:val="28"/>
          <w:szCs w:val="28"/>
        </w:rPr>
        <w:t xml:space="preserve">2.1 The GRE (Graduate Record Examinations)</w:t>
      </w:r>
      <w:bookmarkEnd w:id="100005"/>
    </w:p>
    <w:p>
      <w:pPr>
        <w:keepNext w:val="false"/>
        <w:spacing w:after="140" w:line="312"/>
        <w:jc w:val="both"/>
      </w:pPr>
      <w:r>
        <w:rPr>
          <w:rFonts w:ascii="Times New Roman" w:eastAsia="SimSun" w:hAnsi="Times New Roman"/>
          <w:b w:val="false"/>
          <w:bCs w:val="false"/>
          <w:color w:val="000000"/>
          <w:sz w:val="24"/>
          <w:szCs w:val="24"/>
        </w:rPr>
        <w:t xml:space="preserve">The GRE General Test is the broadest graduate admissions test in the world and is accepted by thousands of master's and doctoral programs in the United States, Canada, Europe and beyond. Since September 2023 the test has been delivered in a shortened format lasting just under two hours, with no unscored experimental section. It contains three measured components. </w:t>
      </w:r>
      <w:r>
        <w:rPr>
          <w:rFonts w:ascii="Times New Roman" w:eastAsia="SimSun" w:hAnsi="Times New Roman"/>
          <w:b/>
          <w:bCs/>
          <w:color w:val="000000"/>
          <w:sz w:val="24"/>
          <w:szCs w:val="24"/>
        </w:rPr>
        <w:t xml:space="preserve">Analytical Writing</w:t>
      </w:r>
      <w:r>
        <w:rPr>
          <w:rFonts w:ascii="Times New Roman" w:eastAsia="SimSun" w:hAnsi="Times New Roman"/>
          <w:b w:val="false"/>
          <w:bCs w:val="false"/>
          <w:color w:val="000000"/>
          <w:sz w:val="24"/>
          <w:szCs w:val="24"/>
        </w:rPr>
        <w:t xml:space="preserve"> consists of a single task, Analyze an Issue, completed in 30 minutes and scored from 0 to 6 in half-point increments. </w:t>
      </w:r>
      <w:r>
        <w:rPr>
          <w:rFonts w:ascii="Times New Roman" w:eastAsia="SimSun" w:hAnsi="Times New Roman"/>
          <w:b/>
          <w:bCs/>
          <w:color w:val="000000"/>
          <w:sz w:val="24"/>
          <w:szCs w:val="24"/>
        </w:rPr>
        <w:t xml:space="preserve">Verbal Reasoning</w:t>
      </w:r>
      <w:r>
        <w:rPr>
          <w:rFonts w:ascii="Times New Roman" w:eastAsia="SimSun" w:hAnsi="Times New Roman"/>
          <w:b w:val="false"/>
          <w:bCs w:val="false"/>
          <w:color w:val="000000"/>
          <w:sz w:val="24"/>
          <w:szCs w:val="24"/>
        </w:rPr>
        <w:t xml:space="preserve"> is delivered in two sections containing 12 and 15 questions respectively, with 18 and 23 minutes allowed, and tests reading comprehension, text completion and sentence equivalence; it is scored from 130 to 170. </w:t>
      </w:r>
      <w:r>
        <w:rPr>
          <w:rFonts w:ascii="Times New Roman" w:eastAsia="SimSun" w:hAnsi="Times New Roman"/>
          <w:b/>
          <w:bCs/>
          <w:color w:val="000000"/>
          <w:sz w:val="24"/>
          <w:szCs w:val="24"/>
        </w:rPr>
        <w:t xml:space="preserve">Quantitative Reasoning</w:t>
      </w:r>
      <w:r>
        <w:rPr>
          <w:rFonts w:ascii="Times New Roman" w:eastAsia="SimSun" w:hAnsi="Times New Roman"/>
          <w:b w:val="false"/>
          <w:bCs w:val="false"/>
          <w:color w:val="000000"/>
          <w:sz w:val="24"/>
          <w:szCs w:val="24"/>
        </w:rPr>
        <w:t xml:space="preserve"> is also delivered in two sections of 12 and 15 questions, with 21 and 26 minutes allowed, covering arithmetic, algebra, geometry and data analysis, and is scored from 130 to 170.</w:t>
      </w:r>
    </w:p>
    <w:p>
      <w:pPr>
        <w:keepNext w:val="false"/>
        <w:spacing w:after="140" w:line="312"/>
        <w:jc w:val="both"/>
      </w:pPr>
      <w:r>
        <w:rPr>
          <w:rFonts w:ascii="Times New Roman" w:eastAsia="SimSun" w:hAnsi="Times New Roman"/>
          <w:b w:val="false"/>
          <w:bCs w:val="false"/>
          <w:color w:val="000000"/>
          <w:sz w:val="24"/>
          <w:szCs w:val="24"/>
        </w:rPr>
        <w:t xml:space="preserve">The test is section-level adaptive, meaning the difficulty of your second Verbal section and second Quantitative section depends on how well you performed on the first. There is no calculator for Verbal and an on-screen calculator is provided for Quantitative questions. Two features matter greatly for scholarship applicants. The first is </w:t>
      </w:r>
      <w:r>
        <w:rPr>
          <w:rFonts w:ascii="Times New Roman" w:eastAsia="SimSun" w:hAnsi="Times New Roman"/>
          <w:b/>
          <w:bCs/>
          <w:color w:val="000000"/>
          <w:sz w:val="24"/>
          <w:szCs w:val="24"/>
        </w:rPr>
        <w:t xml:space="preserve">ScoreSelect</w:t>
      </w:r>
      <w:r>
        <w:rPr>
          <w:rFonts w:ascii="Times New Roman" w:eastAsia="SimSun" w:hAnsi="Times New Roman"/>
          <w:b w:val="false"/>
          <w:bCs w:val="false"/>
          <w:color w:val="000000"/>
          <w:sz w:val="24"/>
          <w:szCs w:val="24"/>
        </w:rPr>
        <w:t xml:space="preserve">, which lets you choose, after each test administration, which scores ETS sends to institutions, so a weaker earlier attempt can be withheld. The second is the free score reporting: on test day you may designate four institutions to receive scores at no charge. A GRE Subject Test in mathematics, physics or psychology still exists at US$199, but very few programs require it today, so the General Test is what almost every applicant needs.</w:t>
      </w:r>
    </w:p>
    <w:p>
      <w:pPr>
        <w:pStyle w:val="Heading2"/>
        <w:keepNext/>
        <w:spacing w:after="120" w:before="260" w:line="340" w:lineRule="atLeast"/>
      </w:pPr>
      <w:bookmarkStart w:id="100006" w:name="_Toc100006"/>
      <w:r>
        <w:rPr>
          <w:rFonts w:ascii="Times New Roman" w:eastAsia="SimHei" w:hAnsi="Times New Roman"/>
          <w:b/>
          <w:bCs/>
          <w:color w:val="1A5276"/>
          <w:sz w:val="28"/>
          <w:szCs w:val="28"/>
        </w:rPr>
        <w:t xml:space="preserve">2.2 The GMAT (Graduate Management Admission Test)</w:t>
      </w:r>
      <w:bookmarkEnd w:id="100006"/>
    </w:p>
    <w:p>
      <w:pPr>
        <w:keepNext w:val="false"/>
        <w:spacing w:after="140" w:line="312"/>
        <w:jc w:val="both"/>
      </w:pPr>
      <w:r>
        <w:rPr>
          <w:rFonts w:ascii="Times New Roman" w:eastAsia="SimSun" w:hAnsi="Times New Roman"/>
          <w:b w:val="false"/>
          <w:bCs w:val="false"/>
          <w:color w:val="000000"/>
          <w:sz w:val="24"/>
          <w:szCs w:val="24"/>
        </w:rPr>
        <w:t xml:space="preserve">The GMAT Focus Edition, introduced in November 2023 and now the only version offered, is the standard admissions test for MBA programs and specialized business master's degrees such as finance, management and marketing. It runs 2 hours and 15 minutes across three equally weighted sections, each 45 minutes long. </w:t>
      </w:r>
      <w:r>
        <w:rPr>
          <w:rFonts w:ascii="Times New Roman" w:eastAsia="SimSun" w:hAnsi="Times New Roman"/>
          <w:b/>
          <w:bCs/>
          <w:color w:val="000000"/>
          <w:sz w:val="24"/>
          <w:szCs w:val="24"/>
        </w:rPr>
        <w:t xml:space="preserve">Quantitative Reasoning</w:t>
      </w:r>
      <w:r>
        <w:rPr>
          <w:rFonts w:ascii="Times New Roman" w:eastAsia="SimSun" w:hAnsi="Times New Roman"/>
          <w:b w:val="false"/>
          <w:bCs w:val="false"/>
          <w:color w:val="000000"/>
          <w:sz w:val="24"/>
          <w:szCs w:val="24"/>
        </w:rPr>
        <w:t xml:space="preserve"> (21 questions) focuses on algebra and applied problem solving; the separate geometry component was removed in the Focus Edition. </w:t>
      </w:r>
      <w:r>
        <w:rPr>
          <w:rFonts w:ascii="Times New Roman" w:eastAsia="SimSun" w:hAnsi="Times New Roman"/>
          <w:b/>
          <w:bCs/>
          <w:color w:val="000000"/>
          <w:sz w:val="24"/>
          <w:szCs w:val="24"/>
        </w:rPr>
        <w:t xml:space="preserve">Verbal Reasoning</w:t>
      </w:r>
      <w:r>
        <w:rPr>
          <w:rFonts w:ascii="Times New Roman" w:eastAsia="SimSun" w:hAnsi="Times New Roman"/>
          <w:b w:val="false"/>
          <w:bCs w:val="false"/>
          <w:color w:val="000000"/>
          <w:sz w:val="24"/>
          <w:szCs w:val="24"/>
        </w:rPr>
        <w:t xml:space="preserve"> (23 questions) tests reading comprehension and critical reasoning, with sentence correction removed. </w:t>
      </w:r>
      <w:r>
        <w:rPr>
          <w:rFonts w:ascii="Times New Roman" w:eastAsia="SimSun" w:hAnsi="Times New Roman"/>
          <w:b/>
          <w:bCs/>
          <w:color w:val="000000"/>
          <w:sz w:val="24"/>
          <w:szCs w:val="24"/>
        </w:rPr>
        <w:t xml:space="preserve">Data Insights</w:t>
      </w:r>
      <w:r>
        <w:rPr>
          <w:rFonts w:ascii="Times New Roman" w:eastAsia="SimSun" w:hAnsi="Times New Roman"/>
          <w:b w:val="false"/>
          <w:bCs w:val="false"/>
          <w:color w:val="000000"/>
          <w:sz w:val="24"/>
          <w:szCs w:val="24"/>
        </w:rPr>
        <w:t xml:space="preserve"> (20 questions) is the newest and most distinctive section, combining data sufficiency, table interpretation, graph analysis and multi-source reasoning, and it permits use of an on-screen calculator. You may choose the order of the sections and take one optional 10-minute break, and within each section you can bookmark and change up to three answers before submitting.</w:t>
      </w:r>
    </w:p>
    <w:p>
      <w:pPr>
        <w:keepNext w:val="false"/>
        <w:spacing w:after="140" w:line="312"/>
        <w:jc w:val="both"/>
      </w:pPr>
      <w:r>
        <w:rPr>
          <w:rFonts w:ascii="Times New Roman" w:eastAsia="SimSun" w:hAnsi="Times New Roman"/>
          <w:b w:val="false"/>
          <w:bCs w:val="false"/>
          <w:color w:val="000000"/>
          <w:sz w:val="24"/>
          <w:szCs w:val="24"/>
        </w:rPr>
        <w:t xml:space="preserve">The total score ranges from </w:t>
      </w:r>
      <w:r>
        <w:rPr>
          <w:rFonts w:ascii="Times New Roman" w:eastAsia="SimSun" w:hAnsi="Times New Roman"/>
          <w:b/>
          <w:bCs/>
          <w:color w:val="000000"/>
          <w:sz w:val="24"/>
          <w:szCs w:val="24"/>
        </w:rPr>
        <w:t xml:space="preserve">205 to 805</w:t>
      </w:r>
      <w:r>
        <w:rPr>
          <w:rFonts w:ascii="Times New Roman" w:eastAsia="SimSun" w:hAnsi="Times New Roman"/>
          <w:b w:val="false"/>
          <w:bCs w:val="false"/>
          <w:color w:val="000000"/>
          <w:sz w:val="24"/>
          <w:szCs w:val="24"/>
        </w:rPr>
        <w:t xml:space="preserve"> in ten-point intervals, with each section reported from 60 to 90; the essay (Analytical Writing Assessment) no longer exists on the Focus Edition. Because the scale changed, admissions offices publish conversion guidance: a Focus Edition score of about </w:t>
      </w:r>
      <w:r>
        <w:rPr>
          <w:rFonts w:ascii="Times New Roman" w:eastAsia="SimSun" w:hAnsi="Times New Roman"/>
          <w:b/>
          <w:bCs/>
          <w:color w:val="000000"/>
          <w:sz w:val="24"/>
          <w:szCs w:val="24"/>
        </w:rPr>
        <w:t xml:space="preserve">645</w:t>
      </w:r>
      <w:r>
        <w:rPr>
          <w:rFonts w:ascii="Times New Roman" w:eastAsia="SimSun" w:hAnsi="Times New Roman"/>
          <w:b w:val="false"/>
          <w:bCs w:val="false"/>
          <w:color w:val="000000"/>
          <w:sz w:val="24"/>
          <w:szCs w:val="24"/>
        </w:rPr>
        <w:t xml:space="preserve"> is positioned as equivalent to the old 700, and about </w:t>
      </w:r>
      <w:r>
        <w:rPr>
          <w:rFonts w:ascii="Times New Roman" w:eastAsia="SimSun" w:hAnsi="Times New Roman"/>
          <w:b/>
          <w:bCs/>
          <w:color w:val="000000"/>
          <w:sz w:val="24"/>
          <w:szCs w:val="24"/>
        </w:rPr>
        <w:t xml:space="preserve">705</w:t>
      </w:r>
      <w:r>
        <w:rPr>
          <w:rFonts w:ascii="Times New Roman" w:eastAsia="SimSun" w:hAnsi="Times New Roman"/>
          <w:b w:val="false"/>
          <w:bCs w:val="false"/>
          <w:color w:val="000000"/>
          <w:sz w:val="24"/>
          <w:szCs w:val="24"/>
        </w:rPr>
        <w:t xml:space="preserve"> as equivalent to the old 750. The GMAT costs US$275 at a test center or US$300 online in most countries, scores remain valid for five years, and you may send five free score reports within 48 hours of viewing your official score.</w:t>
      </w:r>
    </w:p>
    <w:p>
      <w:pPr>
        <w:pStyle w:val="Heading2"/>
        <w:keepNext/>
        <w:spacing w:after="120" w:before="260" w:line="340" w:lineRule="atLeast"/>
      </w:pPr>
      <w:bookmarkStart w:id="100007" w:name="_Toc100007"/>
      <w:r>
        <w:rPr>
          <w:rFonts w:ascii="Times New Roman" w:eastAsia="SimHei" w:hAnsi="Times New Roman"/>
          <w:b/>
          <w:bCs/>
          <w:color w:val="1A5276"/>
          <w:sz w:val="28"/>
          <w:szCs w:val="28"/>
        </w:rPr>
        <w:t xml:space="preserve">2.3 The TOEFL iBT (Test of English as a Foreign Language, Internet-Based Test)</w:t>
      </w:r>
      <w:bookmarkEnd w:id="100007"/>
    </w:p>
    <w:p>
      <w:pPr>
        <w:keepNext w:val="false"/>
        <w:spacing w:after="140" w:line="312"/>
        <w:jc w:val="both"/>
      </w:pPr>
      <w:r>
        <w:rPr>
          <w:rFonts w:ascii="Times New Roman" w:eastAsia="SimSun" w:hAnsi="Times New Roman"/>
          <w:b w:val="false"/>
          <w:bCs w:val="false"/>
          <w:color w:val="000000"/>
          <w:sz w:val="24"/>
          <w:szCs w:val="24"/>
        </w:rPr>
        <w:t xml:space="preserve">The TOEFL iBT is ETS's academic English test, accepted by more than 12,000 institutions, with its strongest presence in the United States and Canada. Since the July 2023 revision it lasts under two hours and contains four sections. </w:t>
      </w:r>
      <w:r>
        <w:rPr>
          <w:rFonts w:ascii="Times New Roman" w:eastAsia="SimSun" w:hAnsi="Times New Roman"/>
          <w:b/>
          <w:bCs/>
          <w:color w:val="000000"/>
          <w:sz w:val="24"/>
          <w:szCs w:val="24"/>
        </w:rPr>
        <w:t xml:space="preserve">Reading</w:t>
      </w:r>
      <w:r>
        <w:rPr>
          <w:rFonts w:ascii="Times New Roman" w:eastAsia="SimSun" w:hAnsi="Times New Roman"/>
          <w:b w:val="false"/>
          <w:bCs w:val="false"/>
          <w:color w:val="000000"/>
          <w:sz w:val="24"/>
          <w:szCs w:val="24"/>
        </w:rPr>
        <w:t xml:space="preserve"> (20 questions, 35 minutes) presents two academic passages. </w:t>
      </w:r>
      <w:r>
        <w:rPr>
          <w:rFonts w:ascii="Times New Roman" w:eastAsia="SimSun" w:hAnsi="Times New Roman"/>
          <w:b/>
          <w:bCs/>
          <w:color w:val="000000"/>
          <w:sz w:val="24"/>
          <w:szCs w:val="24"/>
        </w:rPr>
        <w:t xml:space="preserve">Listening</w:t>
      </w:r>
      <w:r>
        <w:rPr>
          <w:rFonts w:ascii="Times New Roman" w:eastAsia="SimSun" w:hAnsi="Times New Roman"/>
          <w:b w:val="false"/>
          <w:bCs w:val="false"/>
          <w:color w:val="000000"/>
          <w:sz w:val="24"/>
          <w:szCs w:val="24"/>
        </w:rPr>
        <w:t xml:space="preserve"> (28 questions, 36 minutes) presents lectures and campus conversations. </w:t>
      </w:r>
      <w:r>
        <w:rPr>
          <w:rFonts w:ascii="Times New Roman" w:eastAsia="SimSun" w:hAnsi="Times New Roman"/>
          <w:b/>
          <w:bCs/>
          <w:color w:val="000000"/>
          <w:sz w:val="24"/>
          <w:szCs w:val="24"/>
        </w:rPr>
        <w:t xml:space="preserve">Speaking</w:t>
      </w:r>
      <w:r>
        <w:rPr>
          <w:rFonts w:ascii="Times New Roman" w:eastAsia="SimSun" w:hAnsi="Times New Roman"/>
          <w:b w:val="false"/>
          <w:bCs w:val="false"/>
          <w:color w:val="000000"/>
          <w:sz w:val="24"/>
          <w:szCs w:val="24"/>
        </w:rPr>
        <w:t xml:space="preserve"> (4 tasks, 16 minutes) requires recorded responses prepared in 15 to 30 seconds and delivered in 45 to 60 seconds; there is no human interviewer, which many candidates find less stressful. </w:t>
      </w:r>
      <w:r>
        <w:rPr>
          <w:rFonts w:ascii="Times New Roman" w:eastAsia="SimSun" w:hAnsi="Times New Roman"/>
          <w:b/>
          <w:bCs/>
          <w:color w:val="000000"/>
          <w:sz w:val="24"/>
          <w:szCs w:val="24"/>
        </w:rPr>
        <w:t xml:space="preserve">Writing</w:t>
      </w:r>
      <w:r>
        <w:rPr>
          <w:rFonts w:ascii="Times New Roman" w:eastAsia="SimSun" w:hAnsi="Times New Roman"/>
          <w:b w:val="false"/>
          <w:bCs w:val="false"/>
          <w:color w:val="000000"/>
          <w:sz w:val="24"/>
          <w:szCs w:val="24"/>
        </w:rPr>
        <w:t xml:space="preserve"> (2 tasks, 29 minutes) consists of an integrated task based on reading and listening material and an academic discussion task in which you contribute to an online classroom debate. Each skill is scored from 0 to 30, giving a total out of 120.</w:t>
      </w:r>
    </w:p>
    <w:p>
      <w:pPr>
        <w:keepNext w:val="false"/>
        <w:spacing w:after="140" w:line="312"/>
        <w:jc w:val="both"/>
      </w:pPr>
      <w:r>
        <w:rPr>
          <w:rFonts w:ascii="Times New Roman" w:eastAsia="SimSun" w:hAnsi="Times New Roman"/>
          <w:b w:val="false"/>
          <w:bCs w:val="false"/>
          <w:color w:val="000000"/>
          <w:sz w:val="24"/>
          <w:szCs w:val="24"/>
        </w:rPr>
        <w:t xml:space="preserve">A distinctive TOEFL feature is </w:t>
      </w:r>
      <w:r>
        <w:rPr>
          <w:rFonts w:ascii="Times New Roman" w:eastAsia="SimSun" w:hAnsi="Times New Roman"/>
          <w:b/>
          <w:bCs/>
          <w:color w:val="000000"/>
          <w:sz w:val="24"/>
          <w:szCs w:val="24"/>
        </w:rPr>
        <w:t xml:space="preserve">MyBest scores</w:t>
      </w:r>
      <w:r>
        <w:rPr>
          <w:rFonts w:ascii="Times New Roman" w:eastAsia="SimSun" w:hAnsi="Times New Roman"/>
          <w:b w:val="false"/>
          <w:bCs w:val="false"/>
          <w:color w:val="000000"/>
          <w:sz w:val="24"/>
          <w:szCs w:val="24"/>
        </w:rPr>
        <w:t xml:space="preserve">: ETS reports both the scores from a single test date and the highest section scores achieved across all your TOEFL attempts within the last two years. Some universities and scholarship programs accept MyBest scores while others insist on single-date scores, so read the requirement carefully. The test is offered at authorized centers and in a home edition with strict room and equipment requirements, and fees vary by country, commonly falling between US$195 and US$270.</w:t>
      </w:r>
    </w:p>
    <w:p>
      <w:pPr>
        <w:pStyle w:val="Heading2"/>
        <w:keepNext/>
        <w:spacing w:after="120" w:before="260" w:line="340" w:lineRule="atLeast"/>
      </w:pPr>
      <w:bookmarkStart w:id="100008" w:name="_Toc100008"/>
      <w:r>
        <w:rPr>
          <w:rFonts w:ascii="Times New Roman" w:eastAsia="SimHei" w:hAnsi="Times New Roman"/>
          <w:b/>
          <w:bCs/>
          <w:color w:val="1A5276"/>
          <w:sz w:val="28"/>
          <w:szCs w:val="28"/>
        </w:rPr>
        <w:t xml:space="preserve">2.4 The IELTS (International English Language Testing System)</w:t>
      </w:r>
      <w:bookmarkEnd w:id="100008"/>
    </w:p>
    <w:p>
      <w:pPr>
        <w:keepNext w:val="false"/>
        <w:spacing w:after="140" w:line="312"/>
        <w:jc w:val="both"/>
      </w:pPr>
      <w:r>
        <w:rPr>
          <w:rFonts w:ascii="Times New Roman" w:eastAsia="SimSun" w:hAnsi="Times New Roman"/>
          <w:b w:val="false"/>
          <w:bCs w:val="false"/>
          <w:color w:val="000000"/>
          <w:sz w:val="24"/>
          <w:szCs w:val="24"/>
        </w:rPr>
        <w:t xml:space="preserve">IELTS is the world's most widely taken English test and the traditional requirement in the United Kingdom, Australia, Ireland and much of Europe. Two versions exist: </w:t>
      </w:r>
      <w:r>
        <w:rPr>
          <w:rFonts w:ascii="Times New Roman" w:eastAsia="SimSun" w:hAnsi="Times New Roman"/>
          <w:b/>
          <w:bCs/>
          <w:color w:val="000000"/>
          <w:sz w:val="24"/>
          <w:szCs w:val="24"/>
        </w:rPr>
        <w:t xml:space="preserve">IELTS Academic</w:t>
      </w:r>
      <w:r>
        <w:rPr>
          <w:rFonts w:ascii="Times New Roman" w:eastAsia="SimSun" w:hAnsi="Times New Roman"/>
          <w:b w:val="false"/>
          <w:bCs w:val="false"/>
          <w:color w:val="000000"/>
          <w:sz w:val="24"/>
          <w:szCs w:val="24"/>
        </w:rPr>
        <w:t xml:space="preserve">, required for university admission, and </w:t>
      </w:r>
      <w:r>
        <w:rPr>
          <w:rFonts w:ascii="Times New Roman" w:eastAsia="SimSun" w:hAnsi="Times New Roman"/>
          <w:b/>
          <w:bCs/>
          <w:color w:val="000000"/>
          <w:sz w:val="24"/>
          <w:szCs w:val="24"/>
        </w:rPr>
        <w:t xml:space="preserve">IELTS General Training</w:t>
      </w:r>
      <w:r>
        <w:rPr>
          <w:rFonts w:ascii="Times New Roman" w:eastAsia="SimSun" w:hAnsi="Times New Roman"/>
          <w:b w:val="false"/>
          <w:bCs w:val="false"/>
          <w:color w:val="000000"/>
          <w:sz w:val="24"/>
          <w:szCs w:val="24"/>
        </w:rPr>
        <w:t xml:space="preserve">, used for migration; scholarship applicants always need the Academic version. The test has four components. </w:t>
      </w:r>
      <w:r>
        <w:rPr>
          <w:rFonts w:ascii="Times New Roman" w:eastAsia="SimSun" w:hAnsi="Times New Roman"/>
          <w:b/>
          <w:bCs/>
          <w:color w:val="000000"/>
          <w:sz w:val="24"/>
          <w:szCs w:val="24"/>
        </w:rPr>
        <w:t xml:space="preserve">Listening</w:t>
      </w:r>
      <w:r>
        <w:rPr>
          <w:rFonts w:ascii="Times New Roman" w:eastAsia="SimSun" w:hAnsi="Times New Roman"/>
          <w:b w:val="false"/>
          <w:bCs w:val="false"/>
          <w:color w:val="000000"/>
          <w:sz w:val="24"/>
          <w:szCs w:val="24"/>
        </w:rPr>
        <w:t xml:space="preserve"> (30 minutes, 40 questions) is the same in both versions. </w:t>
      </w:r>
      <w:r>
        <w:rPr>
          <w:rFonts w:ascii="Times New Roman" w:eastAsia="SimSun" w:hAnsi="Times New Roman"/>
          <w:b/>
          <w:bCs/>
          <w:color w:val="000000"/>
          <w:sz w:val="24"/>
          <w:szCs w:val="24"/>
        </w:rPr>
        <w:t xml:space="preserve">Academic Reading</w:t>
      </w:r>
      <w:r>
        <w:rPr>
          <w:rFonts w:ascii="Times New Roman" w:eastAsia="SimSun" w:hAnsi="Times New Roman"/>
          <w:b w:val="false"/>
          <w:bCs w:val="false"/>
          <w:color w:val="000000"/>
          <w:sz w:val="24"/>
          <w:szCs w:val="24"/>
        </w:rPr>
        <w:t xml:space="preserve"> (60 minutes, 40 questions) uses three long texts. </w:t>
      </w:r>
      <w:r>
        <w:rPr>
          <w:rFonts w:ascii="Times New Roman" w:eastAsia="SimSun" w:hAnsi="Times New Roman"/>
          <w:b/>
          <w:bCs/>
          <w:color w:val="000000"/>
          <w:sz w:val="24"/>
          <w:szCs w:val="24"/>
        </w:rPr>
        <w:t xml:space="preserve">Academic Writing</w:t>
      </w:r>
      <w:r>
        <w:rPr>
          <w:rFonts w:ascii="Times New Roman" w:eastAsia="SimSun" w:hAnsi="Times New Roman"/>
          <w:b w:val="false"/>
          <w:bCs w:val="false"/>
          <w:color w:val="000000"/>
          <w:sz w:val="24"/>
          <w:szCs w:val="24"/>
        </w:rPr>
        <w:t xml:space="preserve"> (60 minutes) requires a 150-word description of a chart, graph or diagram in Task 1 and a 250-word essay in Task 2. </w:t>
      </w:r>
      <w:r>
        <w:rPr>
          <w:rFonts w:ascii="Times New Roman" w:eastAsia="SimSun" w:hAnsi="Times New Roman"/>
          <w:b/>
          <w:bCs/>
          <w:color w:val="000000"/>
          <w:sz w:val="24"/>
          <w:szCs w:val="24"/>
        </w:rPr>
        <w:t xml:space="preserve">Speaking</w:t>
      </w:r>
      <w:r>
        <w:rPr>
          <w:rFonts w:ascii="Times New Roman" w:eastAsia="SimSun" w:hAnsi="Times New Roman"/>
          <w:b w:val="false"/>
          <w:bCs w:val="false"/>
          <w:color w:val="000000"/>
          <w:sz w:val="24"/>
          <w:szCs w:val="24"/>
        </w:rPr>
        <w:t xml:space="preserve"> (11 to 14 minutes) is a face-to-face interview with a certified examiner, sometimes scheduled on a different day from the written papers; this human interaction is the clearest difference from the TOEFL and candidates who speak confidently often prefer it.</w:t>
      </w:r>
    </w:p>
    <w:p>
      <w:pPr>
        <w:keepNext w:val="false"/>
        <w:spacing w:after="140" w:line="312"/>
        <w:jc w:val="both"/>
      </w:pPr>
      <w:r>
        <w:rPr>
          <w:rFonts w:ascii="Times New Roman" w:eastAsia="SimSun" w:hAnsi="Times New Roman"/>
          <w:b w:val="false"/>
          <w:bCs w:val="false"/>
          <w:color w:val="000000"/>
          <w:sz w:val="24"/>
          <w:szCs w:val="24"/>
        </w:rPr>
        <w:t xml:space="preserve">Results are reported as </w:t>
      </w:r>
      <w:r>
        <w:rPr>
          <w:rFonts w:ascii="Times New Roman" w:eastAsia="SimSun" w:hAnsi="Times New Roman"/>
          <w:b/>
          <w:bCs/>
          <w:color w:val="000000"/>
          <w:sz w:val="24"/>
          <w:szCs w:val="24"/>
        </w:rPr>
        <w:t xml:space="preserve">band scores from 0 to 9</w:t>
      </w:r>
      <w:r>
        <w:rPr>
          <w:rFonts w:ascii="Times New Roman" w:eastAsia="SimSun" w:hAnsi="Times New Roman"/>
          <w:b w:val="false"/>
          <w:bCs w:val="false"/>
          <w:color w:val="000000"/>
          <w:sz w:val="24"/>
          <w:szCs w:val="24"/>
        </w:rPr>
        <w:t xml:space="preserve"> in half-band increments for each skill, and the overall band is the average of the four, rounded to the nearest half band. The test can be taken on paper or on computer, and in some countries an at-home IELTS Online option exists. Unlike the other three exams, IELTS offers </w:t>
      </w:r>
      <w:r>
        <w:rPr>
          <w:rFonts w:ascii="Times New Roman" w:eastAsia="SimSun" w:hAnsi="Times New Roman"/>
          <w:b/>
          <w:bCs/>
          <w:color w:val="000000"/>
          <w:sz w:val="24"/>
          <w:szCs w:val="24"/>
        </w:rPr>
        <w:t xml:space="preserve">One Skill Retake</w:t>
      </w:r>
      <w:r>
        <w:rPr>
          <w:rFonts w:ascii="Times New Roman" w:eastAsia="SimSun" w:hAnsi="Times New Roman"/>
          <w:b w:val="false"/>
          <w:bCs w:val="false"/>
          <w:color w:val="000000"/>
          <w:sz w:val="24"/>
          <w:szCs w:val="24"/>
        </w:rPr>
        <w:t xml:space="preserve"> in many countries: if your overall band was held back by a single weak skill, you can retake just that component on computer rather than the whole test. Results are valid for two years, and up to five official copies are sent to institutions free of charge.</w:t>
      </w:r>
    </w:p>
    <w:p>
      <w:pPr>
        <w:pStyle w:val="Heading2"/>
        <w:keepNext/>
        <w:spacing w:after="120" w:before="260" w:line="340" w:lineRule="atLeast"/>
      </w:pPr>
      <w:bookmarkStart w:id="100009" w:name="_Toc100009"/>
      <w:r>
        <w:rPr>
          <w:rFonts w:ascii="Times New Roman" w:eastAsia="SimHei" w:hAnsi="Times New Roman"/>
          <w:b/>
          <w:bCs/>
          <w:color w:val="1A5276"/>
          <w:sz w:val="28"/>
          <w:szCs w:val="28"/>
        </w:rPr>
        <w:t xml:space="preserve">2.5 GRE or GMAT: How to Choose</w:t>
      </w:r>
      <w:bookmarkEnd w:id="100009"/>
    </w:p>
    <w:p>
      <w:pPr>
        <w:keepNext w:val="false"/>
        <w:spacing w:after="140" w:line="312"/>
        <w:jc w:val="both"/>
      </w:pPr>
      <w:r>
        <w:rPr>
          <w:rFonts w:ascii="Times New Roman" w:eastAsia="SimSun" w:hAnsi="Times New Roman"/>
          <w:b w:val="false"/>
          <w:bCs w:val="false"/>
          <w:color w:val="000000"/>
          <w:sz w:val="24"/>
          <w:szCs w:val="24"/>
        </w:rPr>
        <w:t xml:space="preserve">For MBA applicants the choice has largely dissolved, because most business schools now accept both tests without preference; admissions committees convert scores to a common scale for internal comparison. The choice therefore becomes strategic rather than formal. The </w:t>
      </w:r>
      <w:r>
        <w:rPr>
          <w:rFonts w:ascii="Times New Roman" w:eastAsia="SimSun" w:hAnsi="Times New Roman"/>
          <w:b/>
          <w:bCs/>
          <w:color w:val="000000"/>
          <w:sz w:val="24"/>
          <w:szCs w:val="24"/>
        </w:rPr>
        <w:t xml:space="preserve">GMAT</w:t>
      </w:r>
      <w:r>
        <w:rPr>
          <w:rFonts w:ascii="Times New Roman" w:eastAsia="SimSun" w:hAnsi="Times New Roman"/>
          <w:b w:val="false"/>
          <w:bCs w:val="false"/>
          <w:color w:val="000000"/>
          <w:sz w:val="24"/>
          <w:szCs w:val="24"/>
        </w:rPr>
        <w:t xml:space="preserve"> signals commitment to a business career and its Data Insights section is closely watched by quantitatively oriented programs; strong GMAT performance remains the benchmark for MBA merit scholarships. The </w:t>
      </w:r>
      <w:r>
        <w:rPr>
          <w:rFonts w:ascii="Times New Roman" w:eastAsia="SimSun" w:hAnsi="Times New Roman"/>
          <w:b/>
          <w:bCs/>
          <w:color w:val="000000"/>
          <w:sz w:val="24"/>
          <w:szCs w:val="24"/>
        </w:rPr>
        <w:t xml:space="preserve">GRE</w:t>
      </w:r>
      <w:r>
        <w:rPr>
          <w:rFonts w:ascii="Times New Roman" w:eastAsia="SimSun" w:hAnsi="Times New Roman"/>
          <w:b w:val="false"/>
          <w:bCs w:val="false"/>
          <w:color w:val="000000"/>
          <w:sz w:val="24"/>
          <w:szCs w:val="24"/>
        </w:rPr>
        <w:t xml:space="preserve"> keeps every door open: one preparation effort serves MBA applications, public policy programs, engineering master's degrees and PhD applications alike, which makes it the efficient choice for applicants who have not fully settled on a field.</w:t>
      </w:r>
    </w:p>
    <w:p>
      <w:pPr>
        <w:keepNext w:val="false"/>
        <w:spacing w:after="140" w:line="312"/>
        <w:jc w:val="both"/>
      </w:pPr>
      <w:r>
        <w:rPr>
          <w:rFonts w:ascii="Times New Roman" w:eastAsia="SimSun" w:hAnsi="Times New Roman"/>
          <w:b w:val="false"/>
          <w:bCs w:val="false"/>
          <w:color w:val="000000"/>
          <w:sz w:val="24"/>
          <w:szCs w:val="24"/>
        </w:rPr>
        <w:t xml:space="preserve">A reasonable rule of thumb is the following. If you are certain about business school, prepare for the GMAT and target the published middle-50 percent range of your chosen programs. If you are exploring several fields or applying to both, take the GRE, because its quantitative score is accepted everywhere the GMAT is, while the reverse is not always true. Candidates strong in vocabulary and reading tend to find the GRE Verbal friendlier, while candidates strong in logic and data tend to prefer the GMAT's more compact verbal section. Taking both exams purely to compare scores is expensive and rarely necessary; a diagnostic practice test of each, which is free, provides the same information at no cost.</w:t>
      </w:r>
    </w:p>
    <w:p>
      <w:pPr>
        <w:pStyle w:val="Heading2"/>
        <w:keepNext/>
        <w:spacing w:after="120" w:before="260" w:line="340" w:lineRule="atLeast"/>
      </w:pPr>
      <w:bookmarkStart w:id="100010" w:name="_Toc100010"/>
      <w:r>
        <w:rPr>
          <w:rFonts w:ascii="Times New Roman" w:eastAsia="SimHei" w:hAnsi="Times New Roman"/>
          <w:b/>
          <w:bCs/>
          <w:color w:val="1A5276"/>
          <w:sz w:val="28"/>
          <w:szCs w:val="28"/>
        </w:rPr>
        <w:t xml:space="preserve">2.6 TOEFL or IELTS: How to Choose</w:t>
      </w:r>
      <w:bookmarkEnd w:id="100010"/>
    </w:p>
    <w:p>
      <w:pPr>
        <w:keepNext w:val="false"/>
        <w:spacing w:after="140" w:line="312"/>
        <w:jc w:val="both"/>
      </w:pPr>
      <w:r>
        <w:rPr>
          <w:rFonts w:ascii="Times New Roman" w:eastAsia="SimSun" w:hAnsi="Times New Roman"/>
          <w:b w:val="false"/>
          <w:bCs w:val="false"/>
          <w:color w:val="000000"/>
          <w:sz w:val="24"/>
          <w:szCs w:val="24"/>
        </w:rPr>
        <w:t xml:space="preserve">Both tests are accepted by the overwhelming majority of universities and by every major scholarship program, so the first filter is always the official requirement list of your target institutions: if a specific scholarship states that it accepts only IELTS Academic or prefers TOEFL, that single line ends the debate. Where both are accepted, choose by format preference and destination. The </w:t>
      </w:r>
      <w:r>
        <w:rPr>
          <w:rFonts w:ascii="Times New Roman" w:eastAsia="SimSun" w:hAnsi="Times New Roman"/>
          <w:b/>
          <w:bCs/>
          <w:color w:val="000000"/>
          <w:sz w:val="24"/>
          <w:szCs w:val="24"/>
        </w:rPr>
        <w:t xml:space="preserve">TOEFL</w:t>
      </w:r>
      <w:r>
        <w:rPr>
          <w:rFonts w:ascii="Times New Roman" w:eastAsia="SimSun" w:hAnsi="Times New Roman"/>
          <w:b w:val="false"/>
          <w:bCs w:val="false"/>
          <w:color w:val="000000"/>
          <w:sz w:val="24"/>
          <w:szCs w:val="24"/>
        </w:rPr>
        <w:t xml:space="preserve"> is fully computer-based, including the speaking section recorded to a microphone, and its academic register suits candidates comfortable with lectures and note-taking; it remains the default choice for applicants to the United States and Canada.</w:t>
      </w:r>
    </w:p>
    <w:p>
      <w:pPr>
        <w:keepNext w:val="false"/>
        <w:spacing w:after="200" w:line="312"/>
        <w:jc w:val="both"/>
      </w:pPr>
      <w:r>
        <w:rPr>
          <w:rFonts w:ascii="Times New Roman" w:eastAsia="SimSun" w:hAnsi="Times New Roman"/>
          <w:b w:val="false"/>
          <w:bCs w:val="false"/>
          <w:color w:val="000000"/>
          <w:sz w:val="24"/>
          <w:szCs w:val="24"/>
        </w:rPr>
        <w:t xml:space="preserve">The </w:t>
      </w:r>
      <w:r>
        <w:rPr>
          <w:rFonts w:ascii="Times New Roman" w:eastAsia="SimSun" w:hAnsi="Times New Roman"/>
          <w:b/>
          <w:bCs/>
          <w:color w:val="000000"/>
          <w:sz w:val="24"/>
          <w:szCs w:val="24"/>
        </w:rPr>
        <w:t xml:space="preserve">IELTS</w:t>
      </w:r>
      <w:r>
        <w:rPr>
          <w:rFonts w:ascii="Times New Roman" w:eastAsia="SimSun" w:hAnsi="Times New Roman"/>
          <w:b w:val="false"/>
          <w:bCs w:val="false"/>
          <w:color w:val="000000"/>
          <w:sz w:val="24"/>
          <w:szCs w:val="24"/>
        </w:rPr>
        <w:t xml:space="preserve"> combines computer or paper-based written papers with a live, face-to-face speaking interview, and its General Training version additionally serves migration routes, which matters for applicants weighing post-study work visas. For orientation, the two scales convert approximately as follows: IELTS 6.5 corresponds to TOEFL 79 to 93, IELTS 7.0 to TOEFL 94 to 101, and IELTS 7.5 to TOEFL 102 to 109, although each institution sets its own equivalences. Whichever you choose, remember that scores expire after two years, so the test should be taken within two years of your application date, not before.</w:t>
      </w:r>
    </w:p>
    <w:p>
      <w:pPr>
        <w:pStyle w:val="Heading1"/>
        <w:keepNext/>
        <w:spacing w:after="160" w:before="360" w:line="380" w:lineRule="atLeast"/>
      </w:pPr>
      <w:bookmarkStart w:id="100011" w:name="_Toc100011"/>
      <w:r>
        <w:rPr>
          <w:rFonts w:ascii="Times New Roman" w:eastAsia="SimHei" w:hAnsi="Times New Roman"/>
          <w:b/>
          <w:bCs/>
          <w:color w:val="1A5276"/>
          <w:sz w:val="32"/>
          <w:szCs w:val="32"/>
        </w:rPr>
        <w:t xml:space="preserve">3. How to Prepare and Train</w:t>
      </w:r>
      <w:bookmarkEnd w:id="100011"/>
    </w:p>
    <w:p>
      <w:pPr>
        <w:pStyle w:val="Heading2"/>
        <w:keepNext/>
        <w:spacing w:after="120" w:before="260" w:line="340" w:lineRule="atLeast"/>
      </w:pPr>
      <w:bookmarkStart w:id="100012" w:name="_Toc100012"/>
      <w:r>
        <w:rPr>
          <w:rFonts w:ascii="Times New Roman" w:eastAsia="SimHei" w:hAnsi="Times New Roman"/>
          <w:b/>
          <w:bCs/>
          <w:color w:val="1A5276"/>
          <w:sz w:val="28"/>
          <w:szCs w:val="28"/>
        </w:rPr>
        <w:t xml:space="preserve">3.1 Principles That Apply to All Four Exams</w:t>
      </w:r>
      <w:bookmarkEnd w:id="100012"/>
    </w:p>
    <w:p>
      <w:pPr>
        <w:keepNext w:val="false"/>
        <w:spacing w:after="140" w:line="312"/>
        <w:jc w:val="both"/>
      </w:pPr>
      <w:r>
        <w:rPr>
          <w:rFonts w:ascii="Times New Roman" w:eastAsia="SimSun" w:hAnsi="Times New Roman"/>
          <w:b w:val="false"/>
          <w:bCs w:val="false"/>
          <w:color w:val="000000"/>
          <w:sz w:val="24"/>
          <w:szCs w:val="24"/>
        </w:rPr>
        <w:t xml:space="preserve">Effective preparation for every one of these tests rests on the same small set of principles, and ignoring them is the most common reason candidates underperform relative to their ability. Begin with a </w:t>
      </w:r>
      <w:r>
        <w:rPr>
          <w:rFonts w:ascii="Times New Roman" w:eastAsia="SimSun" w:hAnsi="Times New Roman"/>
          <w:b/>
          <w:bCs/>
          <w:color w:val="000000"/>
          <w:sz w:val="24"/>
          <w:szCs w:val="24"/>
        </w:rPr>
        <w:t xml:space="preserve">diagnostic</w:t>
      </w:r>
      <w:r>
        <w:rPr>
          <w:rFonts w:ascii="Times New Roman" w:eastAsia="SimSun" w:hAnsi="Times New Roman"/>
          <w:b w:val="false"/>
          <w:bCs w:val="false"/>
          <w:color w:val="000000"/>
          <w:sz w:val="24"/>
          <w:szCs w:val="24"/>
        </w:rPr>
        <w:t xml:space="preserve">: take one full official practice test under strict timed conditions before studying anything, so that your starting point, your section weaknesses and your pacing problems are visible in numbers rather than impressions. Then build a written schedule working backwards from your test date, allocating 8 to 15 hours per week over 2 to 4 months for an aptitude test, or 4 to 10 hours per week over 1 to 3 months for an English test, depending on your starting level.</w:t>
      </w:r>
    </w:p>
    <w:p>
      <w:pPr>
        <w:keepNext w:val="false"/>
        <w:spacing w:after="140" w:line="312"/>
        <w:jc w:val="both"/>
      </w:pPr>
      <w:r>
        <w:rPr>
          <w:rFonts w:ascii="Times New Roman" w:eastAsia="SimSun" w:hAnsi="Times New Roman"/>
          <w:b w:val="false"/>
          <w:bCs w:val="false"/>
          <w:color w:val="000000"/>
          <w:sz w:val="24"/>
          <w:szCs w:val="24"/>
        </w:rPr>
        <w:t xml:space="preserve">Three habits separate successful candidates from frustrated ones. First, prioritize </w:t>
      </w:r>
      <w:r>
        <w:rPr>
          <w:rFonts w:ascii="Times New Roman" w:eastAsia="SimSun" w:hAnsi="Times New Roman"/>
          <w:b/>
          <w:bCs/>
          <w:color w:val="000000"/>
          <w:sz w:val="24"/>
          <w:szCs w:val="24"/>
        </w:rPr>
        <w:t xml:space="preserve">official materials</w:t>
      </w:r>
      <w:r>
        <w:rPr>
          <w:rFonts w:ascii="Times New Roman" w:eastAsia="SimSun" w:hAnsi="Times New Roman"/>
          <w:b w:val="false"/>
          <w:bCs w:val="false"/>
          <w:color w:val="000000"/>
          <w:sz w:val="24"/>
          <w:szCs w:val="24"/>
        </w:rPr>
        <w:t xml:space="preserve"> over third-party content, because only official questions replicate the real difficulty, wording and scoring logic; every prep company's questions are approximations. Second, keep an </w:t>
      </w:r>
      <w:r>
        <w:rPr>
          <w:rFonts w:ascii="Times New Roman" w:eastAsia="SimSun" w:hAnsi="Times New Roman"/>
          <w:b/>
          <w:bCs/>
          <w:color w:val="000000"/>
          <w:sz w:val="24"/>
          <w:szCs w:val="24"/>
        </w:rPr>
        <w:t xml:space="preserve">error log</w:t>
      </w:r>
      <w:r>
        <w:rPr>
          <w:rFonts w:ascii="Times New Roman" w:eastAsia="SimSun" w:hAnsi="Times New Roman"/>
          <w:b w:val="false"/>
          <w:bCs w:val="false"/>
          <w:color w:val="000000"/>
          <w:sz w:val="24"/>
          <w:szCs w:val="24"/>
        </w:rPr>
        <w:t xml:space="preserve">: a running document recording every practice question you missed, why you missed it, and the rule or vocabulary involved; reviewing this log weekly is worth more than solving hundreds of new questions. Third, rehearse under </w:t>
      </w:r>
      <w:r>
        <w:rPr>
          <w:rFonts w:ascii="Times New Roman" w:eastAsia="SimSun" w:hAnsi="Times New Roman"/>
          <w:b/>
          <w:bCs/>
          <w:color w:val="000000"/>
          <w:sz w:val="24"/>
          <w:szCs w:val="24"/>
        </w:rPr>
        <w:t xml:space="preserve">real conditions</w:t>
      </w:r>
      <w:r>
        <w:rPr>
          <w:rFonts w:ascii="Times New Roman" w:eastAsia="SimSun" w:hAnsi="Times New Roman"/>
          <w:b w:val="false"/>
          <w:bCs w:val="false"/>
          <w:color w:val="000000"/>
          <w:sz w:val="24"/>
          <w:szCs w:val="24"/>
        </w:rPr>
        <w:t xml:space="preserve">, meaning full sections on a screen, timed, without pausing, because test-day stamina and pacing are trainable skills that un-timed study never develops. Reserve the final two weeks before the exam for full mock tests and review rather than new content.</w:t>
      </w:r>
    </w:p>
    <w:p>
      <w:pPr>
        <w:pStyle w:val="Heading2"/>
        <w:keepNext/>
        <w:spacing w:after="120" w:before="260" w:line="340" w:lineRule="atLeast"/>
      </w:pPr>
      <w:bookmarkStart w:id="100013" w:name="_Toc100013"/>
      <w:r>
        <w:rPr>
          <w:rFonts w:ascii="Times New Roman" w:eastAsia="SimHei" w:hAnsi="Times New Roman"/>
          <w:b/>
          <w:bCs/>
          <w:color w:val="1A5276"/>
          <w:sz w:val="28"/>
          <w:szCs w:val="28"/>
        </w:rPr>
        <w:t xml:space="preserve">3.2 Preparing for the GRE</w:t>
      </w:r>
      <w:bookmarkEnd w:id="100013"/>
    </w:p>
    <w:p>
      <w:pPr>
        <w:keepNext w:val="false"/>
        <w:spacing w:after="140" w:line="312"/>
        <w:jc w:val="both"/>
      </w:pPr>
      <w:r>
        <w:rPr>
          <w:rFonts w:ascii="Times New Roman" w:eastAsia="SimSun" w:hAnsi="Times New Roman"/>
          <w:b w:val="false"/>
          <w:bCs w:val="false"/>
          <w:color w:val="000000"/>
          <w:sz w:val="24"/>
          <w:szCs w:val="24"/>
        </w:rPr>
        <w:t xml:space="preserve">GRE preparation has three distinct battlefronts. For </w:t>
      </w:r>
      <w:r>
        <w:rPr>
          <w:rFonts w:ascii="Times New Roman" w:eastAsia="SimSun" w:hAnsi="Times New Roman"/>
          <w:b/>
          <w:bCs/>
          <w:color w:val="000000"/>
          <w:sz w:val="24"/>
          <w:szCs w:val="24"/>
        </w:rPr>
        <w:t xml:space="preserve">Verbal</w:t>
      </w:r>
      <w:r>
        <w:rPr>
          <w:rFonts w:ascii="Times New Roman" w:eastAsia="SimSun" w:hAnsi="Times New Roman"/>
          <w:b w:val="false"/>
          <w:bCs w:val="false"/>
          <w:color w:val="000000"/>
          <w:sz w:val="24"/>
          <w:szCs w:val="24"/>
        </w:rPr>
        <w:t xml:space="preserve">, vocabulary is the foundation: the test draws on a well-documented corpus of academic words, and learning roughly 1,000 to 1,500 high-frequency GRE words with their connotations, using spaced-repetition flashcards such as Anki or Quizlet decks, produces visible score movement within weeks. Reading comprehension then requires daily practice with dense texts from The Economist, Scientific American or similar sources, trained by summarizing each paragraph in one line. For </w:t>
      </w:r>
      <w:r>
        <w:rPr>
          <w:rFonts w:ascii="Times New Roman" w:eastAsia="SimSun" w:hAnsi="Times New Roman"/>
          <w:b/>
          <w:bCs/>
          <w:color w:val="000000"/>
          <w:sz w:val="24"/>
          <w:szCs w:val="24"/>
        </w:rPr>
        <w:t xml:space="preserve">Quantitative</w:t>
      </w:r>
      <w:r>
        <w:rPr>
          <w:rFonts w:ascii="Times New Roman" w:eastAsia="SimSun" w:hAnsi="Times New Roman"/>
          <w:b w:val="false"/>
          <w:bCs w:val="false"/>
          <w:color w:val="000000"/>
          <w:sz w:val="24"/>
          <w:szCs w:val="24"/>
        </w:rPr>
        <w:t xml:space="preserve">, most candidates need to rebuild high-school mathematics: arithmetic, algebra, geometry, statistics and probability, for which the free Khan Academy syllabus is the standard repair tool, followed by official quantitative questions to learn the test's specific trick structures, especially quantitative comparison questions.</w:t>
      </w:r>
    </w:p>
    <w:p>
      <w:pPr>
        <w:keepNext w:val="false"/>
        <w:spacing w:after="140" w:line="312"/>
        <w:jc w:val="both"/>
      </w:pPr>
      <w:r>
        <w:rPr>
          <w:rFonts w:ascii="Times New Roman" w:eastAsia="SimSun" w:hAnsi="Times New Roman"/>
          <w:b w:val="false"/>
          <w:bCs w:val="false"/>
          <w:color w:val="000000"/>
          <w:sz w:val="24"/>
          <w:szCs w:val="24"/>
        </w:rPr>
        <w:t xml:space="preserve">For </w:t>
      </w:r>
      <w:r>
        <w:rPr>
          <w:rFonts w:ascii="Times New Roman" w:eastAsia="SimSun" w:hAnsi="Times New Roman"/>
          <w:b/>
          <w:bCs/>
          <w:color w:val="000000"/>
          <w:sz w:val="24"/>
          <w:szCs w:val="24"/>
        </w:rPr>
        <w:t xml:space="preserve">Analytical Writing</w:t>
      </w:r>
      <w:r>
        <w:rPr>
          <w:rFonts w:ascii="Times New Roman" w:eastAsia="SimSun" w:hAnsi="Times New Roman"/>
          <w:b w:val="false"/>
          <w:bCs w:val="false"/>
          <w:color w:val="000000"/>
          <w:sz w:val="24"/>
          <w:szCs w:val="24"/>
        </w:rPr>
        <w:t xml:space="preserve">, study the published scoring criteria and practice writing complete issue essays in 30 minutes, focusing on a clear position, organized paragraphs and precise language rather than length. The core official resources are the </w:t>
      </w:r>
      <w:r>
        <w:rPr>
          <w:rFonts w:ascii="Times New Roman" w:eastAsia="SimSun" w:hAnsi="Times New Roman"/>
          <w:b/>
          <w:bCs/>
          <w:color w:val="000000"/>
          <w:sz w:val="24"/>
          <w:szCs w:val="24"/>
        </w:rPr>
        <w:t xml:space="preserve">POWERPREP Online</w:t>
      </w:r>
      <w:r>
        <w:rPr>
          <w:rFonts w:ascii="Times New Roman" w:eastAsia="SimSun" w:hAnsi="Times New Roman"/>
          <w:b w:val="false"/>
          <w:bCs w:val="false"/>
          <w:color w:val="000000"/>
          <w:sz w:val="24"/>
          <w:szCs w:val="24"/>
        </w:rPr>
        <w:t xml:space="preserve"> practice tests on ets.org, which include two free full-length tests that replicate the adaptive algorithm, plus the Official Guide to the GRE General Test. Widely used third-party options include GregMat's inexpensive video course, Magoosh's question bank and videos, and the Manhattan Prep 5 lb. Book of Practice Problems for volume drilling. A realistic total effort for a score improvement of 10 or more points is 100 to 200 hours spread over 3 to 4 months.</w:t>
      </w:r>
    </w:p>
    <w:p>
      <w:pPr>
        <w:pStyle w:val="Heading2"/>
        <w:keepNext/>
        <w:spacing w:after="120" w:before="260" w:line="340" w:lineRule="atLeast"/>
      </w:pPr>
      <w:bookmarkStart w:id="100014" w:name="_Toc100014"/>
      <w:r>
        <w:rPr>
          <w:rFonts w:ascii="Times New Roman" w:eastAsia="SimHei" w:hAnsi="Times New Roman"/>
          <w:b/>
          <w:bCs/>
          <w:color w:val="1A5276"/>
          <w:sz w:val="28"/>
          <w:szCs w:val="28"/>
        </w:rPr>
        <w:t xml:space="preserve">3.3 Preparing for the GMAT</w:t>
      </w:r>
      <w:bookmarkEnd w:id="100014"/>
    </w:p>
    <w:p>
      <w:pPr>
        <w:keepNext w:val="false"/>
        <w:spacing w:after="140" w:line="312"/>
        <w:jc w:val="both"/>
      </w:pPr>
      <w:r>
        <w:rPr>
          <w:rFonts w:ascii="Times New Roman" w:eastAsia="SimSun" w:hAnsi="Times New Roman"/>
          <w:b w:val="false"/>
          <w:bCs w:val="false"/>
          <w:color w:val="000000"/>
          <w:sz w:val="24"/>
          <w:szCs w:val="24"/>
        </w:rPr>
        <w:t xml:space="preserve">GMAT preparation is a game of precision and pacing across three sections. </w:t>
      </w:r>
      <w:r>
        <w:rPr>
          <w:rFonts w:ascii="Times New Roman" w:eastAsia="SimSun" w:hAnsi="Times New Roman"/>
          <w:b/>
          <w:bCs/>
          <w:color w:val="000000"/>
          <w:sz w:val="24"/>
          <w:szCs w:val="24"/>
        </w:rPr>
        <w:t xml:space="preserve">Quantitative Reasoning</w:t>
      </w:r>
      <w:r>
        <w:rPr>
          <w:rFonts w:ascii="Times New Roman" w:eastAsia="SimSun" w:hAnsi="Times New Roman"/>
          <w:b w:val="false"/>
          <w:bCs w:val="false"/>
          <w:color w:val="000000"/>
          <w:sz w:val="24"/>
          <w:szCs w:val="24"/>
        </w:rPr>
        <w:t xml:space="preserve"> rewards re-deriving fundamentals until algebra and arithmetic manipulation are automatic, because the section's difficulty comes from clever setups under time pressure, not from advanced content. </w:t>
      </w:r>
      <w:r>
        <w:rPr>
          <w:rFonts w:ascii="Times New Roman" w:eastAsia="SimSun" w:hAnsi="Times New Roman"/>
          <w:b/>
          <w:bCs/>
          <w:color w:val="000000"/>
          <w:sz w:val="24"/>
          <w:szCs w:val="24"/>
        </w:rPr>
        <w:t xml:space="preserve">Verbal Reasoning</w:t>
      </w:r>
      <w:r>
        <w:rPr>
          <w:rFonts w:ascii="Times New Roman" w:eastAsia="SimSun" w:hAnsi="Times New Roman"/>
          <w:b w:val="false"/>
          <w:bCs w:val="false"/>
          <w:color w:val="000000"/>
          <w:sz w:val="24"/>
          <w:szCs w:val="24"/>
        </w:rPr>
        <w:t xml:space="preserve"> is dominated by critical reasoning, so train yourself to identify argument structure, assumption and flaw before looking at the answer choices; reading comprehension passages are shorter than the GRE's but denser in business content. </w:t>
      </w:r>
      <w:r>
        <w:rPr>
          <w:rFonts w:ascii="Times New Roman" w:eastAsia="SimSun" w:hAnsi="Times New Roman"/>
          <w:b/>
          <w:bCs/>
          <w:color w:val="000000"/>
          <w:sz w:val="24"/>
          <w:szCs w:val="24"/>
        </w:rPr>
        <w:t xml:space="preserve">Data Insights</w:t>
      </w:r>
      <w:r>
        <w:rPr>
          <w:rFonts w:ascii="Times New Roman" w:eastAsia="SimSun" w:hAnsi="Times New Roman"/>
          <w:b w:val="false"/>
          <w:bCs w:val="false"/>
          <w:color w:val="000000"/>
          <w:sz w:val="24"/>
          <w:szCs w:val="24"/>
        </w:rPr>
        <w:t xml:space="preserve">, the section most applicants have never practiced in school, needs the most time: work through every official Data Sufficiency and Table Analysis question available, learn when the on-screen calculator helps and when it wastes seconds, and practice multi-source reasoning until juggling three tabs of data feels routine.</w:t>
      </w:r>
    </w:p>
    <w:p>
      <w:pPr>
        <w:keepNext w:val="false"/>
        <w:spacing w:after="140" w:line="312"/>
        <w:jc w:val="both"/>
      </w:pPr>
      <w:r>
        <w:rPr>
          <w:rFonts w:ascii="Times New Roman" w:eastAsia="SimSun" w:hAnsi="Times New Roman"/>
          <w:b w:val="false"/>
          <w:bCs w:val="false"/>
          <w:color w:val="000000"/>
          <w:sz w:val="24"/>
          <w:szCs w:val="24"/>
        </w:rPr>
        <w:t xml:space="preserve">The official starting point is mba.com, which offers a free official starter kit including two full-length practice exams with the real scoring algorithm; the Official Guide and its section-specific volumes provide the question pool. Highly regarded structured courses include Target Test Prep, known for deep quantitative coverage, e-GMAT for verbal, and Manhattan Prep's interactivity. Because the Focus Edition scores sections equally, a balanced 3-section strategy outperforms over-investing in one strength: a candidate aiming at 645 or above typically needs section scores around the low-to-mid 80s in all three areas. Plan 100 to 150 hours of preparation over 2 to 3 months.</w:t>
      </w:r>
    </w:p>
    <w:p>
      <w:pPr>
        <w:pStyle w:val="Heading2"/>
        <w:keepNext/>
        <w:spacing w:after="120" w:before="260" w:line="340" w:lineRule="atLeast"/>
      </w:pPr>
      <w:bookmarkStart w:id="100015" w:name="_Toc100015"/>
      <w:r>
        <w:rPr>
          <w:rFonts w:ascii="Times New Roman" w:eastAsia="SimHei" w:hAnsi="Times New Roman"/>
          <w:b/>
          <w:bCs/>
          <w:color w:val="1A5276"/>
          <w:sz w:val="28"/>
          <w:szCs w:val="28"/>
        </w:rPr>
        <w:t xml:space="preserve">3.4 Preparing for the TOEFL iBT</w:t>
      </w:r>
      <w:bookmarkEnd w:id="100015"/>
    </w:p>
    <w:p>
      <w:pPr>
        <w:keepNext w:val="false"/>
        <w:spacing w:after="140" w:line="312"/>
        <w:jc w:val="both"/>
      </w:pPr>
      <w:r>
        <w:rPr>
          <w:rFonts w:ascii="Times New Roman" w:eastAsia="SimSun" w:hAnsi="Times New Roman"/>
          <w:b w:val="false"/>
          <w:bCs w:val="false"/>
          <w:color w:val="000000"/>
          <w:sz w:val="24"/>
          <w:szCs w:val="24"/>
        </w:rPr>
        <w:t xml:space="preserve">TOEFL preparation is about acquiring academic English routines rather than new knowledge. For </w:t>
      </w:r>
      <w:r>
        <w:rPr>
          <w:rFonts w:ascii="Times New Roman" w:eastAsia="SimSun" w:hAnsi="Times New Roman"/>
          <w:b/>
          <w:bCs/>
          <w:color w:val="000000"/>
          <w:sz w:val="24"/>
          <w:szCs w:val="24"/>
        </w:rPr>
        <w:t xml:space="preserve">Reading</w:t>
      </w:r>
      <w:r>
        <w:rPr>
          <w:rFonts w:ascii="Times New Roman" w:eastAsia="SimSun" w:hAnsi="Times New Roman"/>
          <w:b w:val="false"/>
          <w:bCs w:val="false"/>
          <w:color w:val="000000"/>
          <w:sz w:val="24"/>
          <w:szCs w:val="24"/>
        </w:rPr>
        <w:t xml:space="preserve">, practice active passage mapping: note each paragraph's function in a few words, because questions cluster around structure as much as detail. For </w:t>
      </w:r>
      <w:r>
        <w:rPr>
          <w:rFonts w:ascii="Times New Roman" w:eastAsia="SimSun" w:hAnsi="Times New Roman"/>
          <w:b/>
          <w:bCs/>
          <w:color w:val="000000"/>
          <w:sz w:val="24"/>
          <w:szCs w:val="24"/>
        </w:rPr>
        <w:t xml:space="preserve">Listening</w:t>
      </w:r>
      <w:r>
        <w:rPr>
          <w:rFonts w:ascii="Times New Roman" w:eastAsia="SimSun" w:hAnsi="Times New Roman"/>
          <w:b w:val="false"/>
          <w:bCs w:val="false"/>
          <w:color w:val="000000"/>
          <w:sz w:val="24"/>
          <w:szCs w:val="24"/>
        </w:rPr>
        <w:t xml:space="preserve">, the crucial trainable skill is note-taking on lectures: abbreviations, arrows and structure symbols that capture main idea, examples and attitude, since half the test depends on notes you take. For </w:t>
      </w:r>
      <w:r>
        <w:rPr>
          <w:rFonts w:ascii="Times New Roman" w:eastAsia="SimSun" w:hAnsi="Times New Roman"/>
          <w:b/>
          <w:bCs/>
          <w:color w:val="000000"/>
          <w:sz w:val="24"/>
          <w:szCs w:val="24"/>
        </w:rPr>
        <w:t xml:space="preserve">Speaking</w:t>
      </w:r>
      <w:r>
        <w:rPr>
          <w:rFonts w:ascii="Times New Roman" w:eastAsia="SimSun" w:hAnsi="Times New Roman"/>
          <w:b w:val="false"/>
          <w:bCs w:val="false"/>
          <w:color w:val="000000"/>
          <w:sz w:val="24"/>
          <w:szCs w:val="24"/>
        </w:rPr>
        <w:t xml:space="preserve">, the fixed four-task format makes it the most coachable section: rehearse the 15-second preparation routine, record yourself daily on official-style questions, and listen back for filler words, grammar slips and pacing; a speaking partner or tutor reviewing recordings accelerates this dramatically. For </w:t>
      </w:r>
      <w:r>
        <w:rPr>
          <w:rFonts w:ascii="Times New Roman" w:eastAsia="SimSun" w:hAnsi="Times New Roman"/>
          <w:b/>
          <w:bCs/>
          <w:color w:val="000000"/>
          <w:sz w:val="24"/>
          <w:szCs w:val="24"/>
        </w:rPr>
        <w:t xml:space="preserve">Writing</w:t>
      </w:r>
      <w:r>
        <w:rPr>
          <w:rFonts w:ascii="Times New Roman" w:eastAsia="SimSun" w:hAnsi="Times New Roman"/>
          <w:b w:val="false"/>
          <w:bCs w:val="false"/>
          <w:color w:val="000000"/>
          <w:sz w:val="24"/>
          <w:szCs w:val="24"/>
        </w:rPr>
        <w:t xml:space="preserve">, learn the integrated task's template of summarizing the reading point, then contrasting the lecture's response, and practice the academic discussion format until a 100-word contribution with one clear position and two supports is automatic.</w:t>
      </w:r>
    </w:p>
    <w:p>
      <w:pPr>
        <w:keepNext w:val="false"/>
        <w:spacing w:after="140" w:line="312"/>
        <w:jc w:val="both"/>
      </w:pPr>
      <w:r>
        <w:rPr>
          <w:rFonts w:ascii="Times New Roman" w:eastAsia="SimSun" w:hAnsi="Times New Roman"/>
          <w:b w:val="false"/>
          <w:bCs w:val="false"/>
          <w:color w:val="000000"/>
          <w:sz w:val="24"/>
          <w:szCs w:val="24"/>
        </w:rPr>
        <w:t xml:space="preserve">Official resources come first: the free full-length practice test on the TOEFL section of ets.org, the TOEFL TestReady platform with additional scored practice, and the Official Guide to the TOEFL iBT Test. TST Prep and NoteFull are the most recommended independent course providers. Candidates starting from a solid intermediate level typically need 4 to 8 weeks; candidates starting weaker should extend to 3 months and consider general English work before test-specific drilling.</w:t>
      </w:r>
    </w:p>
    <w:p>
      <w:pPr>
        <w:pStyle w:val="Heading2"/>
        <w:keepNext/>
        <w:spacing w:after="120" w:before="260" w:line="340" w:lineRule="atLeast"/>
      </w:pPr>
      <w:bookmarkStart w:id="100016" w:name="_Toc100016"/>
      <w:r>
        <w:rPr>
          <w:rFonts w:ascii="Times New Roman" w:eastAsia="SimHei" w:hAnsi="Times New Roman"/>
          <w:b/>
          <w:bCs/>
          <w:color w:val="1A5276"/>
          <w:sz w:val="28"/>
          <w:szCs w:val="28"/>
        </w:rPr>
        <w:t xml:space="preserve">3.5 Preparing for the IELTS</w:t>
      </w:r>
      <w:bookmarkEnd w:id="100016"/>
    </w:p>
    <w:p>
      <w:pPr>
        <w:keepNext w:val="false"/>
        <w:spacing w:after="140" w:line="312"/>
        <w:jc w:val="both"/>
      </w:pPr>
      <w:r>
        <w:rPr>
          <w:rFonts w:ascii="Times New Roman" w:eastAsia="SimSun" w:hAnsi="Times New Roman"/>
          <w:b w:val="false"/>
          <w:bCs w:val="false"/>
          <w:color w:val="000000"/>
          <w:sz w:val="24"/>
          <w:szCs w:val="24"/>
        </w:rPr>
        <w:t xml:space="preserve">IELTS preparation revolves around its four fixed question formats, which reward method as much as language. For </w:t>
      </w:r>
      <w:r>
        <w:rPr>
          <w:rFonts w:ascii="Times New Roman" w:eastAsia="SimSun" w:hAnsi="Times New Roman"/>
          <w:b/>
          <w:bCs/>
          <w:color w:val="000000"/>
          <w:sz w:val="24"/>
          <w:szCs w:val="24"/>
        </w:rPr>
        <w:t xml:space="preserve">Listening</w:t>
      </w:r>
      <w:r>
        <w:rPr>
          <w:rFonts w:ascii="Times New Roman" w:eastAsia="SimSun" w:hAnsi="Times New Roman"/>
          <w:b w:val="false"/>
          <w:bCs w:val="false"/>
          <w:color w:val="000000"/>
          <w:sz w:val="24"/>
          <w:szCs w:val="24"/>
        </w:rPr>
        <w:t xml:space="preserve">, practice the answer-transfer discipline (for paper tests) and the one-play-only rule: you hear each recording exactly once, so train predicting answer types from the question sheet before the audio starts. For </w:t>
      </w:r>
      <w:r>
        <w:rPr>
          <w:rFonts w:ascii="Times New Roman" w:eastAsia="SimSun" w:hAnsi="Times New Roman"/>
          <w:b/>
          <w:bCs/>
          <w:color w:val="000000"/>
          <w:sz w:val="24"/>
          <w:szCs w:val="24"/>
        </w:rPr>
        <w:t xml:space="preserve">Academic Reading</w:t>
      </w:r>
      <w:r>
        <w:rPr>
          <w:rFonts w:ascii="Times New Roman" w:eastAsia="SimSun" w:hAnsi="Times New Roman"/>
          <w:b w:val="false"/>
          <w:bCs w:val="false"/>
          <w:color w:val="000000"/>
          <w:sz w:val="24"/>
          <w:szCs w:val="24"/>
        </w:rPr>
        <w:t xml:space="preserve">, master skimming for gist and scanning for keywords, and be strict about the 20 minutes per passage rhythm; True-False-Not-Given questions deserve dedicated drilling because their logic is unlike anything else in English testing. For </w:t>
      </w:r>
      <w:r>
        <w:rPr>
          <w:rFonts w:ascii="Times New Roman" w:eastAsia="SimSun" w:hAnsi="Times New Roman"/>
          <w:b/>
          <w:bCs/>
          <w:color w:val="000000"/>
          <w:sz w:val="24"/>
          <w:szCs w:val="24"/>
        </w:rPr>
        <w:t xml:space="preserve">Writing</w:t>
      </w:r>
      <w:r>
        <w:rPr>
          <w:rFonts w:ascii="Times New Roman" w:eastAsia="SimSun" w:hAnsi="Times New Roman"/>
          <w:b w:val="false"/>
          <w:bCs w:val="false"/>
          <w:color w:val="000000"/>
          <w:sz w:val="24"/>
          <w:szCs w:val="24"/>
        </w:rPr>
        <w:t xml:space="preserve">, Task 1 requires learning a small repertoire of chart-description language (trends, comparisons, proportions) and Task 2 requires a reliable four-paragraph essay frame; examiners grade against public descriptors, so study band 7 and 8 sample scripts and have your own scripts marked against them. For </w:t>
      </w:r>
      <w:r>
        <w:rPr>
          <w:rFonts w:ascii="Times New Roman" w:eastAsia="SimSun" w:hAnsi="Times New Roman"/>
          <w:b/>
          <w:bCs/>
          <w:color w:val="000000"/>
          <w:sz w:val="24"/>
          <w:szCs w:val="24"/>
        </w:rPr>
        <w:t xml:space="preserve">Speaking</w:t>
      </w:r>
      <w:r>
        <w:rPr>
          <w:rFonts w:ascii="Times New Roman" w:eastAsia="SimSun" w:hAnsi="Times New Roman"/>
          <w:b w:val="false"/>
          <w:bCs w:val="false"/>
          <w:color w:val="000000"/>
          <w:sz w:val="24"/>
          <w:szCs w:val="24"/>
        </w:rPr>
        <w:t xml:space="preserve">, the face-to-face format means practicing with a real partner or teacher, developing extended answers around the familiar Part 1, Part 2 cue-card and Part 3 discussion structure.</w:t>
      </w:r>
    </w:p>
    <w:p>
      <w:pPr>
        <w:keepNext w:val="false"/>
        <w:spacing w:after="140" w:line="312"/>
        <w:jc w:val="both"/>
      </w:pPr>
      <w:r>
        <w:rPr>
          <w:rFonts w:ascii="Times New Roman" w:eastAsia="SimSun" w:hAnsi="Times New Roman"/>
          <w:b w:val="false"/>
          <w:bCs w:val="false"/>
          <w:color w:val="000000"/>
          <w:sz w:val="24"/>
          <w:szCs w:val="24"/>
        </w:rPr>
        <w:t xml:space="preserve">The indispensable official resource is the Cambridge IELTS series of past paper books (recent volumes 15 to 19 are most representative), combined with the free </w:t>
      </w:r>
      <w:r>
        <w:rPr>
          <w:rFonts w:ascii="Times New Roman" w:eastAsia="SimSun" w:hAnsi="Times New Roman"/>
          <w:b/>
          <w:bCs/>
          <w:color w:val="000000"/>
          <w:sz w:val="24"/>
          <w:szCs w:val="24"/>
        </w:rPr>
        <w:t xml:space="preserve">Road to IELTS</w:t>
      </w:r>
      <w:r>
        <w:rPr>
          <w:rFonts w:ascii="Times New Roman" w:eastAsia="SimSun" w:hAnsi="Times New Roman"/>
          <w:b w:val="false"/>
          <w:bCs w:val="false"/>
          <w:color w:val="000000"/>
          <w:sz w:val="24"/>
          <w:szCs w:val="24"/>
        </w:rPr>
        <w:t xml:space="preserve"> course offered through the British Council website and IDP's preparation materials. IELTS Liz and IELTS Simon provide widely respected free lessons, especially for writing. Because the speaking examiner and the writing markers are human, feedback from a qualified teacher on real scripts is the single highest-value investment most candidates can make.</w:t>
      </w:r>
    </w:p>
    <w:p>
      <w:pPr>
        <w:pStyle w:val="Heading2"/>
        <w:keepNext/>
        <w:spacing w:after="120" w:before="260" w:line="340" w:lineRule="atLeast"/>
      </w:pPr>
      <w:bookmarkStart w:id="100017" w:name="_Toc100017"/>
      <w:r>
        <w:rPr>
          <w:rFonts w:ascii="Times New Roman" w:eastAsia="SimHei" w:hAnsi="Times New Roman"/>
          <w:b/>
          <w:bCs/>
          <w:color w:val="1A5276"/>
          <w:sz w:val="28"/>
          <w:szCs w:val="28"/>
        </w:rPr>
        <w:t xml:space="preserve">3.6 Resource Summary by Exam</w:t>
      </w:r>
      <w:bookmarkEnd w:id="100017"/>
    </w:p>
    <w:p>
      <w:pPr>
        <w:keepNext/>
        <w:spacing w:after="140" w:line="312"/>
        <w:jc w:val="both"/>
      </w:pPr>
      <w:r>
        <w:rPr>
          <w:rFonts w:ascii="Times New Roman" w:eastAsia="SimSun" w:hAnsi="Times New Roman"/>
          <w:b w:val="false"/>
          <w:bCs w:val="false"/>
          <w:color w:val="000000"/>
          <w:sz w:val="24"/>
          <w:szCs w:val="24"/>
        </w:rPr>
        <w:t xml:space="preserve">The table below consolidates the preparation toolkit for each exam, ordered so that the free official resources, which every candidate should exhaust first, appear before commercial options. None of the commercial listings are endorsements of a single path; they are simply the resources with the longest track records and the strongest reputations in candidate communities.</w:t>
      </w:r>
    </w:p>
    <w:p>
      <w:pPr>
        <w:keepNext/>
        <w:spacing w:after="80" w:before="160" w:line="312"/>
      </w:pPr>
      <w:r>
        <w:rPr>
          <w:rFonts w:ascii="Times New Roman" w:eastAsia="SimSun" w:hAnsi="Times New Roman"/>
          <w:b/>
          <w:bCs/>
          <w:color w:val="1A5276"/>
          <w:sz w:val="21"/>
          <w:szCs w:val="21"/>
        </w:rPr>
        <w:t xml:space="preserve">Table 2: </w:t>
      </w:r>
      <w:r>
        <w:rPr>
          <w:rFonts w:ascii="Times New Roman" w:eastAsia="SimSun" w:hAnsi="Times New Roman"/>
          <w:b/>
          <w:bCs/>
          <w:color w:val="000000"/>
          <w:sz w:val="21"/>
          <w:szCs w:val="21"/>
        </w:rPr>
        <w:t xml:space="preserve">Recommended preparation resources for each examination</w:t>
      </w:r>
    </w:p>
    <w:tbl>
      <w:tblPr>
        <w:tblW w:type="pct" w:w="100%"/>
        <w:tblBorders>
          <w:top w:val="single" w:color="1A5276" w:sz="6"/>
          <w:left w:val="none" w:color="FFFFFF" w:sz="0"/>
          <w:bottom w:val="single" w:color="1A5276" w:sz="6"/>
          <w:right w:val="none" w:color="FFFFFF" w:sz="0"/>
          <w:insideH w:val="single" w:color="D0DDE8" w:sz="2"/>
          <w:insideV w:val="none" w:color="FFFFFF" w:sz="0"/>
        </w:tblBorders>
      </w:tblPr>
      <w:tblGrid>
        <w:gridCol w:w="100"/>
        <w:gridCol w:w="100"/>
        <w:gridCol w:w="100"/>
        <w:gridCol w:w="100"/>
      </w:tblGrid>
      <w:tr>
        <w:trPr>
          <w:cantSplit/>
          <w:tblHeader/>
        </w:trPr>
        <w:tc>
          <w:tcPr>
            <w:tcW w:type="pct" w:w="12%"/>
            <w:shd w:fill="2E86C1" w:val="clear"/>
            <w:tcMar>
              <w:top w:type="dxa" w:w="70"/>
              <w:left w:type="dxa" w:w="110"/>
              <w:bottom w:type="dxa" w:w="70"/>
              <w:right w:type="dxa" w:w="110"/>
            </w:tcMar>
          </w:tcPr>
          <w:p>
            <w:pPr>
              <w:spacing w:line="312"/>
              <w:jc w:val="left"/>
            </w:pPr>
            <w:r>
              <w:rPr>
                <w:rFonts w:ascii="Times New Roman" w:eastAsia="SimSun" w:hAnsi="Times New Roman"/>
                <w:b/>
                <w:bCs/>
                <w:color w:val="FFFFFF"/>
                <w:sz w:val="21"/>
                <w:szCs w:val="21"/>
              </w:rPr>
              <w:t xml:space="preserve">Exam</w:t>
            </w:r>
          </w:p>
        </w:tc>
        <w:tc>
          <w:tcPr>
            <w:tcW w:type="pct" w:w="30%"/>
            <w:shd w:fill="2E86C1" w:val="clear"/>
            <w:tcMar>
              <w:top w:type="dxa" w:w="70"/>
              <w:left w:type="dxa" w:w="110"/>
              <w:bottom w:type="dxa" w:w="70"/>
              <w:right w:type="dxa" w:w="110"/>
            </w:tcMar>
          </w:tcPr>
          <w:p>
            <w:pPr>
              <w:spacing w:line="312"/>
              <w:jc w:val="left"/>
            </w:pPr>
            <w:r>
              <w:rPr>
                <w:rFonts w:ascii="Times New Roman" w:eastAsia="SimSun" w:hAnsi="Times New Roman"/>
                <w:b/>
                <w:bCs/>
                <w:color w:val="FFFFFF"/>
                <w:sz w:val="21"/>
                <w:szCs w:val="21"/>
              </w:rPr>
              <w:t xml:space="preserve">Official (free first)</w:t>
            </w:r>
          </w:p>
        </w:tc>
        <w:tc>
          <w:tcPr>
            <w:tcW w:type="pct" w:w="34%"/>
            <w:shd w:fill="2E86C1" w:val="clear"/>
            <w:tcMar>
              <w:top w:type="dxa" w:w="70"/>
              <w:left w:type="dxa" w:w="110"/>
              <w:bottom w:type="dxa" w:w="70"/>
              <w:right w:type="dxa" w:w="110"/>
            </w:tcMar>
          </w:tcPr>
          <w:p>
            <w:pPr>
              <w:spacing w:line="312"/>
              <w:jc w:val="left"/>
            </w:pPr>
            <w:r>
              <w:rPr>
                <w:rFonts w:ascii="Times New Roman" w:eastAsia="SimSun" w:hAnsi="Times New Roman"/>
                <w:b/>
                <w:bCs/>
                <w:color w:val="FFFFFF"/>
                <w:sz w:val="21"/>
                <w:szCs w:val="21"/>
              </w:rPr>
              <w:t xml:space="preserve">Books and courses</w:t>
            </w:r>
          </w:p>
        </w:tc>
        <w:tc>
          <w:tcPr>
            <w:tcW w:type="pct" w:w="24%"/>
            <w:shd w:fill="2E86C1" w:val="clear"/>
            <w:tcMar>
              <w:top w:type="dxa" w:w="70"/>
              <w:left w:type="dxa" w:w="110"/>
              <w:bottom w:type="dxa" w:w="70"/>
              <w:right w:type="dxa" w:w="110"/>
            </w:tcMar>
          </w:tcPr>
          <w:p>
            <w:pPr>
              <w:spacing w:line="312"/>
              <w:jc w:val="left"/>
            </w:pPr>
            <w:r>
              <w:rPr>
                <w:rFonts w:ascii="Times New Roman" w:eastAsia="SimSun" w:hAnsi="Times New Roman"/>
                <w:b/>
                <w:bCs/>
                <w:color w:val="FFFFFF"/>
                <w:sz w:val="21"/>
                <w:szCs w:val="21"/>
              </w:rPr>
              <w:t xml:space="preserve">Approximate effort</w:t>
            </w:r>
          </w:p>
        </w:tc>
      </w:tr>
      <w:tr>
        <w:trPr>
          <w:cantSplit/>
        </w:trPr>
        <w:tc>
          <w:tcPr>
            <w:tcW w:type="pct" w:w="12%"/>
            <w:shd w:fill="EDF3F8" w:val="clear"/>
            <w:tcMar>
              <w:top w:type="dxa" w:w="70"/>
              <w:left w:type="dxa" w:w="110"/>
              <w:bottom w:type="dxa" w:w="70"/>
              <w:right w:type="dxa" w:w="110"/>
            </w:tcMar>
          </w:tcPr>
          <w:p>
            <w:pPr>
              <w:spacing w:line="312"/>
              <w:jc w:val="left"/>
            </w:pPr>
            <w:r>
              <w:rPr>
                <w:rFonts w:ascii="Times New Roman" w:eastAsia="SimSun" w:hAnsi="Times New Roman"/>
                <w:b w:val="false"/>
                <w:bCs w:val="false"/>
                <w:color w:val="000000"/>
                <w:sz w:val="21"/>
                <w:szCs w:val="21"/>
              </w:rPr>
              <w:t xml:space="preserve">GRE</w:t>
            </w:r>
          </w:p>
        </w:tc>
        <w:tc>
          <w:tcPr>
            <w:tcW w:type="pct" w:w="30%"/>
            <w:shd w:fill="EDF3F8" w:val="clear"/>
            <w:tcMar>
              <w:top w:type="dxa" w:w="70"/>
              <w:left w:type="dxa" w:w="110"/>
              <w:bottom w:type="dxa" w:w="70"/>
              <w:right w:type="dxa" w:w="110"/>
            </w:tcMar>
          </w:tcPr>
          <w:p>
            <w:pPr>
              <w:spacing w:line="312"/>
              <w:jc w:val="left"/>
            </w:pPr>
            <w:r>
              <w:rPr>
                <w:rFonts w:ascii="Times New Roman" w:eastAsia="SimSun" w:hAnsi="Times New Roman"/>
                <w:b w:val="false"/>
                <w:bCs w:val="false"/>
                <w:color w:val="000000"/>
                <w:sz w:val="21"/>
                <w:szCs w:val="21"/>
              </w:rPr>
              <w:t xml:space="preserve">POWERPREP Online (2 free tests); official quant and verbal practice sets on ets.org</w:t>
            </w:r>
          </w:p>
        </w:tc>
        <w:tc>
          <w:tcPr>
            <w:tcW w:type="pct" w:w="34%"/>
            <w:shd w:fill="EDF3F8" w:val="clear"/>
            <w:tcMar>
              <w:top w:type="dxa" w:w="70"/>
              <w:left w:type="dxa" w:w="110"/>
              <w:bottom w:type="dxa" w:w="70"/>
              <w:right w:type="dxa" w:w="110"/>
            </w:tcMar>
          </w:tcPr>
          <w:p>
            <w:pPr>
              <w:spacing w:line="312"/>
              <w:jc w:val="left"/>
            </w:pPr>
            <w:r>
              <w:rPr>
                <w:rFonts w:ascii="Times New Roman" w:eastAsia="SimSun" w:hAnsi="Times New Roman"/>
                <w:b w:val="false"/>
                <w:bCs w:val="false"/>
                <w:color w:val="000000"/>
                <w:sz w:val="21"/>
                <w:szCs w:val="21"/>
              </w:rPr>
              <w:t xml:space="preserve">Official Guide; Manhattan Prep 5 lb. Book; GregMat videos; Magoosh; Anki vocabulary decks</w:t>
            </w:r>
          </w:p>
        </w:tc>
        <w:tc>
          <w:tcPr>
            <w:tcW w:type="pct" w:w="24%"/>
            <w:shd w:fill="EDF3F8" w:val="clear"/>
            <w:tcMar>
              <w:top w:type="dxa" w:w="70"/>
              <w:left w:type="dxa" w:w="110"/>
              <w:bottom w:type="dxa" w:w="70"/>
              <w:right w:type="dxa" w:w="110"/>
            </w:tcMar>
          </w:tcPr>
          <w:p>
            <w:pPr>
              <w:spacing w:line="312"/>
              <w:jc w:val="left"/>
            </w:pPr>
            <w:r>
              <w:rPr>
                <w:rFonts w:ascii="Times New Roman" w:eastAsia="SimSun" w:hAnsi="Times New Roman"/>
                <w:b w:val="false"/>
                <w:bCs w:val="false"/>
                <w:color w:val="000000"/>
                <w:sz w:val="21"/>
                <w:szCs w:val="21"/>
              </w:rPr>
              <w:t xml:space="preserve">100-200 hours over 3-4 months</w:t>
            </w:r>
          </w:p>
        </w:tc>
      </w:tr>
      <w:tr>
        <w:trPr>
          <w:cantSplit/>
        </w:trPr>
        <w:tc>
          <w:tcPr>
            <w:tcW w:type="pct" w:w="12%"/>
            <w:shd w:fill="FFFFFF" w:val="clear"/>
            <w:tcMar>
              <w:top w:type="dxa" w:w="70"/>
              <w:left w:type="dxa" w:w="110"/>
              <w:bottom w:type="dxa" w:w="70"/>
              <w:right w:type="dxa" w:w="110"/>
            </w:tcMar>
          </w:tcPr>
          <w:p>
            <w:pPr>
              <w:spacing w:line="312"/>
              <w:jc w:val="left"/>
            </w:pPr>
            <w:r>
              <w:rPr>
                <w:rFonts w:ascii="Times New Roman" w:eastAsia="SimSun" w:hAnsi="Times New Roman"/>
                <w:b w:val="false"/>
                <w:bCs w:val="false"/>
                <w:color w:val="000000"/>
                <w:sz w:val="21"/>
                <w:szCs w:val="21"/>
              </w:rPr>
              <w:t xml:space="preserve">GMAT</w:t>
            </w:r>
          </w:p>
        </w:tc>
        <w:tc>
          <w:tcPr>
            <w:tcW w:type="pct" w:w="30%"/>
            <w:shd w:fill="FFFFFF" w:val="clear"/>
            <w:tcMar>
              <w:top w:type="dxa" w:w="70"/>
              <w:left w:type="dxa" w:w="110"/>
              <w:bottom w:type="dxa" w:w="70"/>
              <w:right w:type="dxa" w:w="110"/>
            </w:tcMar>
          </w:tcPr>
          <w:p>
            <w:pPr>
              <w:spacing w:line="312"/>
              <w:jc w:val="left"/>
            </w:pPr>
            <w:r>
              <w:rPr>
                <w:rFonts w:ascii="Times New Roman" w:eastAsia="SimSun" w:hAnsi="Times New Roman"/>
                <w:b w:val="false"/>
                <w:bCs w:val="false"/>
                <w:color w:val="000000"/>
                <w:sz w:val="21"/>
                <w:szCs w:val="21"/>
              </w:rPr>
              <w:t xml:space="preserve">mba.com starter kit with 2 free practice exams; official question packs</w:t>
            </w:r>
          </w:p>
        </w:tc>
        <w:tc>
          <w:tcPr>
            <w:tcW w:type="pct" w:w="34%"/>
            <w:shd w:fill="FFFFFF" w:val="clear"/>
            <w:tcMar>
              <w:top w:type="dxa" w:w="70"/>
              <w:left w:type="dxa" w:w="110"/>
              <w:bottom w:type="dxa" w:w="70"/>
              <w:right w:type="dxa" w:w="110"/>
            </w:tcMar>
          </w:tcPr>
          <w:p>
            <w:pPr>
              <w:spacing w:line="312"/>
              <w:jc w:val="left"/>
            </w:pPr>
            <w:r>
              <w:rPr>
                <w:rFonts w:ascii="Times New Roman" w:eastAsia="SimSun" w:hAnsi="Times New Roman"/>
                <w:b w:val="false"/>
                <w:bCs w:val="false"/>
                <w:color w:val="000000"/>
                <w:sz w:val="21"/>
                <w:szCs w:val="21"/>
              </w:rPr>
              <w:t xml:space="preserve">GMAT Official Guide 2024-25; Target Test Prep; e-GMAT; Manhattan Prep</w:t>
            </w:r>
          </w:p>
        </w:tc>
        <w:tc>
          <w:tcPr>
            <w:tcW w:type="pct" w:w="24%"/>
            <w:shd w:fill="FFFFFF" w:val="clear"/>
            <w:tcMar>
              <w:top w:type="dxa" w:w="70"/>
              <w:left w:type="dxa" w:w="110"/>
              <w:bottom w:type="dxa" w:w="70"/>
              <w:right w:type="dxa" w:w="110"/>
            </w:tcMar>
          </w:tcPr>
          <w:p>
            <w:pPr>
              <w:spacing w:line="312"/>
              <w:jc w:val="left"/>
            </w:pPr>
            <w:r>
              <w:rPr>
                <w:rFonts w:ascii="Times New Roman" w:eastAsia="SimSun" w:hAnsi="Times New Roman"/>
                <w:b w:val="false"/>
                <w:bCs w:val="false"/>
                <w:color w:val="000000"/>
                <w:sz w:val="21"/>
                <w:szCs w:val="21"/>
              </w:rPr>
              <w:t xml:space="preserve">100-150 hours over 2-3 months</w:t>
            </w:r>
          </w:p>
        </w:tc>
      </w:tr>
      <w:tr>
        <w:trPr>
          <w:cantSplit/>
        </w:trPr>
        <w:tc>
          <w:tcPr>
            <w:tcW w:type="pct" w:w="12%"/>
            <w:shd w:fill="EDF3F8" w:val="clear"/>
            <w:tcMar>
              <w:top w:type="dxa" w:w="70"/>
              <w:left w:type="dxa" w:w="110"/>
              <w:bottom w:type="dxa" w:w="70"/>
              <w:right w:type="dxa" w:w="110"/>
            </w:tcMar>
          </w:tcPr>
          <w:p>
            <w:pPr>
              <w:spacing w:line="312"/>
              <w:jc w:val="left"/>
            </w:pPr>
            <w:r>
              <w:rPr>
                <w:rFonts w:ascii="Times New Roman" w:eastAsia="SimSun" w:hAnsi="Times New Roman"/>
                <w:b w:val="false"/>
                <w:bCs w:val="false"/>
                <w:color w:val="000000"/>
                <w:sz w:val="21"/>
                <w:szCs w:val="21"/>
              </w:rPr>
              <w:t xml:space="preserve">TOEFL iBT</w:t>
            </w:r>
          </w:p>
        </w:tc>
        <w:tc>
          <w:tcPr>
            <w:tcW w:type="pct" w:w="30%"/>
            <w:shd w:fill="EDF3F8" w:val="clear"/>
            <w:tcMar>
              <w:top w:type="dxa" w:w="70"/>
              <w:left w:type="dxa" w:w="110"/>
              <w:bottom w:type="dxa" w:w="70"/>
              <w:right w:type="dxa" w:w="110"/>
            </w:tcMar>
          </w:tcPr>
          <w:p>
            <w:pPr>
              <w:spacing w:line="312"/>
              <w:jc w:val="left"/>
            </w:pPr>
            <w:r>
              <w:rPr>
                <w:rFonts w:ascii="Times New Roman" w:eastAsia="SimSun" w:hAnsi="Times New Roman"/>
                <w:b w:val="false"/>
                <w:bCs w:val="false"/>
                <w:color w:val="000000"/>
                <w:sz w:val="21"/>
                <w:szCs w:val="21"/>
              </w:rPr>
              <w:t xml:space="preserve">Free full practice test on ets.org; TOEFL TestReady; official Writing and Speaking samples</w:t>
            </w:r>
          </w:p>
        </w:tc>
        <w:tc>
          <w:tcPr>
            <w:tcW w:type="pct" w:w="34%"/>
            <w:shd w:fill="EDF3F8" w:val="clear"/>
            <w:tcMar>
              <w:top w:type="dxa" w:w="70"/>
              <w:left w:type="dxa" w:w="110"/>
              <w:bottom w:type="dxa" w:w="70"/>
              <w:right w:type="dxa" w:w="110"/>
            </w:tcMar>
          </w:tcPr>
          <w:p>
            <w:pPr>
              <w:spacing w:line="312"/>
              <w:jc w:val="left"/>
            </w:pPr>
            <w:r>
              <w:rPr>
                <w:rFonts w:ascii="Times New Roman" w:eastAsia="SimSun" w:hAnsi="Times New Roman"/>
                <w:b w:val="false"/>
                <w:bCs w:val="false"/>
                <w:color w:val="000000"/>
                <w:sz w:val="21"/>
                <w:szCs w:val="21"/>
              </w:rPr>
              <w:t xml:space="preserve">Official Guide to the TOEFL iBT; TST Prep; NoteFull</w:t>
            </w:r>
          </w:p>
        </w:tc>
        <w:tc>
          <w:tcPr>
            <w:tcW w:type="pct" w:w="24%"/>
            <w:shd w:fill="EDF3F8" w:val="clear"/>
            <w:tcMar>
              <w:top w:type="dxa" w:w="70"/>
              <w:left w:type="dxa" w:w="110"/>
              <w:bottom w:type="dxa" w:w="70"/>
              <w:right w:type="dxa" w:w="110"/>
            </w:tcMar>
          </w:tcPr>
          <w:p>
            <w:pPr>
              <w:spacing w:line="312"/>
              <w:jc w:val="left"/>
            </w:pPr>
            <w:r>
              <w:rPr>
                <w:rFonts w:ascii="Times New Roman" w:eastAsia="SimSun" w:hAnsi="Times New Roman"/>
                <w:b w:val="false"/>
                <w:bCs w:val="false"/>
                <w:color w:val="000000"/>
                <w:sz w:val="21"/>
                <w:szCs w:val="21"/>
              </w:rPr>
              <w:t xml:space="preserve">40-100 hours over 1-3 months</w:t>
            </w:r>
          </w:p>
        </w:tc>
      </w:tr>
      <w:tr>
        <w:trPr>
          <w:cantSplit/>
        </w:trPr>
        <w:tc>
          <w:tcPr>
            <w:tcW w:type="pct" w:w="12%"/>
            <w:shd w:fill="FFFFFF" w:val="clear"/>
            <w:tcMar>
              <w:top w:type="dxa" w:w="70"/>
              <w:left w:type="dxa" w:w="110"/>
              <w:bottom w:type="dxa" w:w="70"/>
              <w:right w:type="dxa" w:w="110"/>
            </w:tcMar>
          </w:tcPr>
          <w:p>
            <w:pPr>
              <w:spacing w:line="312"/>
              <w:jc w:val="left"/>
            </w:pPr>
            <w:r>
              <w:rPr>
                <w:rFonts w:ascii="Times New Roman" w:eastAsia="SimSun" w:hAnsi="Times New Roman"/>
                <w:b w:val="false"/>
                <w:bCs w:val="false"/>
                <w:color w:val="000000"/>
                <w:sz w:val="21"/>
                <w:szCs w:val="21"/>
              </w:rPr>
              <w:t xml:space="preserve">IELTS Academic</w:t>
            </w:r>
          </w:p>
        </w:tc>
        <w:tc>
          <w:tcPr>
            <w:tcW w:type="pct" w:w="30%"/>
            <w:shd w:fill="FFFFFF" w:val="clear"/>
            <w:tcMar>
              <w:top w:type="dxa" w:w="70"/>
              <w:left w:type="dxa" w:w="110"/>
              <w:bottom w:type="dxa" w:w="70"/>
              <w:right w:type="dxa" w:w="110"/>
            </w:tcMar>
          </w:tcPr>
          <w:p>
            <w:pPr>
              <w:spacing w:line="312"/>
              <w:jc w:val="left"/>
            </w:pPr>
            <w:r>
              <w:rPr>
                <w:rFonts w:ascii="Times New Roman" w:eastAsia="SimSun" w:hAnsi="Times New Roman"/>
                <w:b w:val="false"/>
                <w:bCs w:val="false"/>
                <w:color w:val="000000"/>
                <w:sz w:val="21"/>
                <w:szCs w:val="21"/>
              </w:rPr>
              <w:t xml:space="preserve">Road to IELTS (British Council); IDP free practice; official sample questions</w:t>
            </w:r>
          </w:p>
        </w:tc>
        <w:tc>
          <w:tcPr>
            <w:tcW w:type="pct" w:w="34%"/>
            <w:shd w:fill="FFFFFF" w:val="clear"/>
            <w:tcMar>
              <w:top w:type="dxa" w:w="70"/>
              <w:left w:type="dxa" w:w="110"/>
              <w:bottom w:type="dxa" w:w="70"/>
              <w:right w:type="dxa" w:w="110"/>
            </w:tcMar>
          </w:tcPr>
          <w:p>
            <w:pPr>
              <w:spacing w:line="312"/>
              <w:jc w:val="left"/>
            </w:pPr>
            <w:r>
              <w:rPr>
                <w:rFonts w:ascii="Times New Roman" w:eastAsia="SimSun" w:hAnsi="Times New Roman"/>
                <w:b w:val="false"/>
                <w:bCs w:val="false"/>
                <w:color w:val="000000"/>
                <w:sz w:val="21"/>
                <w:szCs w:val="21"/>
              </w:rPr>
              <w:t xml:space="preserve">Cambridge IELTS 15-19 past papers; IELTS Liz; IELTS Simon; teacher-marked scripts</w:t>
            </w:r>
          </w:p>
        </w:tc>
        <w:tc>
          <w:tcPr>
            <w:tcW w:type="pct" w:w="24%"/>
            <w:shd w:fill="FFFFFF" w:val="clear"/>
            <w:tcMar>
              <w:top w:type="dxa" w:w="70"/>
              <w:left w:type="dxa" w:w="110"/>
              <w:bottom w:type="dxa" w:w="70"/>
              <w:right w:type="dxa" w:w="110"/>
            </w:tcMar>
          </w:tcPr>
          <w:p>
            <w:pPr>
              <w:spacing w:line="312"/>
              <w:jc w:val="left"/>
            </w:pPr>
            <w:r>
              <w:rPr>
                <w:rFonts w:ascii="Times New Roman" w:eastAsia="SimSun" w:hAnsi="Times New Roman"/>
                <w:b w:val="false"/>
                <w:bCs w:val="false"/>
                <w:color w:val="000000"/>
                <w:sz w:val="21"/>
                <w:szCs w:val="21"/>
              </w:rPr>
              <w:t xml:space="preserve">40-100 hours over 1-3 months</w:t>
            </w:r>
          </w:p>
        </w:tc>
      </w:tr>
    </w:tbl>
    <w:p>
      <w:pPr>
        <w:pStyle w:val="Heading1"/>
        <w:keepNext/>
        <w:spacing w:after="160" w:before="360" w:line="380" w:lineRule="atLeast"/>
      </w:pPr>
      <w:bookmarkStart w:id="100018" w:name="_Toc100018"/>
      <w:r>
        <w:rPr>
          <w:rFonts w:ascii="Times New Roman" w:eastAsia="SimHei" w:hAnsi="Times New Roman"/>
          <w:b/>
          <w:bCs/>
          <w:color w:val="1A5276"/>
          <w:sz w:val="32"/>
          <w:szCs w:val="32"/>
        </w:rPr>
        <w:t xml:space="preserve">4. Registering and Sitting the Exams</w:t>
      </w:r>
      <w:bookmarkEnd w:id="100018"/>
    </w:p>
    <w:p>
      <w:pPr>
        <w:pStyle w:val="Heading2"/>
        <w:keepNext/>
        <w:spacing w:after="120" w:before="260" w:line="340" w:lineRule="atLeast"/>
      </w:pPr>
      <w:bookmarkStart w:id="100019" w:name="_Toc100019"/>
      <w:r>
        <w:rPr>
          <w:rFonts w:ascii="Times New Roman" w:eastAsia="SimHei" w:hAnsi="Times New Roman"/>
          <w:b/>
          <w:bCs/>
          <w:color w:val="1A5276"/>
          <w:sz w:val="28"/>
          <w:szCs w:val="28"/>
        </w:rPr>
        <w:t xml:space="preserve">4.1 Registering for the GRE</w:t>
      </w:r>
      <w:bookmarkEnd w:id="100019"/>
    </w:p>
    <w:p>
      <w:pPr>
        <w:keepNext w:val="false"/>
        <w:spacing w:after="140" w:line="312"/>
        <w:jc w:val="both"/>
      </w:pPr>
      <w:r>
        <w:rPr>
          <w:rFonts w:ascii="Times New Roman" w:eastAsia="SimSun" w:hAnsi="Times New Roman"/>
          <w:b w:val="false"/>
          <w:bCs w:val="false"/>
          <w:color w:val="000000"/>
          <w:sz w:val="24"/>
          <w:szCs w:val="24"/>
        </w:rPr>
        <w:t xml:space="preserve">Registration for the GRE happens entirely through the ETS account portal at </w:t>
      </w:r>
      <w:r>
        <w:rPr>
          <w:rFonts w:ascii="Times New Roman" w:eastAsia="SimSun" w:hAnsi="Times New Roman"/>
          <w:b/>
          <w:bCs/>
          <w:color w:val="000000"/>
          <w:sz w:val="24"/>
          <w:szCs w:val="24"/>
        </w:rPr>
        <w:t xml:space="preserve">ets.org</w:t>
      </w:r>
      <w:r>
        <w:rPr>
          <w:rFonts w:ascii="Times New Roman" w:eastAsia="SimSun" w:hAnsi="Times New Roman"/>
          <w:b w:val="false"/>
          <w:bCs w:val="false"/>
          <w:color w:val="000000"/>
          <w:sz w:val="24"/>
          <w:szCs w:val="24"/>
        </w:rPr>
        <w:t xml:space="preserve">. Create a MyGRE account using a name that matches your identification document character for character, select Register for the GRE General Test, choose between a test center appointment or the GRE at home option, and pay the fee by card or another accepted method. Test centers operate year-round in most countries with appointments typically available several times per week, while the at-home version can be booked around the clock in almost any time zone. International test-takers should present a </w:t>
      </w:r>
      <w:r>
        <w:rPr>
          <w:rFonts w:ascii="Times New Roman" w:eastAsia="SimSun" w:hAnsi="Times New Roman"/>
          <w:b/>
          <w:bCs/>
          <w:color w:val="000000"/>
          <w:sz w:val="24"/>
          <w:szCs w:val="24"/>
        </w:rPr>
        <w:t xml:space="preserve">valid passport</w:t>
      </w:r>
      <w:r>
        <w:rPr>
          <w:rFonts w:ascii="Times New Roman" w:eastAsia="SimSun" w:hAnsi="Times New Roman"/>
          <w:b w:val="false"/>
          <w:bCs w:val="false"/>
          <w:color w:val="000000"/>
          <w:sz w:val="24"/>
          <w:szCs w:val="24"/>
        </w:rPr>
        <w:t xml:space="preserve"> as identification unless ETS lists an alternative for their country, and the name on the account must match the passport exactly or you will be refused entry and lose the fee.</w:t>
      </w:r>
    </w:p>
    <w:p>
      <w:pPr>
        <w:keepNext w:val="false"/>
        <w:spacing w:after="140" w:line="312"/>
        <w:jc w:val="both"/>
      </w:pPr>
      <w:r>
        <w:rPr>
          <w:rFonts w:ascii="Times New Roman" w:eastAsia="SimSun" w:hAnsi="Times New Roman"/>
          <w:b w:val="false"/>
          <w:bCs w:val="false"/>
          <w:color w:val="000000"/>
          <w:sz w:val="24"/>
          <w:szCs w:val="24"/>
        </w:rPr>
        <w:t xml:space="preserve">Rescheduling or changing the test center is possible for a fee (around US$50 in the United States) if done at least a few days before the appointment, and ETS offers a </w:t>
      </w:r>
      <w:r>
        <w:rPr>
          <w:rFonts w:ascii="Times New Roman" w:eastAsia="SimSun" w:hAnsi="Times New Roman"/>
          <w:b/>
          <w:bCs/>
          <w:color w:val="000000"/>
          <w:sz w:val="24"/>
          <w:szCs w:val="24"/>
        </w:rPr>
        <w:t xml:space="preserve">Fee Reduction Program</w:t>
      </w:r>
      <w:r>
        <w:rPr>
          <w:rFonts w:ascii="Times New Roman" w:eastAsia="SimSun" w:hAnsi="Times New Roman"/>
          <w:b w:val="false"/>
          <w:bCs w:val="false"/>
          <w:color w:val="000000"/>
          <w:sz w:val="24"/>
          <w:szCs w:val="24"/>
        </w:rPr>
        <w:t xml:space="preserve"> that halves the cost for eligible candidates with financial need; eligibility rules differ by country and are described in Chapter 5. On test day at a center, arrive 30 to 45 minutes early with your passport, store phones and bags in lockers, and expect security procedures including photography and signature capture. Score reports: four institutions can be designated free of charge on test day immediately after you view your unofficial Verbal, Quantitative and total scores, and ScoreSelect lets you decide per report whether to send that day's result or any previous one from the last five years.</w:t>
      </w:r>
    </w:p>
    <w:p>
      <w:pPr>
        <w:pStyle w:val="Heading2"/>
        <w:keepNext/>
        <w:spacing w:after="120" w:before="260" w:line="340" w:lineRule="atLeast"/>
      </w:pPr>
      <w:bookmarkStart w:id="100020" w:name="_Toc100020"/>
      <w:r>
        <w:rPr>
          <w:rFonts w:ascii="Times New Roman" w:eastAsia="SimHei" w:hAnsi="Times New Roman"/>
          <w:b/>
          <w:bCs/>
          <w:color w:val="1A5276"/>
          <w:sz w:val="28"/>
          <w:szCs w:val="28"/>
        </w:rPr>
        <w:t xml:space="preserve">4.2 Registering for the GMAT</w:t>
      </w:r>
      <w:bookmarkEnd w:id="100020"/>
    </w:p>
    <w:p>
      <w:pPr>
        <w:keepNext w:val="false"/>
        <w:spacing w:after="140" w:line="312"/>
        <w:jc w:val="both"/>
      </w:pPr>
      <w:r>
        <w:rPr>
          <w:rFonts w:ascii="Times New Roman" w:eastAsia="SimSun" w:hAnsi="Times New Roman"/>
          <w:b w:val="false"/>
          <w:bCs w:val="false"/>
          <w:color w:val="000000"/>
          <w:sz w:val="24"/>
          <w:szCs w:val="24"/>
        </w:rPr>
        <w:t xml:space="preserve">The GMAT is scheduled through a single global portal at </w:t>
      </w:r>
      <w:r>
        <w:rPr>
          <w:rFonts w:ascii="Times New Roman" w:eastAsia="SimSun" w:hAnsi="Times New Roman"/>
          <w:b/>
          <w:bCs/>
          <w:color w:val="000000"/>
          <w:sz w:val="24"/>
          <w:szCs w:val="24"/>
        </w:rPr>
        <w:t xml:space="preserve">mba.com</w:t>
      </w:r>
      <w:r>
        <w:rPr>
          <w:rFonts w:ascii="Times New Roman" w:eastAsia="SimSun" w:hAnsi="Times New Roman"/>
          <w:b w:val="false"/>
          <w:bCs w:val="false"/>
          <w:color w:val="000000"/>
          <w:sz w:val="24"/>
          <w:szCs w:val="24"/>
        </w:rPr>
        <w:t xml:space="preserve">: create your account, complete the profile, choose between a test center appointment or the </w:t>
      </w:r>
      <w:r>
        <w:rPr>
          <w:rFonts w:ascii="Times New Roman" w:eastAsia="SimSun" w:hAnsi="Times New Roman"/>
          <w:b/>
          <w:bCs/>
          <w:color w:val="000000"/>
          <w:sz w:val="24"/>
          <w:szCs w:val="24"/>
        </w:rPr>
        <w:t xml:space="preserve">GMAT Online</w:t>
      </w:r>
      <w:r>
        <w:rPr>
          <w:rFonts w:ascii="Times New Roman" w:eastAsia="SimSun" w:hAnsi="Times New Roman"/>
          <w:b w:val="false"/>
          <w:bCs w:val="false"/>
          <w:color w:val="000000"/>
          <w:sz w:val="24"/>
          <w:szCs w:val="24"/>
        </w:rPr>
        <w:t xml:space="preserve"> delivery, pick a date and time, and pay US$275 (center) or US$300 (online) in the United States, with equivalent local pricing elsewhere. The same passport rule applies: the ID you register with must be the document you present on exam day. Rescheduling fees are tiered according to how far in advance you make the change, so book a date you can realistically commit to. GMAC's fee waiver program works differently from ETS's: schools receive waiver codes and distribute them to candidates they invite, so applicants with financial constraints should ask target programs' admissions offices directly whether they participate.</w:t>
      </w:r>
    </w:p>
    <w:p>
      <w:pPr>
        <w:keepNext w:val="false"/>
        <w:spacing w:after="140" w:line="312"/>
        <w:jc w:val="both"/>
      </w:pPr>
      <w:r>
        <w:rPr>
          <w:rFonts w:ascii="Times New Roman" w:eastAsia="SimSun" w:hAnsi="Times New Roman"/>
          <w:b w:val="false"/>
          <w:bCs w:val="false"/>
          <w:color w:val="000000"/>
          <w:sz w:val="24"/>
          <w:szCs w:val="24"/>
        </w:rPr>
        <w:t xml:space="preserve">On test day at a center you will complete check-in, store belongings, and sit the three sections in your chosen order with one optional 10-minute break. Online delivery uses a proctored setup with room scanning and strict desk requirements, and online scores are fully official and indistinguishable in reporting. After the exam you see your unofficial scores immediately and have 48 hours after the official score release to select up to </w:t>
      </w:r>
      <w:r>
        <w:rPr>
          <w:rFonts w:ascii="Times New Roman" w:eastAsia="SimSun" w:hAnsi="Times New Roman"/>
          <w:b/>
          <w:bCs/>
          <w:color w:val="000000"/>
          <w:sz w:val="24"/>
          <w:szCs w:val="24"/>
        </w:rPr>
        <w:t xml:space="preserve">five free score reports</w:t>
      </w:r>
      <w:r>
        <w:rPr>
          <w:rFonts w:ascii="Times New Roman" w:eastAsia="SimSun" w:hAnsi="Times New Roman"/>
          <w:b w:val="false"/>
          <w:bCs w:val="false"/>
          <w:color w:val="000000"/>
          <w:sz w:val="24"/>
          <w:szCs w:val="24"/>
        </w:rPr>
        <w:t xml:space="preserve"> to institutions; additional reports cost US$35 each.</w:t>
      </w:r>
    </w:p>
    <w:p>
      <w:pPr>
        <w:pStyle w:val="Heading2"/>
        <w:keepNext/>
        <w:spacing w:after="120" w:before="260" w:line="340" w:lineRule="atLeast"/>
      </w:pPr>
      <w:bookmarkStart w:id="100021" w:name="_Toc100021"/>
      <w:r>
        <w:rPr>
          <w:rFonts w:ascii="Times New Roman" w:eastAsia="SimHei" w:hAnsi="Times New Roman"/>
          <w:b/>
          <w:bCs/>
          <w:color w:val="1A5276"/>
          <w:sz w:val="28"/>
          <w:szCs w:val="28"/>
        </w:rPr>
        <w:t xml:space="preserve">4.3 Registering for the TOEFL iBT</w:t>
      </w:r>
      <w:bookmarkEnd w:id="100021"/>
    </w:p>
    <w:p>
      <w:pPr>
        <w:keepNext w:val="false"/>
        <w:spacing w:after="140" w:line="312"/>
        <w:jc w:val="both"/>
      </w:pPr>
      <w:r>
        <w:rPr>
          <w:rFonts w:ascii="Times New Roman" w:eastAsia="SimSun" w:hAnsi="Times New Roman"/>
          <w:b w:val="false"/>
          <w:bCs w:val="false"/>
          <w:color w:val="000000"/>
          <w:sz w:val="24"/>
          <w:szCs w:val="24"/>
        </w:rPr>
        <w:t xml:space="preserve">TOEFL registration also runs through ets.org, using a separate TOEFL account from the GRE one. After choosing between a </w:t>
      </w:r>
      <w:r>
        <w:rPr>
          <w:rFonts w:ascii="Times New Roman" w:eastAsia="SimSun" w:hAnsi="Times New Roman"/>
          <w:b/>
          <w:bCs/>
          <w:color w:val="000000"/>
          <w:sz w:val="24"/>
          <w:szCs w:val="24"/>
        </w:rPr>
        <w:t xml:space="preserve">test center</w:t>
      </w:r>
      <w:r>
        <w:rPr>
          <w:rFonts w:ascii="Times New Roman" w:eastAsia="SimSun" w:hAnsi="Times New Roman"/>
          <w:b w:val="false"/>
          <w:bCs w:val="false"/>
          <w:color w:val="000000"/>
          <w:sz w:val="24"/>
          <w:szCs w:val="24"/>
        </w:rPr>
        <w:t xml:space="preserve"> appointment and the </w:t>
      </w:r>
      <w:r>
        <w:rPr>
          <w:rFonts w:ascii="Times New Roman" w:eastAsia="SimSun" w:hAnsi="Times New Roman"/>
          <w:b/>
          <w:bCs/>
          <w:color w:val="000000"/>
          <w:sz w:val="24"/>
          <w:szCs w:val="24"/>
        </w:rPr>
        <w:t xml:space="preserve">TOEFL iBT Home Edition</w:t>
      </w:r>
      <w:r>
        <w:rPr>
          <w:rFonts w:ascii="Times New Roman" w:eastAsia="SimSun" w:hAnsi="Times New Roman"/>
          <w:b w:val="false"/>
          <w:bCs w:val="false"/>
          <w:color w:val="000000"/>
          <w:sz w:val="24"/>
          <w:szCs w:val="24"/>
        </w:rPr>
        <w:t xml:space="preserve">, select a date (weekends and some weekdays, with seats in high-demand cities filling early), pay the country-specific fee, and designate up to four institutions to receive free score reports; this selection can be made until 10 p.m. the evening before the test. The Home Edition requires specific conditions that must be maintained for the whole session: a private room, a clear desk, an approved browser with camera lockdown, and a stable internet connection, with the proctor able to cancel the session for violations.</w:t>
      </w:r>
    </w:p>
    <w:p>
      <w:pPr>
        <w:keepNext w:val="false"/>
        <w:spacing w:after="140" w:line="312"/>
        <w:jc w:val="both"/>
      </w:pPr>
      <w:r>
        <w:rPr>
          <w:rFonts w:ascii="Times New Roman" w:eastAsia="SimSun" w:hAnsi="Times New Roman"/>
          <w:b w:val="false"/>
          <w:bCs w:val="false"/>
          <w:color w:val="000000"/>
          <w:sz w:val="24"/>
          <w:szCs w:val="24"/>
        </w:rPr>
        <w:t xml:space="preserve">Scores appear in your account approximately 4 to 8 days after the test, and official reports reach institutions within days of that. Because results are graded to the 0.5 band by human raters for speaking and writing, plan a margin of at least three weeks between the test and your first application deadline. If a score falls short, there is no formal limit on retaking the TOEFL beyond a short waiting period between attempts, but each attempt costs the full registration fee, which makes preparation the cheaper investment.</w:t>
      </w:r>
    </w:p>
    <w:p>
      <w:pPr>
        <w:pStyle w:val="Heading2"/>
        <w:keepNext/>
        <w:spacing w:after="120" w:before="260" w:line="340" w:lineRule="atLeast"/>
      </w:pPr>
      <w:bookmarkStart w:id="100022" w:name="_Toc100022"/>
      <w:r>
        <w:rPr>
          <w:rFonts w:ascii="Times New Roman" w:eastAsia="SimHei" w:hAnsi="Times New Roman"/>
          <w:b/>
          <w:bCs/>
          <w:color w:val="1A5276"/>
          <w:sz w:val="28"/>
          <w:szCs w:val="28"/>
        </w:rPr>
        <w:t xml:space="preserve">4.4 Registering for the IELTS</w:t>
      </w:r>
      <w:bookmarkEnd w:id="100022"/>
    </w:p>
    <w:p>
      <w:pPr>
        <w:keepNext w:val="false"/>
        <w:spacing w:after="140" w:line="312"/>
        <w:jc w:val="both"/>
      </w:pPr>
      <w:r>
        <w:rPr>
          <w:rFonts w:ascii="Times New Roman" w:eastAsia="SimSun" w:hAnsi="Times New Roman"/>
          <w:b w:val="false"/>
          <w:bCs w:val="false"/>
          <w:color w:val="000000"/>
          <w:sz w:val="24"/>
          <w:szCs w:val="24"/>
        </w:rPr>
        <w:t xml:space="preserve">IELTS is booked through the organization that administers it in your country, either the </w:t>
      </w:r>
      <w:r>
        <w:rPr>
          <w:rFonts w:ascii="Times New Roman" w:eastAsia="SimSun" w:hAnsi="Times New Roman"/>
          <w:b/>
          <w:bCs/>
          <w:color w:val="000000"/>
          <w:sz w:val="24"/>
          <w:szCs w:val="24"/>
        </w:rPr>
        <w:t xml:space="preserve">British Council</w:t>
      </w:r>
      <w:r>
        <w:rPr>
          <w:rFonts w:ascii="Times New Roman" w:eastAsia="SimSun" w:hAnsi="Times New Roman"/>
          <w:b w:val="false"/>
          <w:bCs w:val="false"/>
          <w:color w:val="000000"/>
          <w:sz w:val="24"/>
          <w:szCs w:val="24"/>
        </w:rPr>
        <w:t xml:space="preserve"> or </w:t>
      </w:r>
      <w:r>
        <w:rPr>
          <w:rFonts w:ascii="Times New Roman" w:eastAsia="SimSun" w:hAnsi="Times New Roman"/>
          <w:b/>
          <w:bCs/>
          <w:color w:val="000000"/>
          <w:sz w:val="24"/>
          <w:szCs w:val="24"/>
        </w:rPr>
        <w:t xml:space="preserve">IDP Education</w:t>
      </w:r>
      <w:r>
        <w:rPr>
          <w:rFonts w:ascii="Times New Roman" w:eastAsia="SimSun" w:hAnsi="Times New Roman"/>
          <w:b w:val="false"/>
          <w:bCs w:val="false"/>
          <w:color w:val="000000"/>
          <w:sz w:val="24"/>
          <w:szCs w:val="24"/>
        </w:rPr>
        <w:t xml:space="preserve">; both deliver the identical test and their websites include a test-location finder with live dates and fees. Choose </w:t>
      </w:r>
      <w:r>
        <w:rPr>
          <w:rFonts w:ascii="Times New Roman" w:eastAsia="SimSun" w:hAnsi="Times New Roman"/>
          <w:b/>
          <w:bCs/>
          <w:color w:val="000000"/>
          <w:sz w:val="24"/>
          <w:szCs w:val="24"/>
        </w:rPr>
        <w:t xml:space="preserve">IELTS Academic</w:t>
      </w:r>
      <w:r>
        <w:rPr>
          <w:rFonts w:ascii="Times New Roman" w:eastAsia="SimSun" w:hAnsi="Times New Roman"/>
          <w:b w:val="false"/>
          <w:bCs w:val="false"/>
          <w:color w:val="000000"/>
          <w:sz w:val="24"/>
          <w:szCs w:val="24"/>
        </w:rPr>
        <w:t xml:space="preserve"> and then computer-delivered or paper-based: computer-delivered results arrive in 1 to 5 days and offer more frequent dates, while paper-based results take about 13 days. During booking you select the speaking slot where options exist (speaking may be held on a different day), enter the identity document details you will present at the test, and pay the local fee. The document used at registration, almost always a passport for international purposes, must be brought to both the written and speaking sessions.</w:t>
      </w:r>
    </w:p>
    <w:p>
      <w:pPr>
        <w:keepNext w:val="false"/>
        <w:spacing w:after="140" w:line="312"/>
        <w:jc w:val="both"/>
      </w:pPr>
      <w:r>
        <w:rPr>
          <w:rFonts w:ascii="Times New Roman" w:eastAsia="SimSun" w:hAnsi="Times New Roman"/>
          <w:b w:val="false"/>
          <w:bCs w:val="false"/>
          <w:color w:val="000000"/>
          <w:sz w:val="24"/>
          <w:szCs w:val="24"/>
        </w:rPr>
        <w:t xml:space="preserve">Up to </w:t>
      </w:r>
      <w:r>
        <w:rPr>
          <w:rFonts w:ascii="Times New Roman" w:eastAsia="SimSun" w:hAnsi="Times New Roman"/>
          <w:b/>
          <w:bCs/>
          <w:color w:val="000000"/>
          <w:sz w:val="24"/>
          <w:szCs w:val="24"/>
        </w:rPr>
        <w:t xml:space="preserve">five copies</w:t>
      </w:r>
      <w:r>
        <w:rPr>
          <w:rFonts w:ascii="Times New Roman" w:eastAsia="SimSun" w:hAnsi="Times New Roman"/>
          <w:b w:val="false"/>
          <w:bCs w:val="false"/>
          <w:color w:val="000000"/>
          <w:sz w:val="24"/>
          <w:szCs w:val="24"/>
        </w:rPr>
        <w:t xml:space="preserve"> of your Test Report Form are sent to institutions free of charge, and additional copies can be requested for a small fee. Candidates in most countries can also use </w:t>
      </w:r>
      <w:r>
        <w:rPr>
          <w:rFonts w:ascii="Times New Roman" w:eastAsia="SimSun" w:hAnsi="Times New Roman"/>
          <w:b/>
          <w:bCs/>
          <w:color w:val="000000"/>
          <w:sz w:val="24"/>
          <w:szCs w:val="24"/>
        </w:rPr>
        <w:t xml:space="preserve">One Skill Retake</w:t>
      </w:r>
      <w:r>
        <w:rPr>
          <w:rFonts w:ascii="Times New Roman" w:eastAsia="SimSun" w:hAnsi="Times New Roman"/>
          <w:b w:val="false"/>
          <w:bCs w:val="false"/>
          <w:color w:val="000000"/>
          <w:sz w:val="24"/>
          <w:szCs w:val="24"/>
        </w:rPr>
        <w:t xml:space="preserve"> after a computer-delivered attempt: if only one skill fell short, you can re-sit that single skill within a limited window rather than the entire test, and a new Test Report Form is issued. Confirm with your target institutions that they accept results containing a One Skill Retake before relying on it.</w:t>
      </w:r>
    </w:p>
    <w:p>
      <w:pPr>
        <w:pStyle w:val="Heading2"/>
        <w:keepNext/>
        <w:spacing w:after="120" w:before="260" w:line="340" w:lineRule="atLeast"/>
      </w:pPr>
      <w:bookmarkStart w:id="100023" w:name="_Toc100023"/>
      <w:r>
        <w:rPr>
          <w:rFonts w:ascii="Times New Roman" w:eastAsia="SimHei" w:hAnsi="Times New Roman"/>
          <w:b/>
          <w:bCs/>
          <w:color w:val="1A5276"/>
          <w:sz w:val="28"/>
          <w:szCs w:val="28"/>
        </w:rPr>
        <w:t xml:space="preserve">4.5 Test Center or At Home: Which to Choose</w:t>
      </w:r>
      <w:bookmarkEnd w:id="100023"/>
    </w:p>
    <w:p>
      <w:pPr>
        <w:keepNext/>
        <w:spacing w:after="140" w:line="312"/>
        <w:jc w:val="both"/>
      </w:pPr>
      <w:r>
        <w:rPr>
          <w:rFonts w:ascii="Times New Roman" w:eastAsia="SimSun" w:hAnsi="Times New Roman"/>
          <w:b w:val="false"/>
          <w:bCs w:val="false"/>
          <w:color w:val="000000"/>
          <w:sz w:val="24"/>
          <w:szCs w:val="24"/>
        </w:rPr>
        <w:t xml:space="preserve">All four exams can now be taken either at an authorized center or at home under live proctoring, and both routes produce fully official scores. The decision usually comes down to environment and reliability rather than validity. The comparison below summarizes the practical trade-offs.</w:t>
      </w:r>
    </w:p>
    <w:p>
      <w:pPr>
        <w:keepNext/>
        <w:spacing w:after="80" w:before="160" w:line="312"/>
      </w:pPr>
      <w:r>
        <w:rPr>
          <w:rFonts w:ascii="Times New Roman" w:eastAsia="SimSun" w:hAnsi="Times New Roman"/>
          <w:b/>
          <w:bCs/>
          <w:color w:val="1A5276"/>
          <w:sz w:val="21"/>
          <w:szCs w:val="21"/>
        </w:rPr>
        <w:t xml:space="preserve">Table 3: </w:t>
      </w:r>
      <w:r>
        <w:rPr>
          <w:rFonts w:ascii="Times New Roman" w:eastAsia="SimSun" w:hAnsi="Times New Roman"/>
          <w:b/>
          <w:bCs/>
          <w:color w:val="000000"/>
          <w:sz w:val="21"/>
          <w:szCs w:val="21"/>
        </w:rPr>
        <w:t xml:space="preserve">Test center versus at-home delivery</w:t>
      </w:r>
    </w:p>
    <w:tbl>
      <w:tblPr>
        <w:tblW w:type="pct" w:w="100%"/>
        <w:tblBorders>
          <w:top w:val="single" w:color="1A5276" w:sz="6"/>
          <w:left w:val="none" w:color="FFFFFF" w:sz="0"/>
          <w:bottom w:val="single" w:color="1A5276" w:sz="6"/>
          <w:right w:val="none" w:color="FFFFFF" w:sz="0"/>
          <w:insideH w:val="single" w:color="D0DDE8" w:sz="2"/>
          <w:insideV w:val="none" w:color="FFFFFF" w:sz="0"/>
        </w:tblBorders>
      </w:tblPr>
      <w:tblGrid>
        <w:gridCol w:w="100"/>
        <w:gridCol w:w="100"/>
        <w:gridCol w:w="100"/>
      </w:tblGrid>
      <w:tr>
        <w:trPr>
          <w:cantSplit/>
          <w:tblHeader/>
        </w:trPr>
        <w:tc>
          <w:tcPr>
            <w:tcW w:type="pct" w:w="24%"/>
            <w:shd w:fill="2E86C1" w:val="clear"/>
            <w:tcMar>
              <w:top w:type="dxa" w:w="70"/>
              <w:left w:type="dxa" w:w="110"/>
              <w:bottom w:type="dxa" w:w="70"/>
              <w:right w:type="dxa" w:w="110"/>
            </w:tcMar>
          </w:tcPr>
          <w:p>
            <w:pPr>
              <w:spacing w:line="312"/>
              <w:jc w:val="left"/>
            </w:pPr>
            <w:r>
              <w:rPr>
                <w:rFonts w:ascii="Times New Roman" w:eastAsia="SimSun" w:hAnsi="Times New Roman"/>
                <w:b/>
                <w:bCs/>
                <w:color w:val="FFFFFF"/>
                <w:sz w:val="21"/>
                <w:szCs w:val="21"/>
              </w:rPr>
              <w:t xml:space="preserve">Consideration</w:t>
            </w:r>
          </w:p>
        </w:tc>
        <w:tc>
          <w:tcPr>
            <w:tcW w:type="pct" w:w="36%"/>
            <w:shd w:fill="2E86C1" w:val="clear"/>
            <w:tcMar>
              <w:top w:type="dxa" w:w="70"/>
              <w:left w:type="dxa" w:w="110"/>
              <w:bottom w:type="dxa" w:w="70"/>
              <w:right w:type="dxa" w:w="110"/>
            </w:tcMar>
          </w:tcPr>
          <w:p>
            <w:pPr>
              <w:spacing w:line="312"/>
              <w:jc w:val="left"/>
            </w:pPr>
            <w:r>
              <w:rPr>
                <w:rFonts w:ascii="Times New Roman" w:eastAsia="SimSun" w:hAnsi="Times New Roman"/>
                <w:b/>
                <w:bCs/>
                <w:color w:val="FFFFFF"/>
                <w:sz w:val="21"/>
                <w:szCs w:val="21"/>
              </w:rPr>
              <w:t xml:space="preserve">Test center</w:t>
            </w:r>
          </w:p>
        </w:tc>
        <w:tc>
          <w:tcPr>
            <w:tcW w:type="pct" w:w="40%"/>
            <w:shd w:fill="2E86C1" w:val="clear"/>
            <w:tcMar>
              <w:top w:type="dxa" w:w="70"/>
              <w:left w:type="dxa" w:w="110"/>
              <w:bottom w:type="dxa" w:w="70"/>
              <w:right w:type="dxa" w:w="110"/>
            </w:tcMar>
          </w:tcPr>
          <w:p>
            <w:pPr>
              <w:spacing w:line="312"/>
              <w:jc w:val="left"/>
            </w:pPr>
            <w:r>
              <w:rPr>
                <w:rFonts w:ascii="Times New Roman" w:eastAsia="SimSun" w:hAnsi="Times New Roman"/>
                <w:b/>
                <w:bCs/>
                <w:color w:val="FFFFFF"/>
                <w:sz w:val="21"/>
                <w:szCs w:val="21"/>
              </w:rPr>
              <w:t xml:space="preserve">At home</w:t>
            </w:r>
          </w:p>
        </w:tc>
      </w:tr>
      <w:tr>
        <w:trPr>
          <w:cantSplit/>
        </w:trPr>
        <w:tc>
          <w:tcPr>
            <w:tcW w:type="pct" w:w="24%"/>
            <w:shd w:fill="EDF3F8" w:val="clear"/>
            <w:tcMar>
              <w:top w:type="dxa" w:w="70"/>
              <w:left w:type="dxa" w:w="110"/>
              <w:bottom w:type="dxa" w:w="70"/>
              <w:right w:type="dxa" w:w="110"/>
            </w:tcMar>
          </w:tcPr>
          <w:p>
            <w:pPr>
              <w:spacing w:line="312"/>
              <w:jc w:val="left"/>
            </w:pPr>
            <w:r>
              <w:rPr>
                <w:rFonts w:ascii="Times New Roman" w:eastAsia="SimSun" w:hAnsi="Times New Roman"/>
                <w:b w:val="false"/>
                <w:bCs w:val="false"/>
                <w:color w:val="000000"/>
                <w:sz w:val="21"/>
                <w:szCs w:val="21"/>
              </w:rPr>
              <w:t xml:space="preserve">Scheduling</w:t>
            </w:r>
          </w:p>
        </w:tc>
        <w:tc>
          <w:tcPr>
            <w:tcW w:type="pct" w:w="36%"/>
            <w:shd w:fill="EDF3F8" w:val="clear"/>
            <w:tcMar>
              <w:top w:type="dxa" w:w="70"/>
              <w:left w:type="dxa" w:w="110"/>
              <w:bottom w:type="dxa" w:w="70"/>
              <w:right w:type="dxa" w:w="110"/>
            </w:tcMar>
          </w:tcPr>
          <w:p>
            <w:pPr>
              <w:spacing w:line="312"/>
              <w:jc w:val="left"/>
            </w:pPr>
            <w:r>
              <w:rPr>
                <w:rFonts w:ascii="Times New Roman" w:eastAsia="SimSun" w:hAnsi="Times New Roman"/>
                <w:b w:val="false"/>
                <w:bCs w:val="false"/>
                <w:color w:val="000000"/>
                <w:sz w:val="21"/>
                <w:szCs w:val="21"/>
              </w:rPr>
              <w:t xml:space="preserve">Fixed sessions, limited seats in busy cities</w:t>
            </w:r>
          </w:p>
        </w:tc>
        <w:tc>
          <w:tcPr>
            <w:tcW w:type="pct" w:w="40%"/>
            <w:shd w:fill="EDF3F8" w:val="clear"/>
            <w:tcMar>
              <w:top w:type="dxa" w:w="70"/>
              <w:left w:type="dxa" w:w="110"/>
              <w:bottom w:type="dxa" w:w="70"/>
              <w:right w:type="dxa" w:w="110"/>
            </w:tcMar>
          </w:tcPr>
          <w:p>
            <w:pPr>
              <w:spacing w:line="312"/>
              <w:jc w:val="left"/>
            </w:pPr>
            <w:r>
              <w:rPr>
                <w:rFonts w:ascii="Times New Roman" w:eastAsia="SimSun" w:hAnsi="Times New Roman"/>
                <w:b w:val="false"/>
                <w:bCs w:val="false"/>
                <w:color w:val="000000"/>
                <w:sz w:val="21"/>
                <w:szCs w:val="21"/>
              </w:rPr>
              <w:t xml:space="preserve">Very flexible, including evenings and weekends</w:t>
            </w:r>
          </w:p>
        </w:tc>
      </w:tr>
      <w:tr>
        <w:trPr>
          <w:cantSplit/>
        </w:trPr>
        <w:tc>
          <w:tcPr>
            <w:tcW w:type="pct" w:w="24%"/>
            <w:shd w:fill="FFFFFF" w:val="clear"/>
            <w:tcMar>
              <w:top w:type="dxa" w:w="70"/>
              <w:left w:type="dxa" w:w="110"/>
              <w:bottom w:type="dxa" w:w="70"/>
              <w:right w:type="dxa" w:w="110"/>
            </w:tcMar>
          </w:tcPr>
          <w:p>
            <w:pPr>
              <w:spacing w:line="312"/>
              <w:jc w:val="left"/>
            </w:pPr>
            <w:r>
              <w:rPr>
                <w:rFonts w:ascii="Times New Roman" w:eastAsia="SimSun" w:hAnsi="Times New Roman"/>
                <w:b w:val="false"/>
                <w:bCs w:val="false"/>
                <w:color w:val="000000"/>
                <w:sz w:val="21"/>
                <w:szCs w:val="21"/>
              </w:rPr>
              <w:t xml:space="preserve">Environment</w:t>
            </w:r>
          </w:p>
        </w:tc>
        <w:tc>
          <w:tcPr>
            <w:tcW w:type="pct" w:w="36%"/>
            <w:shd w:fill="FFFFFF" w:val="clear"/>
            <w:tcMar>
              <w:top w:type="dxa" w:w="70"/>
              <w:left w:type="dxa" w:w="110"/>
              <w:bottom w:type="dxa" w:w="70"/>
              <w:right w:type="dxa" w:w="110"/>
            </w:tcMar>
          </w:tcPr>
          <w:p>
            <w:pPr>
              <w:spacing w:line="312"/>
              <w:jc w:val="left"/>
            </w:pPr>
            <w:r>
              <w:rPr>
                <w:rFonts w:ascii="Times New Roman" w:eastAsia="SimSun" w:hAnsi="Times New Roman"/>
                <w:b w:val="false"/>
                <w:bCs w:val="false"/>
                <w:color w:val="000000"/>
                <w:sz w:val="21"/>
                <w:szCs w:val="21"/>
              </w:rPr>
              <w:t xml:space="preserve">Standardized hardware, staff on site</w:t>
            </w:r>
          </w:p>
        </w:tc>
        <w:tc>
          <w:tcPr>
            <w:tcW w:type="pct" w:w="40%"/>
            <w:shd w:fill="FFFFFF" w:val="clear"/>
            <w:tcMar>
              <w:top w:type="dxa" w:w="70"/>
              <w:left w:type="dxa" w:w="110"/>
              <w:bottom w:type="dxa" w:w="70"/>
              <w:right w:type="dxa" w:w="110"/>
            </w:tcMar>
          </w:tcPr>
          <w:p>
            <w:pPr>
              <w:spacing w:line="312"/>
              <w:jc w:val="left"/>
            </w:pPr>
            <w:r>
              <w:rPr>
                <w:rFonts w:ascii="Times New Roman" w:eastAsia="SimSun" w:hAnsi="Times New Roman"/>
                <w:b w:val="false"/>
                <w:bCs w:val="false"/>
                <w:color w:val="000000"/>
                <w:sz w:val="21"/>
                <w:szCs w:val="21"/>
              </w:rPr>
              <w:t xml:space="preserve">You must control room, desk, internet and camera for hours</w:t>
            </w:r>
          </w:p>
        </w:tc>
      </w:tr>
      <w:tr>
        <w:trPr>
          <w:cantSplit/>
        </w:trPr>
        <w:tc>
          <w:tcPr>
            <w:tcW w:type="pct" w:w="24%"/>
            <w:shd w:fill="EDF3F8" w:val="clear"/>
            <w:tcMar>
              <w:top w:type="dxa" w:w="70"/>
              <w:left w:type="dxa" w:w="110"/>
              <w:bottom w:type="dxa" w:w="70"/>
              <w:right w:type="dxa" w:w="110"/>
            </w:tcMar>
          </w:tcPr>
          <w:p>
            <w:pPr>
              <w:spacing w:line="312"/>
              <w:jc w:val="left"/>
            </w:pPr>
            <w:r>
              <w:rPr>
                <w:rFonts w:ascii="Times New Roman" w:eastAsia="SimSun" w:hAnsi="Times New Roman"/>
                <w:b w:val="false"/>
                <w:bCs w:val="false"/>
                <w:color w:val="000000"/>
                <w:sz w:val="21"/>
                <w:szCs w:val="21"/>
              </w:rPr>
              <w:t xml:space="preserve">Technical risk</w:t>
            </w:r>
          </w:p>
        </w:tc>
        <w:tc>
          <w:tcPr>
            <w:tcW w:type="pct" w:w="36%"/>
            <w:shd w:fill="EDF3F8" w:val="clear"/>
            <w:tcMar>
              <w:top w:type="dxa" w:w="70"/>
              <w:left w:type="dxa" w:w="110"/>
              <w:bottom w:type="dxa" w:w="70"/>
              <w:right w:type="dxa" w:w="110"/>
            </w:tcMar>
          </w:tcPr>
          <w:p>
            <w:pPr>
              <w:spacing w:line="312"/>
              <w:jc w:val="left"/>
            </w:pPr>
            <w:r>
              <w:rPr>
                <w:rFonts w:ascii="Times New Roman" w:eastAsia="SimSun" w:hAnsi="Times New Roman"/>
                <w:b w:val="false"/>
                <w:bCs w:val="false"/>
                <w:color w:val="000000"/>
                <w:sz w:val="21"/>
                <w:szCs w:val="21"/>
              </w:rPr>
              <w:t xml:space="preserve">Low; equipment managed by the center</w:t>
            </w:r>
          </w:p>
        </w:tc>
        <w:tc>
          <w:tcPr>
            <w:tcW w:type="pct" w:w="40%"/>
            <w:shd w:fill="EDF3F8" w:val="clear"/>
            <w:tcMar>
              <w:top w:type="dxa" w:w="70"/>
              <w:left w:type="dxa" w:w="110"/>
              <w:bottom w:type="dxa" w:w="70"/>
              <w:right w:type="dxa" w:w="110"/>
            </w:tcMar>
          </w:tcPr>
          <w:p>
            <w:pPr>
              <w:spacing w:line="312"/>
              <w:jc w:val="left"/>
            </w:pPr>
            <w:r>
              <w:rPr>
                <w:rFonts w:ascii="Times New Roman" w:eastAsia="SimSun" w:hAnsi="Times New Roman"/>
                <w:b w:val="false"/>
                <w:bCs w:val="false"/>
                <w:color w:val="000000"/>
                <w:sz w:val="21"/>
                <w:szCs w:val="21"/>
              </w:rPr>
              <w:t xml:space="preserve">Real risk: connection drops or software failures can void a session</w:t>
            </w:r>
          </w:p>
        </w:tc>
      </w:tr>
      <w:tr>
        <w:trPr>
          <w:cantSplit/>
        </w:trPr>
        <w:tc>
          <w:tcPr>
            <w:tcW w:type="pct" w:w="24%"/>
            <w:shd w:fill="FFFFFF" w:val="clear"/>
            <w:tcMar>
              <w:top w:type="dxa" w:w="70"/>
              <w:left w:type="dxa" w:w="110"/>
              <w:bottom w:type="dxa" w:w="70"/>
              <w:right w:type="dxa" w:w="110"/>
            </w:tcMar>
          </w:tcPr>
          <w:p>
            <w:pPr>
              <w:spacing w:line="312"/>
              <w:jc w:val="left"/>
            </w:pPr>
            <w:r>
              <w:rPr>
                <w:rFonts w:ascii="Times New Roman" w:eastAsia="SimSun" w:hAnsi="Times New Roman"/>
                <w:b w:val="false"/>
                <w:bCs w:val="false"/>
                <w:color w:val="000000"/>
                <w:sz w:val="21"/>
                <w:szCs w:val="21"/>
              </w:rPr>
              <w:t xml:space="preserve">Scoring and acceptance</w:t>
            </w:r>
          </w:p>
        </w:tc>
        <w:tc>
          <w:tcPr>
            <w:tcW w:type="pct" w:w="36%"/>
            <w:shd w:fill="FFFFFF" w:val="clear"/>
            <w:tcMar>
              <w:top w:type="dxa" w:w="70"/>
              <w:left w:type="dxa" w:w="110"/>
              <w:bottom w:type="dxa" w:w="70"/>
              <w:right w:type="dxa" w:w="110"/>
            </w:tcMar>
          </w:tcPr>
          <w:p>
            <w:pPr>
              <w:spacing w:line="312"/>
              <w:jc w:val="left"/>
            </w:pPr>
            <w:r>
              <w:rPr>
                <w:rFonts w:ascii="Times New Roman" w:eastAsia="SimSun" w:hAnsi="Times New Roman"/>
                <w:b w:val="false"/>
                <w:bCs w:val="false"/>
                <w:color w:val="000000"/>
                <w:sz w:val="21"/>
                <w:szCs w:val="21"/>
              </w:rPr>
              <w:t xml:space="preserve">Fully official everywhere</w:t>
            </w:r>
          </w:p>
        </w:tc>
        <w:tc>
          <w:tcPr>
            <w:tcW w:type="pct" w:w="40%"/>
            <w:shd w:fill="FFFFFF" w:val="clear"/>
            <w:tcMar>
              <w:top w:type="dxa" w:w="70"/>
              <w:left w:type="dxa" w:w="110"/>
              <w:bottom w:type="dxa" w:w="70"/>
              <w:right w:type="dxa" w:w="110"/>
            </w:tcMar>
          </w:tcPr>
          <w:p>
            <w:pPr>
              <w:spacing w:line="312"/>
              <w:jc w:val="left"/>
            </w:pPr>
            <w:r>
              <w:rPr>
                <w:rFonts w:ascii="Times New Roman" w:eastAsia="SimSun" w:hAnsi="Times New Roman"/>
                <w:b w:val="false"/>
                <w:bCs w:val="false"/>
                <w:color w:val="000000"/>
                <w:sz w:val="21"/>
                <w:szCs w:val="21"/>
              </w:rPr>
              <w:t xml:space="preserve">Fully official for GRE, GMAT, TOEFL; IELTS Online availability varies by country</w:t>
            </w:r>
          </w:p>
        </w:tc>
      </w:tr>
      <w:tr>
        <w:trPr>
          <w:cantSplit/>
        </w:trPr>
        <w:tc>
          <w:tcPr>
            <w:tcW w:type="pct" w:w="24%"/>
            <w:shd w:fill="EDF3F8" w:val="clear"/>
            <w:tcMar>
              <w:top w:type="dxa" w:w="70"/>
              <w:left w:type="dxa" w:w="110"/>
              <w:bottom w:type="dxa" w:w="70"/>
              <w:right w:type="dxa" w:w="110"/>
            </w:tcMar>
          </w:tcPr>
          <w:p>
            <w:pPr>
              <w:spacing w:line="312"/>
              <w:jc w:val="left"/>
            </w:pPr>
            <w:r>
              <w:rPr>
                <w:rFonts w:ascii="Times New Roman" w:eastAsia="SimSun" w:hAnsi="Times New Roman"/>
                <w:b w:val="false"/>
                <w:bCs w:val="false"/>
                <w:color w:val="000000"/>
                <w:sz w:val="21"/>
                <w:szCs w:val="21"/>
              </w:rPr>
              <w:t xml:space="preserve">Program perception</w:t>
            </w:r>
          </w:p>
        </w:tc>
        <w:tc>
          <w:tcPr>
            <w:tcW w:type="pct" w:w="36%"/>
            <w:shd w:fill="EDF3F8" w:val="clear"/>
            <w:tcMar>
              <w:top w:type="dxa" w:w="70"/>
              <w:left w:type="dxa" w:w="110"/>
              <w:bottom w:type="dxa" w:w="70"/>
              <w:right w:type="dxa" w:w="110"/>
            </w:tcMar>
          </w:tcPr>
          <w:p>
            <w:pPr>
              <w:spacing w:line="312"/>
              <w:jc w:val="left"/>
            </w:pPr>
            <w:r>
              <w:rPr>
                <w:rFonts w:ascii="Times New Roman" w:eastAsia="SimSun" w:hAnsi="Times New Roman"/>
                <w:b w:val="false"/>
                <w:bCs w:val="false"/>
                <w:color w:val="000000"/>
                <w:sz w:val="21"/>
                <w:szCs w:val="21"/>
              </w:rPr>
              <w:t xml:space="preserve">Never questioned</w:t>
            </w:r>
          </w:p>
        </w:tc>
        <w:tc>
          <w:tcPr>
            <w:tcW w:type="pct" w:w="40%"/>
            <w:shd w:fill="EDF3F8" w:val="clear"/>
            <w:tcMar>
              <w:top w:type="dxa" w:w="70"/>
              <w:left w:type="dxa" w:w="110"/>
              <w:bottom w:type="dxa" w:w="70"/>
              <w:right w:type="dxa" w:w="110"/>
            </w:tcMar>
          </w:tcPr>
          <w:p>
            <w:pPr>
              <w:spacing w:line="312"/>
              <w:jc w:val="left"/>
            </w:pPr>
            <w:r>
              <w:rPr>
                <w:rFonts w:ascii="Times New Roman" w:eastAsia="SimSun" w:hAnsi="Times New Roman"/>
                <w:b w:val="false"/>
                <w:bCs w:val="false"/>
                <w:color w:val="000000"/>
                <w:sz w:val="21"/>
                <w:szCs w:val="21"/>
              </w:rPr>
              <w:t xml:space="preserve">Valid, though a few competitive programs quietly favor center scores; verify if unsure</w:t>
            </w:r>
          </w:p>
        </w:tc>
      </w:tr>
    </w:tbl>
    <w:p>
      <w:pPr>
        <w:keepNext w:val="false"/>
        <w:spacing w:after="140" w:line="312"/>
        <w:jc w:val="both"/>
      </w:pPr>
      <w:r>
        <w:rPr>
          <w:rFonts w:ascii="Times New Roman" w:eastAsia="SimSun" w:hAnsi="Times New Roman"/>
          <w:b w:val="false"/>
          <w:bCs w:val="false"/>
          <w:color w:val="000000"/>
          <w:sz w:val="24"/>
          <w:szCs w:val="24"/>
        </w:rPr>
        <w:t xml:space="preserve">A sensible default is to take the exam at a center whenever a reachable one exists and to use the at-home option when travel is expensive, seats are scarce, or you perform better in a familiar setting. Whichever route you choose, run the official system check on the same computer and network days before the appointment, and read the current rules on breaks, scratch paper and whiteboards, which differ between the at-home and center versions of each exam.</w:t>
      </w:r>
    </w:p>
    <w:p>
      <w:pPr>
        <w:pStyle w:val="Heading2"/>
        <w:keepNext/>
        <w:spacing w:after="120" w:before="260" w:line="340" w:lineRule="atLeast"/>
      </w:pPr>
      <w:bookmarkStart w:id="100024" w:name="_Toc100024"/>
      <w:r>
        <w:rPr>
          <w:rFonts w:ascii="Times New Roman" w:eastAsia="SimHei" w:hAnsi="Times New Roman"/>
          <w:b/>
          <w:bCs/>
          <w:color w:val="1A5276"/>
          <w:sz w:val="28"/>
          <w:szCs w:val="28"/>
        </w:rPr>
        <w:t xml:space="preserve">4.6 What Happens on Test Day</w:t>
      </w:r>
      <w:bookmarkEnd w:id="100024"/>
    </w:p>
    <w:p>
      <w:pPr>
        <w:keepNext w:val="false"/>
        <w:spacing w:after="140" w:line="312"/>
        <w:jc w:val="both"/>
      </w:pPr>
      <w:r>
        <w:rPr>
          <w:rFonts w:ascii="Times New Roman" w:eastAsia="SimSun" w:hAnsi="Times New Roman"/>
          <w:b w:val="false"/>
          <w:bCs w:val="false"/>
          <w:color w:val="000000"/>
          <w:sz w:val="24"/>
          <w:szCs w:val="24"/>
        </w:rPr>
        <w:t xml:space="preserve">The mechanics of test day are similar across all four exams, and small administrative mistakes are among the most avoidable causes of lost fees. Bring the </w:t>
      </w:r>
      <w:r>
        <w:rPr>
          <w:rFonts w:ascii="Times New Roman" w:eastAsia="SimSun" w:hAnsi="Times New Roman"/>
          <w:b/>
          <w:bCs/>
          <w:color w:val="000000"/>
          <w:sz w:val="24"/>
          <w:szCs w:val="24"/>
        </w:rPr>
        <w:t xml:space="preserve">original identification document</w:t>
      </w:r>
      <w:r>
        <w:rPr>
          <w:rFonts w:ascii="Times New Roman" w:eastAsia="SimSun" w:hAnsi="Times New Roman"/>
          <w:b w:val="false"/>
          <w:bCs w:val="false"/>
          <w:color w:val="000000"/>
          <w:sz w:val="24"/>
          <w:szCs w:val="24"/>
        </w:rPr>
        <w:t xml:space="preserve"> you registered with; photocopies or digital images are rejected. Arrive early enough to absorb check-in queues, photography and locker procedures, typically 30 to 45 minutes. Personal items, including phones, watches and notes, stay in lockers outside the testing room. During aptitude tests, an on-screen calculator appears only where the design allows it (GRE Quantitative and the whole GMAT), and scrap paper or an erasable booklet is provided at centers, while at-home versions use an approved online whiteboard. English tests supply note-taking paper for the listening sections.</w:t>
      </w:r>
    </w:p>
    <w:p>
      <w:pPr>
        <w:keepNext w:val="false"/>
        <w:spacing w:after="140" w:line="312"/>
        <w:jc w:val="both"/>
      </w:pPr>
      <w:r>
        <w:rPr>
          <w:rFonts w:ascii="Times New Roman" w:eastAsia="SimSun" w:hAnsi="Times New Roman"/>
          <w:b w:val="false"/>
          <w:bCs w:val="false"/>
          <w:color w:val="000000"/>
          <w:sz w:val="24"/>
          <w:szCs w:val="24"/>
        </w:rPr>
        <w:t xml:space="preserve">Pacing discipline matters as much as knowledge: every section has published timing, unofficial scores for the aptitude tests appear on screen at the end with the option to accept, cancel or, on the GMAT, view section performance before deciding, and the official reports follow within days to weeks depending on the exam. If something goes wrong technically, report it to the invigilator or proctor immediately and file a formal complaint before leaving, because retroactive remedies without a same-day record are rare.</w:t>
      </w:r>
    </w:p>
    <w:p>
      <w:pPr>
        <w:pStyle w:val="Heading1"/>
        <w:keepNext/>
        <w:spacing w:after="160" w:before="360" w:line="380" w:lineRule="atLeast"/>
      </w:pPr>
      <w:bookmarkStart w:id="100025" w:name="_Toc100025"/>
      <w:r>
        <w:rPr>
          <w:rFonts w:ascii="Times New Roman" w:eastAsia="SimHei" w:hAnsi="Times New Roman"/>
          <w:b/>
          <w:bCs/>
          <w:color w:val="1A5276"/>
          <w:sz w:val="32"/>
          <w:szCs w:val="32"/>
        </w:rPr>
        <w:t xml:space="preserve">5. Costs, Fees and Financial Planning</w:t>
      </w:r>
      <w:bookmarkEnd w:id="100025"/>
    </w:p>
    <w:p>
      <w:pPr>
        <w:pStyle w:val="Heading2"/>
        <w:keepNext/>
        <w:spacing w:after="120" w:before="260" w:line="340" w:lineRule="atLeast"/>
      </w:pPr>
      <w:bookmarkStart w:id="100026" w:name="_Toc100026"/>
      <w:r>
        <w:rPr>
          <w:rFonts w:ascii="Times New Roman" w:eastAsia="SimHei" w:hAnsi="Times New Roman"/>
          <w:b/>
          <w:bCs/>
          <w:color w:val="1A5276"/>
          <w:sz w:val="28"/>
          <w:szCs w:val="28"/>
        </w:rPr>
        <w:t xml:space="preserve">5.1 What Each Exam Costs</w:t>
      </w:r>
      <w:bookmarkEnd w:id="100026"/>
    </w:p>
    <w:p>
      <w:pPr>
        <w:keepNext/>
        <w:spacing w:after="140" w:line="312"/>
        <w:jc w:val="both"/>
      </w:pPr>
      <w:r>
        <w:rPr>
          <w:rFonts w:ascii="Times New Roman" w:eastAsia="SimSun" w:hAnsi="Times New Roman"/>
          <w:b w:val="false"/>
          <w:bCs w:val="false"/>
          <w:color w:val="000000"/>
          <w:sz w:val="24"/>
          <w:szCs w:val="24"/>
        </w:rPr>
        <w:t xml:space="preserve">Registration fees differ by country for the English tests and by delivery mode for the GMAT, and all providers adjust prices periodically, so treat the figures below as planning estimates rather than quotations. The pattern that matters for budgeting is that the full journey, including preparation materials, one retake margin and extra score reports, usually costs between US$600 and US$1,200 for a candidate taking one aptitude test and one English test.</w:t>
      </w:r>
    </w:p>
    <w:p>
      <w:pPr>
        <w:keepNext/>
        <w:spacing w:after="80" w:before="160" w:line="312"/>
      </w:pPr>
      <w:r>
        <w:rPr>
          <w:rFonts w:ascii="Times New Roman" w:eastAsia="SimSun" w:hAnsi="Times New Roman"/>
          <w:b/>
          <w:bCs/>
          <w:color w:val="1A5276"/>
          <w:sz w:val="21"/>
          <w:szCs w:val="21"/>
        </w:rPr>
        <w:t xml:space="preserve">Table 4: </w:t>
      </w:r>
      <w:r>
        <w:rPr>
          <w:rFonts w:ascii="Times New Roman" w:eastAsia="SimSun" w:hAnsi="Times New Roman"/>
          <w:b/>
          <w:bCs/>
          <w:color w:val="000000"/>
          <w:sz w:val="21"/>
          <w:szCs w:val="21"/>
        </w:rPr>
        <w:t xml:space="preserve">Estimated costs by examination (confirm current prices on official sites)</w:t>
      </w:r>
    </w:p>
    <w:tbl>
      <w:tblPr>
        <w:tblW w:type="pct" w:w="100%"/>
        <w:tblBorders>
          <w:top w:val="single" w:color="1A5276" w:sz="6"/>
          <w:left w:val="none" w:color="FFFFFF" w:sz="0"/>
          <w:bottom w:val="single" w:color="1A5276" w:sz="6"/>
          <w:right w:val="none" w:color="FFFFFF" w:sz="0"/>
          <w:insideH w:val="single" w:color="D0DDE8" w:sz="2"/>
          <w:insideV w:val="none" w:color="FFFFFF" w:sz="0"/>
        </w:tblBorders>
      </w:tblPr>
      <w:tblGrid>
        <w:gridCol w:w="100"/>
        <w:gridCol w:w="100"/>
        <w:gridCol w:w="100"/>
        <w:gridCol w:w="100"/>
        <w:gridCol w:w="100"/>
      </w:tblGrid>
      <w:tr>
        <w:trPr>
          <w:cantSplit/>
          <w:tblHeader/>
        </w:trPr>
        <w:tc>
          <w:tcPr>
            <w:tcW w:type="pct" w:w="20%"/>
            <w:shd w:fill="2E86C1" w:val="clear"/>
            <w:tcMar>
              <w:top w:type="dxa" w:w="70"/>
              <w:left w:type="dxa" w:w="110"/>
              <w:bottom w:type="dxa" w:w="70"/>
              <w:right w:type="dxa" w:w="110"/>
            </w:tcMar>
          </w:tcPr>
          <w:p>
            <w:pPr>
              <w:spacing w:line="312"/>
              <w:jc w:val="left"/>
            </w:pPr>
            <w:r>
              <w:rPr>
                <w:rFonts w:ascii="Times New Roman" w:eastAsia="SimSun" w:hAnsi="Times New Roman"/>
                <w:b/>
                <w:bCs/>
                <w:color w:val="FFFFFF"/>
                <w:sz w:val="21"/>
                <w:szCs w:val="21"/>
              </w:rPr>
              <w:t xml:space="preserve">Cost item</w:t>
            </w:r>
          </w:p>
        </w:tc>
        <w:tc>
          <w:tcPr>
            <w:tcW w:type="pct" w:w="20%"/>
            <w:shd w:fill="2E86C1" w:val="clear"/>
            <w:tcMar>
              <w:top w:type="dxa" w:w="70"/>
              <w:left w:type="dxa" w:w="110"/>
              <w:bottom w:type="dxa" w:w="70"/>
              <w:right w:type="dxa" w:w="110"/>
            </w:tcMar>
          </w:tcPr>
          <w:p>
            <w:pPr>
              <w:spacing w:line="312"/>
              <w:jc w:val="left"/>
            </w:pPr>
            <w:r>
              <w:rPr>
                <w:rFonts w:ascii="Times New Roman" w:eastAsia="SimSun" w:hAnsi="Times New Roman"/>
                <w:b/>
                <w:bCs/>
                <w:color w:val="FFFFFF"/>
                <w:sz w:val="21"/>
                <w:szCs w:val="21"/>
              </w:rPr>
              <w:t xml:space="preserve">GRE</w:t>
            </w:r>
          </w:p>
        </w:tc>
        <w:tc>
          <w:tcPr>
            <w:tcW w:type="pct" w:w="20%"/>
            <w:shd w:fill="2E86C1" w:val="clear"/>
            <w:tcMar>
              <w:top w:type="dxa" w:w="70"/>
              <w:left w:type="dxa" w:w="110"/>
              <w:bottom w:type="dxa" w:w="70"/>
              <w:right w:type="dxa" w:w="110"/>
            </w:tcMar>
          </w:tcPr>
          <w:p>
            <w:pPr>
              <w:spacing w:line="312"/>
              <w:jc w:val="left"/>
            </w:pPr>
            <w:r>
              <w:rPr>
                <w:rFonts w:ascii="Times New Roman" w:eastAsia="SimSun" w:hAnsi="Times New Roman"/>
                <w:b/>
                <w:bCs/>
                <w:color w:val="FFFFFF"/>
                <w:sz w:val="21"/>
                <w:szCs w:val="21"/>
              </w:rPr>
              <w:t xml:space="preserve">GMAT Focus</w:t>
            </w:r>
          </w:p>
        </w:tc>
        <w:tc>
          <w:tcPr>
            <w:tcW w:type="pct" w:w="20%"/>
            <w:shd w:fill="2E86C1" w:val="clear"/>
            <w:tcMar>
              <w:top w:type="dxa" w:w="70"/>
              <w:left w:type="dxa" w:w="110"/>
              <w:bottom w:type="dxa" w:w="70"/>
              <w:right w:type="dxa" w:w="110"/>
            </w:tcMar>
          </w:tcPr>
          <w:p>
            <w:pPr>
              <w:spacing w:line="312"/>
              <w:jc w:val="left"/>
            </w:pPr>
            <w:r>
              <w:rPr>
                <w:rFonts w:ascii="Times New Roman" w:eastAsia="SimSun" w:hAnsi="Times New Roman"/>
                <w:b/>
                <w:bCs/>
                <w:color w:val="FFFFFF"/>
                <w:sz w:val="21"/>
                <w:szCs w:val="21"/>
              </w:rPr>
              <w:t xml:space="preserve">TOEFL iBT</w:t>
            </w:r>
          </w:p>
        </w:tc>
        <w:tc>
          <w:tcPr>
            <w:tcW w:type="pct" w:w="20%"/>
            <w:shd w:fill="2E86C1" w:val="clear"/>
            <w:tcMar>
              <w:top w:type="dxa" w:w="70"/>
              <w:left w:type="dxa" w:w="110"/>
              <w:bottom w:type="dxa" w:w="70"/>
              <w:right w:type="dxa" w:w="110"/>
            </w:tcMar>
          </w:tcPr>
          <w:p>
            <w:pPr>
              <w:spacing w:line="312"/>
              <w:jc w:val="left"/>
            </w:pPr>
            <w:r>
              <w:rPr>
                <w:rFonts w:ascii="Times New Roman" w:eastAsia="SimSun" w:hAnsi="Times New Roman"/>
                <w:b/>
                <w:bCs/>
                <w:color w:val="FFFFFF"/>
                <w:sz w:val="21"/>
                <w:szCs w:val="21"/>
              </w:rPr>
              <w:t xml:space="preserve">IELTS Academic</w:t>
            </w:r>
          </w:p>
        </w:tc>
      </w:tr>
      <w:tr>
        <w:trPr>
          <w:cantSplit/>
        </w:trPr>
        <w:tc>
          <w:tcPr>
            <w:tcW w:type="pct" w:w="20%"/>
            <w:shd w:fill="EDF3F8" w:val="clear"/>
            <w:tcMar>
              <w:top w:type="dxa" w:w="70"/>
              <w:left w:type="dxa" w:w="110"/>
              <w:bottom w:type="dxa" w:w="70"/>
              <w:right w:type="dxa" w:w="110"/>
            </w:tcMar>
          </w:tcPr>
          <w:p>
            <w:pPr>
              <w:spacing w:line="312"/>
              <w:jc w:val="left"/>
            </w:pPr>
            <w:r>
              <w:rPr>
                <w:rFonts w:ascii="Times New Roman" w:eastAsia="SimSun" w:hAnsi="Times New Roman"/>
                <w:b w:val="false"/>
                <w:bCs w:val="false"/>
                <w:color w:val="000000"/>
                <w:sz w:val="21"/>
                <w:szCs w:val="21"/>
              </w:rPr>
              <w:t xml:space="preserve">Registration</w:t>
            </w:r>
          </w:p>
        </w:tc>
        <w:tc>
          <w:tcPr>
            <w:tcW w:type="pct" w:w="20%"/>
            <w:shd w:fill="EDF3F8" w:val="clear"/>
            <w:tcMar>
              <w:top w:type="dxa" w:w="70"/>
              <w:left w:type="dxa" w:w="110"/>
              <w:bottom w:type="dxa" w:w="70"/>
              <w:right w:type="dxa" w:w="110"/>
            </w:tcMar>
          </w:tcPr>
          <w:p>
            <w:pPr>
              <w:spacing w:line="312"/>
              <w:jc w:val="left"/>
            </w:pPr>
            <w:r>
              <w:rPr>
                <w:rFonts w:ascii="Times New Roman" w:eastAsia="SimSun" w:hAnsi="Times New Roman"/>
                <w:b w:val="false"/>
                <w:bCs w:val="false"/>
                <w:color w:val="000000"/>
                <w:sz w:val="21"/>
                <w:szCs w:val="21"/>
              </w:rPr>
              <w:t xml:space="preserve">About US$220 worldwide, with country variations</w:t>
            </w:r>
          </w:p>
        </w:tc>
        <w:tc>
          <w:tcPr>
            <w:tcW w:type="pct" w:w="20%"/>
            <w:shd w:fill="EDF3F8" w:val="clear"/>
            <w:tcMar>
              <w:top w:type="dxa" w:w="70"/>
              <w:left w:type="dxa" w:w="110"/>
              <w:bottom w:type="dxa" w:w="70"/>
              <w:right w:type="dxa" w:w="110"/>
            </w:tcMar>
          </w:tcPr>
          <w:p>
            <w:pPr>
              <w:spacing w:line="312"/>
              <w:jc w:val="left"/>
            </w:pPr>
            <w:r>
              <w:rPr>
                <w:rFonts w:ascii="Times New Roman" w:eastAsia="SimSun" w:hAnsi="Times New Roman"/>
                <w:b w:val="false"/>
                <w:bCs w:val="false"/>
                <w:color w:val="000000"/>
                <w:sz w:val="21"/>
                <w:szCs w:val="21"/>
              </w:rPr>
              <w:t xml:space="preserve">US$275 center, US$300 online (US pricing)</w:t>
            </w:r>
          </w:p>
        </w:tc>
        <w:tc>
          <w:tcPr>
            <w:tcW w:type="pct" w:w="20%"/>
            <w:shd w:fill="EDF3F8" w:val="clear"/>
            <w:tcMar>
              <w:top w:type="dxa" w:w="70"/>
              <w:left w:type="dxa" w:w="110"/>
              <w:bottom w:type="dxa" w:w="70"/>
              <w:right w:type="dxa" w:w="110"/>
            </w:tcMar>
          </w:tcPr>
          <w:p>
            <w:pPr>
              <w:spacing w:line="312"/>
              <w:jc w:val="left"/>
            </w:pPr>
            <w:r>
              <w:rPr>
                <w:rFonts w:ascii="Times New Roman" w:eastAsia="SimSun" w:hAnsi="Times New Roman"/>
                <w:b w:val="false"/>
                <w:bCs w:val="false"/>
                <w:color w:val="000000"/>
                <w:sz w:val="21"/>
                <w:szCs w:val="21"/>
              </w:rPr>
              <w:t xml:space="preserve">About US$195-270 depending on country</w:t>
            </w:r>
          </w:p>
        </w:tc>
        <w:tc>
          <w:tcPr>
            <w:tcW w:type="pct" w:w="20%"/>
            <w:shd w:fill="EDF3F8" w:val="clear"/>
            <w:tcMar>
              <w:top w:type="dxa" w:w="70"/>
              <w:left w:type="dxa" w:w="110"/>
              <w:bottom w:type="dxa" w:w="70"/>
              <w:right w:type="dxa" w:w="110"/>
            </w:tcMar>
          </w:tcPr>
          <w:p>
            <w:pPr>
              <w:spacing w:line="312"/>
              <w:jc w:val="left"/>
            </w:pPr>
            <w:r>
              <w:rPr>
                <w:rFonts w:ascii="Times New Roman" w:eastAsia="SimSun" w:hAnsi="Times New Roman"/>
                <w:b w:val="false"/>
                <w:bCs w:val="false"/>
                <w:color w:val="000000"/>
                <w:sz w:val="21"/>
                <w:szCs w:val="21"/>
              </w:rPr>
              <w:t xml:space="preserve">About US$215-340 equivalent depending on country</w:t>
            </w:r>
          </w:p>
        </w:tc>
      </w:tr>
      <w:tr>
        <w:trPr>
          <w:cantSplit/>
        </w:trPr>
        <w:tc>
          <w:tcPr>
            <w:tcW w:type="pct" w:w="20%"/>
            <w:shd w:fill="FFFFFF" w:val="clear"/>
            <w:tcMar>
              <w:top w:type="dxa" w:w="70"/>
              <w:left w:type="dxa" w:w="110"/>
              <w:bottom w:type="dxa" w:w="70"/>
              <w:right w:type="dxa" w:w="110"/>
            </w:tcMar>
          </w:tcPr>
          <w:p>
            <w:pPr>
              <w:spacing w:line="312"/>
              <w:jc w:val="left"/>
            </w:pPr>
            <w:r>
              <w:rPr>
                <w:rFonts w:ascii="Times New Roman" w:eastAsia="SimSun" w:hAnsi="Times New Roman"/>
                <w:b w:val="false"/>
                <w:bCs w:val="false"/>
                <w:color w:val="000000"/>
                <w:sz w:val="21"/>
                <w:szCs w:val="21"/>
              </w:rPr>
              <w:t xml:space="preserve">Rescheduling</w:t>
            </w:r>
          </w:p>
        </w:tc>
        <w:tc>
          <w:tcPr>
            <w:tcW w:type="pct" w:w="20%"/>
            <w:shd w:fill="FFFFFF" w:val="clear"/>
            <w:tcMar>
              <w:top w:type="dxa" w:w="70"/>
              <w:left w:type="dxa" w:w="110"/>
              <w:bottom w:type="dxa" w:w="70"/>
              <w:right w:type="dxa" w:w="110"/>
            </w:tcMar>
          </w:tcPr>
          <w:p>
            <w:pPr>
              <w:spacing w:line="312"/>
              <w:jc w:val="left"/>
            </w:pPr>
            <w:r>
              <w:rPr>
                <w:rFonts w:ascii="Times New Roman" w:eastAsia="SimSun" w:hAnsi="Times New Roman"/>
                <w:b w:val="false"/>
                <w:bCs w:val="false"/>
                <w:color w:val="000000"/>
                <w:sz w:val="21"/>
                <w:szCs w:val="21"/>
              </w:rPr>
              <w:t xml:space="preserve">About US$50 (US)</w:t>
            </w:r>
          </w:p>
        </w:tc>
        <w:tc>
          <w:tcPr>
            <w:tcW w:type="pct" w:w="20%"/>
            <w:shd w:fill="FFFFFF" w:val="clear"/>
            <w:tcMar>
              <w:top w:type="dxa" w:w="70"/>
              <w:left w:type="dxa" w:w="110"/>
              <w:bottom w:type="dxa" w:w="70"/>
              <w:right w:type="dxa" w:w="110"/>
            </w:tcMar>
          </w:tcPr>
          <w:p>
            <w:pPr>
              <w:spacing w:line="312"/>
              <w:jc w:val="left"/>
            </w:pPr>
            <w:r>
              <w:rPr>
                <w:rFonts w:ascii="Times New Roman" w:eastAsia="SimSun" w:hAnsi="Times New Roman"/>
                <w:b w:val="false"/>
                <w:bCs w:val="false"/>
                <w:color w:val="000000"/>
                <w:sz w:val="21"/>
                <w:szCs w:val="21"/>
              </w:rPr>
              <w:t xml:space="preserve">Tiered by notice period</w:t>
            </w:r>
          </w:p>
        </w:tc>
        <w:tc>
          <w:tcPr>
            <w:tcW w:type="pct" w:w="20%"/>
            <w:shd w:fill="FFFFFF" w:val="clear"/>
            <w:tcMar>
              <w:top w:type="dxa" w:w="70"/>
              <w:left w:type="dxa" w:w="110"/>
              <w:bottom w:type="dxa" w:w="70"/>
              <w:right w:type="dxa" w:w="110"/>
            </w:tcMar>
          </w:tcPr>
          <w:p>
            <w:pPr>
              <w:spacing w:line="312"/>
              <w:jc w:val="left"/>
            </w:pPr>
            <w:r>
              <w:rPr>
                <w:rFonts w:ascii="Times New Roman" w:eastAsia="SimSun" w:hAnsi="Times New Roman"/>
                <w:b w:val="false"/>
                <w:bCs w:val="false"/>
                <w:color w:val="000000"/>
                <w:sz w:val="21"/>
                <w:szCs w:val="21"/>
              </w:rPr>
              <w:t xml:space="preserve">About US$60-70 (US)</w:t>
            </w:r>
          </w:p>
        </w:tc>
        <w:tc>
          <w:tcPr>
            <w:tcW w:type="pct" w:w="20%"/>
            <w:shd w:fill="FFFFFF" w:val="clear"/>
            <w:tcMar>
              <w:top w:type="dxa" w:w="70"/>
              <w:left w:type="dxa" w:w="110"/>
              <w:bottom w:type="dxa" w:w="70"/>
              <w:right w:type="dxa" w:w="110"/>
            </w:tcMar>
          </w:tcPr>
          <w:p>
            <w:pPr>
              <w:spacing w:line="312"/>
              <w:jc w:val="left"/>
            </w:pPr>
            <w:r>
              <w:rPr>
                <w:rFonts w:ascii="Times New Roman" w:eastAsia="SimSun" w:hAnsi="Times New Roman"/>
                <w:b w:val="false"/>
                <w:bCs w:val="false"/>
                <w:color w:val="000000"/>
                <w:sz w:val="21"/>
                <w:szCs w:val="21"/>
              </w:rPr>
              <w:t xml:space="preserve">Small administration fee, provider-specific</w:t>
            </w:r>
          </w:p>
        </w:tc>
      </w:tr>
      <w:tr>
        <w:trPr>
          <w:cantSplit/>
        </w:trPr>
        <w:tc>
          <w:tcPr>
            <w:tcW w:type="pct" w:w="20%"/>
            <w:shd w:fill="EDF3F8" w:val="clear"/>
            <w:tcMar>
              <w:top w:type="dxa" w:w="70"/>
              <w:left w:type="dxa" w:w="110"/>
              <w:bottom w:type="dxa" w:w="70"/>
              <w:right w:type="dxa" w:w="110"/>
            </w:tcMar>
          </w:tcPr>
          <w:p>
            <w:pPr>
              <w:spacing w:line="312"/>
              <w:jc w:val="left"/>
            </w:pPr>
            <w:r>
              <w:rPr>
                <w:rFonts w:ascii="Times New Roman" w:eastAsia="SimSun" w:hAnsi="Times New Roman"/>
                <w:b w:val="false"/>
                <w:bCs w:val="false"/>
                <w:color w:val="000000"/>
                <w:sz w:val="21"/>
                <w:szCs w:val="21"/>
              </w:rPr>
              <w:t xml:space="preserve">Extra score report</w:t>
            </w:r>
          </w:p>
        </w:tc>
        <w:tc>
          <w:tcPr>
            <w:tcW w:type="pct" w:w="20%"/>
            <w:shd w:fill="EDF3F8" w:val="clear"/>
            <w:tcMar>
              <w:top w:type="dxa" w:w="70"/>
              <w:left w:type="dxa" w:w="110"/>
              <w:bottom w:type="dxa" w:w="70"/>
              <w:right w:type="dxa" w:w="110"/>
            </w:tcMar>
          </w:tcPr>
          <w:p>
            <w:pPr>
              <w:spacing w:line="312"/>
              <w:jc w:val="left"/>
            </w:pPr>
            <w:r>
              <w:rPr>
                <w:rFonts w:ascii="Times New Roman" w:eastAsia="SimSun" w:hAnsi="Times New Roman"/>
                <w:b w:val="false"/>
                <w:bCs w:val="false"/>
                <w:color w:val="000000"/>
                <w:sz w:val="21"/>
                <w:szCs w:val="21"/>
              </w:rPr>
              <w:t xml:space="preserve">About US$35 each</w:t>
            </w:r>
          </w:p>
        </w:tc>
        <w:tc>
          <w:tcPr>
            <w:tcW w:type="pct" w:w="20%"/>
            <w:shd w:fill="EDF3F8" w:val="clear"/>
            <w:tcMar>
              <w:top w:type="dxa" w:w="70"/>
              <w:left w:type="dxa" w:w="110"/>
              <w:bottom w:type="dxa" w:w="70"/>
              <w:right w:type="dxa" w:w="110"/>
            </w:tcMar>
          </w:tcPr>
          <w:p>
            <w:pPr>
              <w:spacing w:line="312"/>
              <w:jc w:val="left"/>
            </w:pPr>
            <w:r>
              <w:rPr>
                <w:rFonts w:ascii="Times New Roman" w:eastAsia="SimSun" w:hAnsi="Times New Roman"/>
                <w:b w:val="false"/>
                <w:bCs w:val="false"/>
                <w:color w:val="000000"/>
                <w:sz w:val="21"/>
                <w:szCs w:val="21"/>
              </w:rPr>
              <w:t xml:space="preserve">US$35 each</w:t>
            </w:r>
          </w:p>
        </w:tc>
        <w:tc>
          <w:tcPr>
            <w:tcW w:type="pct" w:w="20%"/>
            <w:shd w:fill="EDF3F8" w:val="clear"/>
            <w:tcMar>
              <w:top w:type="dxa" w:w="70"/>
              <w:left w:type="dxa" w:w="110"/>
              <w:bottom w:type="dxa" w:w="70"/>
              <w:right w:type="dxa" w:w="110"/>
            </w:tcMar>
          </w:tcPr>
          <w:p>
            <w:pPr>
              <w:spacing w:line="312"/>
              <w:jc w:val="left"/>
            </w:pPr>
            <w:r>
              <w:rPr>
                <w:rFonts w:ascii="Times New Roman" w:eastAsia="SimSun" w:hAnsi="Times New Roman"/>
                <w:b w:val="false"/>
                <w:bCs w:val="false"/>
                <w:color w:val="000000"/>
                <w:sz w:val="21"/>
                <w:szCs w:val="21"/>
              </w:rPr>
              <w:t xml:space="preserve">About US$25 each</w:t>
            </w:r>
          </w:p>
        </w:tc>
        <w:tc>
          <w:tcPr>
            <w:tcW w:type="pct" w:w="20%"/>
            <w:shd w:fill="EDF3F8" w:val="clear"/>
            <w:tcMar>
              <w:top w:type="dxa" w:w="70"/>
              <w:left w:type="dxa" w:w="110"/>
              <w:bottom w:type="dxa" w:w="70"/>
              <w:right w:type="dxa" w:w="110"/>
            </w:tcMar>
          </w:tcPr>
          <w:p>
            <w:pPr>
              <w:spacing w:line="312"/>
              <w:jc w:val="left"/>
            </w:pPr>
            <w:r>
              <w:rPr>
                <w:rFonts w:ascii="Times New Roman" w:eastAsia="SimSun" w:hAnsi="Times New Roman"/>
                <w:b w:val="false"/>
                <w:bCs w:val="false"/>
                <w:color w:val="000000"/>
                <w:sz w:val="21"/>
                <w:szCs w:val="21"/>
              </w:rPr>
              <w:t xml:space="preserve">Small fee per additional copy</w:t>
            </w:r>
          </w:p>
        </w:tc>
      </w:tr>
      <w:tr>
        <w:trPr>
          <w:cantSplit/>
        </w:trPr>
        <w:tc>
          <w:tcPr>
            <w:tcW w:type="pct" w:w="20%"/>
            <w:shd w:fill="FFFFFF" w:val="clear"/>
            <w:tcMar>
              <w:top w:type="dxa" w:w="70"/>
              <w:left w:type="dxa" w:w="110"/>
              <w:bottom w:type="dxa" w:w="70"/>
              <w:right w:type="dxa" w:w="110"/>
            </w:tcMar>
          </w:tcPr>
          <w:p>
            <w:pPr>
              <w:spacing w:line="312"/>
              <w:jc w:val="left"/>
            </w:pPr>
            <w:r>
              <w:rPr>
                <w:rFonts w:ascii="Times New Roman" w:eastAsia="SimSun" w:hAnsi="Times New Roman"/>
                <w:b w:val="false"/>
                <w:bCs w:val="false"/>
                <w:color w:val="000000"/>
                <w:sz w:val="21"/>
                <w:szCs w:val="21"/>
              </w:rPr>
              <w:t xml:space="preserve">Score review services</w:t>
            </w:r>
          </w:p>
        </w:tc>
        <w:tc>
          <w:tcPr>
            <w:tcW w:type="pct" w:w="20%"/>
            <w:shd w:fill="FFFFFF" w:val="clear"/>
            <w:tcMar>
              <w:top w:type="dxa" w:w="70"/>
              <w:left w:type="dxa" w:w="110"/>
              <w:bottom w:type="dxa" w:w="70"/>
              <w:right w:type="dxa" w:w="110"/>
            </w:tcMar>
          </w:tcPr>
          <w:p>
            <w:pPr>
              <w:spacing w:line="312"/>
              <w:jc w:val="left"/>
            </w:pPr>
            <w:r>
              <w:rPr>
                <w:rFonts w:ascii="Times New Roman" w:eastAsia="SimSun" w:hAnsi="Times New Roman"/>
                <w:b w:val="false"/>
                <w:bCs w:val="false"/>
                <w:color w:val="000000"/>
                <w:sz w:val="21"/>
                <w:szCs w:val="21"/>
              </w:rPr>
              <w:t xml:space="preserve">Available for a fee</w:t>
            </w:r>
          </w:p>
        </w:tc>
        <w:tc>
          <w:tcPr>
            <w:tcW w:type="pct" w:w="20%"/>
            <w:shd w:fill="FFFFFF" w:val="clear"/>
            <w:tcMar>
              <w:top w:type="dxa" w:w="70"/>
              <w:left w:type="dxa" w:w="110"/>
              <w:bottom w:type="dxa" w:w="70"/>
              <w:right w:type="dxa" w:w="110"/>
            </w:tcMar>
          </w:tcPr>
          <w:p>
            <w:pPr>
              <w:spacing w:line="312"/>
              <w:jc w:val="left"/>
            </w:pPr>
            <w:r>
              <w:rPr>
                <w:rFonts w:ascii="Times New Roman" w:eastAsia="SimSun" w:hAnsi="Times New Roman"/>
                <w:b w:val="false"/>
                <w:bCs w:val="false"/>
                <w:color w:val="000000"/>
                <w:sz w:val="21"/>
                <w:szCs w:val="21"/>
              </w:rPr>
              <w:t xml:space="preserve">Rescoring not offered (machine scored)</w:t>
            </w:r>
          </w:p>
        </w:tc>
        <w:tc>
          <w:tcPr>
            <w:tcW w:type="pct" w:w="20%"/>
            <w:shd w:fill="FFFFFF" w:val="clear"/>
            <w:tcMar>
              <w:top w:type="dxa" w:w="70"/>
              <w:left w:type="dxa" w:w="110"/>
              <w:bottom w:type="dxa" w:w="70"/>
              <w:right w:type="dxa" w:w="110"/>
            </w:tcMar>
          </w:tcPr>
          <w:p>
            <w:pPr>
              <w:spacing w:line="312"/>
              <w:jc w:val="left"/>
            </w:pPr>
            <w:r>
              <w:rPr>
                <w:rFonts w:ascii="Times New Roman" w:eastAsia="SimSun" w:hAnsi="Times New Roman"/>
                <w:b w:val="false"/>
                <w:bCs w:val="false"/>
                <w:color w:val="000000"/>
                <w:sz w:val="21"/>
                <w:szCs w:val="21"/>
              </w:rPr>
              <w:t xml:space="preserve">Speaking and Writing rescoring available</w:t>
            </w:r>
          </w:p>
        </w:tc>
        <w:tc>
          <w:tcPr>
            <w:tcW w:type="pct" w:w="20%"/>
            <w:shd w:fill="FFFFFF" w:val="clear"/>
            <w:tcMar>
              <w:top w:type="dxa" w:w="70"/>
              <w:left w:type="dxa" w:w="110"/>
              <w:bottom w:type="dxa" w:w="70"/>
              <w:right w:type="dxa" w:w="110"/>
            </w:tcMar>
          </w:tcPr>
          <w:p>
            <w:pPr>
              <w:spacing w:line="312"/>
              <w:jc w:val="left"/>
            </w:pPr>
            <w:r>
              <w:rPr>
                <w:rFonts w:ascii="Times New Roman" w:eastAsia="SimSun" w:hAnsi="Times New Roman"/>
                <w:b w:val="false"/>
                <w:bCs w:val="false"/>
                <w:color w:val="000000"/>
                <w:sz w:val="21"/>
                <w:szCs w:val="21"/>
              </w:rPr>
              <w:t xml:space="preserve">Enquiry on results service available</w:t>
            </w:r>
          </w:p>
        </w:tc>
      </w:tr>
    </w:tbl>
    <w:p>
      <w:pPr>
        <w:pStyle w:val="Heading2"/>
        <w:keepNext/>
        <w:spacing w:after="120" w:before="260" w:line="340" w:lineRule="atLeast"/>
      </w:pPr>
      <w:bookmarkStart w:id="100027" w:name="_Toc100027"/>
      <w:r>
        <w:rPr>
          <w:rFonts w:ascii="Times New Roman" w:eastAsia="SimHei" w:hAnsi="Times New Roman"/>
          <w:b/>
          <w:bCs/>
          <w:color w:val="1A5276"/>
          <w:sz w:val="28"/>
          <w:szCs w:val="28"/>
        </w:rPr>
        <w:t xml:space="preserve">5.2 The Hidden Costs Worth Budgeting</w:t>
      </w:r>
      <w:bookmarkEnd w:id="100027"/>
    </w:p>
    <w:p>
      <w:pPr>
        <w:keepNext w:val="false"/>
        <w:spacing w:after="140" w:line="312"/>
        <w:jc w:val="both"/>
      </w:pPr>
      <w:r>
        <w:rPr>
          <w:rFonts w:ascii="Times New Roman" w:eastAsia="SimSun" w:hAnsi="Times New Roman"/>
          <w:b w:val="false"/>
          <w:bCs w:val="false"/>
          <w:color w:val="000000"/>
          <w:sz w:val="24"/>
          <w:szCs w:val="24"/>
        </w:rPr>
        <w:t xml:space="preserve">The registration fee is rarely the whole expense. Preparation materials range from entirely free (official practice tests, Khan Academy, Road to IELTS, GregMat's low-cost subscription) to US$200-500 for comprehensive commercial courses, and it is realistic to spend US$50-150 on books or question banks even on a tight budget. Travel and accommodation arise when test centers are in another city, which is common in smaller countries, and at-home testing trades that cost against reliable electricity and internet, which itself may require backup arrangements. Retakes multiply everything: a candidate who budgets for two attempts per exam from the start avoids the stress of a single high-stakes day. Finally, remember that scores sent later outside the free allocation cost money each time, so decide your institution list carefully before test day, and keep a small reserve (about 10 percent of the total budget) for administration you cannot foresee.</w:t>
      </w:r>
    </w:p>
    <w:p>
      <w:pPr>
        <w:pStyle w:val="Heading2"/>
        <w:keepNext/>
        <w:spacing w:after="120" w:before="260" w:line="340" w:lineRule="atLeast"/>
      </w:pPr>
      <w:bookmarkStart w:id="100028" w:name="_Toc100028"/>
      <w:r>
        <w:rPr>
          <w:rFonts w:ascii="Times New Roman" w:eastAsia="SimHei" w:hAnsi="Times New Roman"/>
          <w:b/>
          <w:bCs/>
          <w:color w:val="1A5276"/>
          <w:sz w:val="28"/>
          <w:szCs w:val="28"/>
        </w:rPr>
        <w:t xml:space="preserve">5.3 Fee Reductions and Waivers</w:t>
      </w:r>
      <w:bookmarkEnd w:id="100028"/>
    </w:p>
    <w:p>
      <w:pPr>
        <w:keepNext w:val="false"/>
        <w:spacing w:after="140" w:line="312"/>
        <w:jc w:val="both"/>
      </w:pPr>
      <w:r>
        <w:rPr>
          <w:rFonts w:ascii="Times New Roman" w:eastAsia="SimSun" w:hAnsi="Times New Roman"/>
          <w:b w:val="false"/>
          <w:bCs w:val="false"/>
          <w:color w:val="000000"/>
          <w:sz w:val="24"/>
          <w:szCs w:val="24"/>
        </w:rPr>
        <w:t xml:space="preserve">Several legitimate routes reduce these costs, although they differ sharply by citizenship and exam. The </w:t>
      </w:r>
      <w:r>
        <w:rPr>
          <w:rFonts w:ascii="Times New Roman" w:eastAsia="SimSun" w:hAnsi="Times New Roman"/>
          <w:b/>
          <w:bCs/>
          <w:color w:val="000000"/>
          <w:sz w:val="24"/>
          <w:szCs w:val="24"/>
        </w:rPr>
        <w:t xml:space="preserve">GRE Fee Reduction Program</w:t>
      </w:r>
      <w:r>
        <w:rPr>
          <w:rFonts w:ascii="Times New Roman" w:eastAsia="SimSun" w:hAnsi="Times New Roman"/>
          <w:b w:val="false"/>
          <w:bCs w:val="false"/>
          <w:color w:val="000000"/>
          <w:sz w:val="24"/>
          <w:szCs w:val="24"/>
        </w:rPr>
        <w:t xml:space="preserve"> provides a voucher halving the General Test fee (paying US$100) plus discounted Subject Tests and one free ScoreSelect report; it is administered through United States institutions and programs supporting students with financial need, so international applicants should enquire through EducationUSA advising centers or partner universities in their country. The </w:t>
      </w:r>
      <w:r>
        <w:rPr>
          <w:rFonts w:ascii="Times New Roman" w:eastAsia="SimSun" w:hAnsi="Times New Roman"/>
          <w:b/>
          <w:bCs/>
          <w:color w:val="000000"/>
          <w:sz w:val="24"/>
          <w:szCs w:val="24"/>
        </w:rPr>
        <w:t xml:space="preserve">EducationUSA Opportunity Funds</w:t>
      </w:r>
      <w:r>
        <w:rPr>
          <w:rFonts w:ascii="Times New Roman" w:eastAsia="SimSun" w:hAnsi="Times New Roman"/>
          <w:b w:val="false"/>
          <w:bCs w:val="false"/>
          <w:color w:val="000000"/>
          <w:sz w:val="24"/>
          <w:szCs w:val="24"/>
        </w:rPr>
        <w:t xml:space="preserve"> program, active in selected countries, can cover test fees and related application costs for high-potential candidates from disadvantaged backgrounds. The </w:t>
      </w:r>
      <w:r>
        <w:rPr>
          <w:rFonts w:ascii="Times New Roman" w:eastAsia="SimSun" w:hAnsi="Times New Roman"/>
          <w:b/>
          <w:bCs/>
          <w:color w:val="000000"/>
          <w:sz w:val="24"/>
          <w:szCs w:val="24"/>
        </w:rPr>
        <w:t xml:space="preserve">GMAT fee waiver</w:t>
      </w:r>
      <w:r>
        <w:rPr>
          <w:rFonts w:ascii="Times New Roman" w:eastAsia="SimSun" w:hAnsi="Times New Roman"/>
          <w:b w:val="false"/>
          <w:bCs w:val="false"/>
          <w:color w:val="000000"/>
          <w:sz w:val="24"/>
          <w:szCs w:val="24"/>
        </w:rPr>
        <w:t xml:space="preserve"> is distributed by participating business schools rather than by GMAC, and asking admissions offices directly is the standard procedure. The </w:t>
      </w:r>
      <w:r>
        <w:rPr>
          <w:rFonts w:ascii="Times New Roman" w:eastAsia="SimSun" w:hAnsi="Times New Roman"/>
          <w:b/>
          <w:bCs/>
          <w:color w:val="000000"/>
          <w:sz w:val="24"/>
          <w:szCs w:val="24"/>
        </w:rPr>
        <w:t xml:space="preserve">TOEFL</w:t>
      </w:r>
      <w:r>
        <w:rPr>
          <w:rFonts w:ascii="Times New Roman" w:eastAsia="SimSun" w:hAnsi="Times New Roman"/>
          <w:b w:val="false"/>
          <w:bCs w:val="false"/>
          <w:color w:val="000000"/>
          <w:sz w:val="24"/>
          <w:szCs w:val="24"/>
        </w:rPr>
        <w:t xml:space="preserve"> offers a need-based reduction for eligible United States residents, and some national scholarship preparation programs purchase test vouchers for their cohorts. </w:t>
      </w:r>
      <w:r>
        <w:rPr>
          <w:rFonts w:ascii="Times New Roman" w:eastAsia="SimSun" w:hAnsi="Times New Roman"/>
          <w:b/>
          <w:bCs/>
          <w:color w:val="000000"/>
          <w:sz w:val="24"/>
          <w:szCs w:val="24"/>
        </w:rPr>
        <w:t xml:space="preserve">IELTS</w:t>
      </w:r>
      <w:r>
        <w:rPr>
          <w:rFonts w:ascii="Times New Roman" w:eastAsia="SimSun" w:hAnsi="Times New Roman"/>
          <w:b w:val="false"/>
          <w:bCs w:val="false"/>
          <w:color w:val="000000"/>
          <w:sz w:val="24"/>
          <w:szCs w:val="24"/>
        </w:rPr>
        <w:t xml:space="preserve"> has no general waiver scheme, but scholarship preparatory organizations and some British Council country offices run subsidized or free test programs periodically.</w:t>
      </w:r>
    </w:p>
    <w:p>
      <w:pPr>
        <w:keepNext w:val="false"/>
        <w:spacing w:after="200" w:line="312"/>
        <w:jc w:val="both"/>
      </w:pPr>
      <w:r>
        <w:rPr>
          <w:rFonts w:ascii="Times New Roman" w:eastAsia="SimSun" w:hAnsi="Times New Roman"/>
          <w:b w:val="false"/>
          <w:bCs w:val="false"/>
          <w:color w:val="000000"/>
          <w:sz w:val="24"/>
          <w:szCs w:val="24"/>
        </w:rPr>
        <w:t xml:space="preserve">Two practical notes complete the financial picture. First, apply for any waiver well before you plan to register, because processing can take weeks and vouchers cannot be applied retroactively to an existing booking. Second, some graduate schools and scholarship bodies refund or reimburse test fees after enrollment; a quick email to the admissions office asking about reimbursement policies sometimes recovers hundreds of dollars after you succeed.</w:t>
      </w:r>
    </w:p>
    <w:p>
      <w:pPr>
        <w:pStyle w:val="Heading1"/>
        <w:keepNext/>
        <w:spacing w:after="160" w:before="360" w:line="380" w:lineRule="atLeast"/>
      </w:pPr>
      <w:bookmarkStart w:id="100029" w:name="_Toc100029"/>
      <w:r>
        <w:rPr>
          <w:rFonts w:ascii="Times New Roman" w:eastAsia="SimHei" w:hAnsi="Times New Roman"/>
          <w:b/>
          <w:bCs/>
          <w:color w:val="1A5276"/>
          <w:sz w:val="32"/>
          <w:szCs w:val="32"/>
        </w:rPr>
        <w:t xml:space="preserve">6. Score Benchmarks for Scholarships and Admissions</w:t>
      </w:r>
      <w:bookmarkEnd w:id="100029"/>
    </w:p>
    <w:p>
      <w:pPr>
        <w:pStyle w:val="Heading2"/>
        <w:keepNext/>
        <w:spacing w:after="120" w:before="260" w:line="340" w:lineRule="atLeast"/>
      </w:pPr>
      <w:bookmarkStart w:id="100030" w:name="_Toc100030"/>
      <w:r>
        <w:rPr>
          <w:rFonts w:ascii="Times New Roman" w:eastAsia="SimHei" w:hAnsi="Times New Roman"/>
          <w:b/>
          <w:bCs/>
          <w:color w:val="1A5276"/>
          <w:sz w:val="28"/>
          <w:szCs w:val="28"/>
        </w:rPr>
        <w:t xml:space="preserve">6.1 How Committees Actually Read Scores</w:t>
      </w:r>
      <w:bookmarkEnd w:id="100030"/>
    </w:p>
    <w:p>
      <w:pPr>
        <w:keepNext w:val="false"/>
        <w:spacing w:after="140" w:line="312"/>
        <w:jc w:val="both"/>
      </w:pPr>
      <w:r>
        <w:rPr>
          <w:rFonts w:ascii="Times New Roman" w:eastAsia="SimSun" w:hAnsi="Times New Roman"/>
          <w:b w:val="false"/>
          <w:bCs w:val="false"/>
          <w:color w:val="000000"/>
          <w:sz w:val="24"/>
          <w:szCs w:val="24"/>
        </w:rPr>
        <w:t xml:space="preserve">Understanding how scores are evaluated matters more than memorizing any single number. Programs publish </w:t>
      </w:r>
      <w:r>
        <w:rPr>
          <w:rFonts w:ascii="Times New Roman" w:eastAsia="SimSun" w:hAnsi="Times New Roman"/>
          <w:b/>
          <w:bCs/>
          <w:color w:val="000000"/>
          <w:sz w:val="24"/>
          <w:szCs w:val="24"/>
        </w:rPr>
        <w:t xml:space="preserve">minimum requirements</w:t>
      </w:r>
      <w:r>
        <w:rPr>
          <w:rFonts w:ascii="Times New Roman" w:eastAsia="SimSun" w:hAnsi="Times New Roman"/>
          <w:b w:val="false"/>
          <w:bCs w:val="false"/>
          <w:color w:val="000000"/>
          <w:sz w:val="24"/>
          <w:szCs w:val="24"/>
        </w:rPr>
        <w:t xml:space="preserve">, which function as eligibility gates: fall below them and your file is often filtered out before human review, particularly for scholarships where application volumes are enormous. What determines funding, however, is the </w:t>
      </w:r>
      <w:r>
        <w:rPr>
          <w:rFonts w:ascii="Times New Roman" w:eastAsia="SimSun" w:hAnsi="Times New Roman"/>
          <w:b/>
          <w:bCs/>
          <w:color w:val="000000"/>
          <w:sz w:val="24"/>
          <w:szCs w:val="24"/>
        </w:rPr>
        <w:t xml:space="preserve">competitive range</w:t>
      </w:r>
      <w:r>
        <w:rPr>
          <w:rFonts w:ascii="Times New Roman" w:eastAsia="SimSun" w:hAnsi="Times New Roman"/>
          <w:b w:val="false"/>
          <w:bCs w:val="false"/>
          <w:color w:val="000000"/>
          <w:sz w:val="24"/>
          <w:szCs w:val="24"/>
        </w:rPr>
        <w:t xml:space="preserve">, the middle-50 percent band of recently admitted and funded students, which typically sits well above the published minimum. Selection committees also read scores in context: a 312 GRE with an otherwise outstanding research profile beats a 325 attached to a weak file, but no research profile rescues a file that failed the English gate. Finally, section scores and component minimums matter as much as totals; many programs state a floor for each IELTS band or for GRE Quantitative separately, so a strong total with one weak component can still fail the requirement.</w:t>
      </w:r>
    </w:p>
    <w:p>
      <w:pPr>
        <w:pStyle w:val="Heading2"/>
        <w:keepNext/>
        <w:spacing w:after="120" w:before="260" w:line="340" w:lineRule="atLeast"/>
      </w:pPr>
      <w:bookmarkStart w:id="100031" w:name="_Toc100031"/>
      <w:r>
        <w:rPr>
          <w:rFonts w:ascii="Times New Roman" w:eastAsia="SimHei" w:hAnsi="Times New Roman"/>
          <w:b/>
          <w:bCs/>
          <w:color w:val="1A5276"/>
          <w:sz w:val="28"/>
          <w:szCs w:val="28"/>
        </w:rPr>
        <w:t xml:space="preserve">6.2 GRE Benchmarks</w:t>
      </w:r>
      <w:bookmarkEnd w:id="100031"/>
    </w:p>
    <w:p>
      <w:pPr>
        <w:keepNext/>
        <w:spacing w:after="140" w:line="312"/>
        <w:jc w:val="both"/>
      </w:pPr>
      <w:r>
        <w:rPr>
          <w:rFonts w:ascii="Times New Roman" w:eastAsia="SimSun" w:hAnsi="Times New Roman"/>
          <w:b w:val="false"/>
          <w:bCs w:val="false"/>
          <w:color w:val="000000"/>
          <w:sz w:val="24"/>
          <w:szCs w:val="24"/>
        </w:rPr>
        <w:t xml:space="preserve">The GRE reports Verbal and Quantitative on a 130-170 scale each; totals below combine the two, and Analytical Writing is reported separately from 0 to 6. The table expresses widely used planning tiers. Treat them as orientation, not law: engineering and computer science programs concentrate on the Quantitative figure, humanities and social sciences on Verbal and Writing, while business schools convert totals internally.</w:t>
      </w:r>
    </w:p>
    <w:p>
      <w:pPr>
        <w:keepNext/>
        <w:spacing w:after="80" w:before="160" w:line="312"/>
      </w:pPr>
      <w:r>
        <w:rPr>
          <w:rFonts w:ascii="Times New Roman" w:eastAsia="SimSun" w:hAnsi="Times New Roman"/>
          <w:b/>
          <w:bCs/>
          <w:color w:val="1A5276"/>
          <w:sz w:val="21"/>
          <w:szCs w:val="21"/>
        </w:rPr>
        <w:t xml:space="preserve">Table 5: </w:t>
      </w:r>
      <w:r>
        <w:rPr>
          <w:rFonts w:ascii="Times New Roman" w:eastAsia="SimSun" w:hAnsi="Times New Roman"/>
          <w:b/>
          <w:bCs/>
          <w:color w:val="000000"/>
          <w:sz w:val="21"/>
          <w:szCs w:val="21"/>
        </w:rPr>
        <w:t xml:space="preserve">GRE score tiers and what they support</w:t>
      </w:r>
    </w:p>
    <w:tbl>
      <w:tblPr>
        <w:tblW w:type="pct" w:w="100%"/>
        <w:tblBorders>
          <w:top w:val="single" w:color="1A5276" w:sz="6"/>
          <w:left w:val="none" w:color="FFFFFF" w:sz="0"/>
          <w:bottom w:val="single" w:color="1A5276" w:sz="6"/>
          <w:right w:val="none" w:color="FFFFFF" w:sz="0"/>
          <w:insideH w:val="single" w:color="D0DDE8" w:sz="2"/>
          <w:insideV w:val="none" w:color="FFFFFF" w:sz="0"/>
        </w:tblBorders>
      </w:tblPr>
      <w:tblGrid>
        <w:gridCol w:w="100"/>
        <w:gridCol w:w="100"/>
        <w:gridCol w:w="100"/>
        <w:gridCol w:w="100"/>
      </w:tblGrid>
      <w:tr>
        <w:trPr>
          <w:cantSplit/>
          <w:tblHeader/>
        </w:trPr>
        <w:tc>
          <w:tcPr>
            <w:tcW w:type="pct" w:w="16%"/>
            <w:shd w:fill="2E86C1" w:val="clear"/>
            <w:tcMar>
              <w:top w:type="dxa" w:w="70"/>
              <w:left w:type="dxa" w:w="110"/>
              <w:bottom w:type="dxa" w:w="70"/>
              <w:right w:type="dxa" w:w="110"/>
            </w:tcMar>
          </w:tcPr>
          <w:p>
            <w:pPr>
              <w:spacing w:line="312"/>
              <w:jc w:val="left"/>
            </w:pPr>
            <w:r>
              <w:rPr>
                <w:rFonts w:ascii="Times New Roman" w:eastAsia="SimSun" w:hAnsi="Times New Roman"/>
                <w:b/>
                <w:bCs/>
                <w:color w:val="FFFFFF"/>
                <w:sz w:val="21"/>
                <w:szCs w:val="21"/>
              </w:rPr>
              <w:t xml:space="preserve">Tier</w:t>
            </w:r>
          </w:p>
        </w:tc>
        <w:tc>
          <w:tcPr>
            <w:tcW w:type="pct" w:w="16%"/>
            <w:shd w:fill="2E86C1" w:val="clear"/>
            <w:tcMar>
              <w:top w:type="dxa" w:w="70"/>
              <w:left w:type="dxa" w:w="110"/>
              <w:bottom w:type="dxa" w:w="70"/>
              <w:right w:type="dxa" w:w="110"/>
            </w:tcMar>
          </w:tcPr>
          <w:p>
            <w:pPr>
              <w:spacing w:line="312"/>
              <w:jc w:val="left"/>
            </w:pPr>
            <w:r>
              <w:rPr>
                <w:rFonts w:ascii="Times New Roman" w:eastAsia="SimSun" w:hAnsi="Times New Roman"/>
                <w:b/>
                <w:bCs/>
                <w:color w:val="FFFFFF"/>
                <w:sz w:val="21"/>
                <w:szCs w:val="21"/>
              </w:rPr>
              <w:t xml:space="preserve">Total (V+Q)</w:t>
            </w:r>
          </w:p>
        </w:tc>
        <w:tc>
          <w:tcPr>
            <w:tcW w:type="pct" w:w="26%"/>
            <w:shd w:fill="2E86C1" w:val="clear"/>
            <w:tcMar>
              <w:top w:type="dxa" w:w="70"/>
              <w:left w:type="dxa" w:w="110"/>
              <w:bottom w:type="dxa" w:w="70"/>
              <w:right w:type="dxa" w:w="110"/>
            </w:tcMar>
          </w:tcPr>
          <w:p>
            <w:pPr>
              <w:spacing w:line="312"/>
              <w:jc w:val="left"/>
            </w:pPr>
            <w:r>
              <w:rPr>
                <w:rFonts w:ascii="Times New Roman" w:eastAsia="SimSun" w:hAnsi="Times New Roman"/>
                <w:b/>
                <w:bCs/>
                <w:color w:val="FFFFFF"/>
                <w:sz w:val="21"/>
                <w:szCs w:val="21"/>
              </w:rPr>
              <w:t xml:space="preserve">Typical section profile</w:t>
            </w:r>
          </w:p>
        </w:tc>
        <w:tc>
          <w:tcPr>
            <w:tcW w:type="pct" w:w="42%"/>
            <w:shd w:fill="2E86C1" w:val="clear"/>
            <w:tcMar>
              <w:top w:type="dxa" w:w="70"/>
              <w:left w:type="dxa" w:w="110"/>
              <w:bottom w:type="dxa" w:w="70"/>
              <w:right w:type="dxa" w:w="110"/>
            </w:tcMar>
          </w:tcPr>
          <w:p>
            <w:pPr>
              <w:spacing w:line="312"/>
              <w:jc w:val="left"/>
            </w:pPr>
            <w:r>
              <w:rPr>
                <w:rFonts w:ascii="Times New Roman" w:eastAsia="SimSun" w:hAnsi="Times New Roman"/>
                <w:b/>
                <w:bCs/>
                <w:color w:val="FFFFFF"/>
                <w:sz w:val="21"/>
                <w:szCs w:val="21"/>
              </w:rPr>
              <w:t xml:space="preserve">What it supports</w:t>
            </w:r>
          </w:p>
        </w:tc>
      </w:tr>
      <w:tr>
        <w:trPr>
          <w:cantSplit/>
        </w:trPr>
        <w:tc>
          <w:tcPr>
            <w:tcW w:type="pct" w:w="16%"/>
            <w:shd w:fill="EDF3F8" w:val="clear"/>
            <w:tcMar>
              <w:top w:type="dxa" w:w="70"/>
              <w:left w:type="dxa" w:w="110"/>
              <w:bottom w:type="dxa" w:w="70"/>
              <w:right w:type="dxa" w:w="110"/>
            </w:tcMar>
          </w:tcPr>
          <w:p>
            <w:pPr>
              <w:spacing w:line="312"/>
              <w:jc w:val="left"/>
            </w:pPr>
            <w:r>
              <w:rPr>
                <w:rFonts w:ascii="Times New Roman" w:eastAsia="SimSun" w:hAnsi="Times New Roman"/>
                <w:b w:val="false"/>
                <w:bCs w:val="false"/>
                <w:color w:val="000000"/>
                <w:sz w:val="21"/>
                <w:szCs w:val="21"/>
              </w:rPr>
              <w:t xml:space="preserve">Below minimum</w:t>
            </w:r>
          </w:p>
        </w:tc>
        <w:tc>
          <w:tcPr>
            <w:tcW w:type="pct" w:w="16%"/>
            <w:shd w:fill="EDF3F8" w:val="clear"/>
            <w:tcMar>
              <w:top w:type="dxa" w:w="70"/>
              <w:left w:type="dxa" w:w="110"/>
              <w:bottom w:type="dxa" w:w="70"/>
              <w:right w:type="dxa" w:w="110"/>
            </w:tcMar>
          </w:tcPr>
          <w:p>
            <w:pPr>
              <w:spacing w:line="312"/>
              <w:jc w:val="left"/>
            </w:pPr>
            <w:r>
              <w:rPr>
                <w:rFonts w:ascii="Times New Roman" w:eastAsia="SimSun" w:hAnsi="Times New Roman"/>
                <w:b w:val="false"/>
                <w:bCs w:val="false"/>
                <w:color w:val="000000"/>
                <w:sz w:val="21"/>
                <w:szCs w:val="21"/>
              </w:rPr>
              <w:t xml:space="preserve">Below 300</w:t>
            </w:r>
          </w:p>
        </w:tc>
        <w:tc>
          <w:tcPr>
            <w:tcW w:type="pct" w:w="26%"/>
            <w:shd w:fill="EDF3F8" w:val="clear"/>
            <w:tcMar>
              <w:top w:type="dxa" w:w="70"/>
              <w:left w:type="dxa" w:w="110"/>
              <w:bottom w:type="dxa" w:w="70"/>
              <w:right w:type="dxa" w:w="110"/>
            </w:tcMar>
          </w:tcPr>
          <w:p>
            <w:pPr>
              <w:spacing w:line="312"/>
              <w:jc w:val="left"/>
            </w:pPr>
            <w:r>
              <w:rPr>
                <w:rFonts w:ascii="Times New Roman" w:eastAsia="SimSun" w:hAnsi="Times New Roman"/>
                <w:b w:val="false"/>
                <w:bCs w:val="false"/>
                <w:color w:val="000000"/>
                <w:sz w:val="21"/>
                <w:szCs w:val="21"/>
              </w:rPr>
              <w:t xml:space="preserve">Writing under 3.0</w:t>
            </w:r>
          </w:p>
        </w:tc>
        <w:tc>
          <w:tcPr>
            <w:tcW w:type="pct" w:w="42%"/>
            <w:shd w:fill="EDF3F8" w:val="clear"/>
            <w:tcMar>
              <w:top w:type="dxa" w:w="70"/>
              <w:left w:type="dxa" w:w="110"/>
              <w:bottom w:type="dxa" w:w="70"/>
              <w:right w:type="dxa" w:w="110"/>
            </w:tcMar>
          </w:tcPr>
          <w:p>
            <w:pPr>
              <w:spacing w:line="312"/>
              <w:jc w:val="left"/>
            </w:pPr>
            <w:r>
              <w:rPr>
                <w:rFonts w:ascii="Times New Roman" w:eastAsia="SimSun" w:hAnsi="Times New Roman"/>
                <w:b w:val="false"/>
                <w:bCs w:val="false"/>
                <w:color w:val="000000"/>
                <w:sz w:val="21"/>
                <w:szCs w:val="21"/>
              </w:rPr>
              <w:t xml:space="preserve">Risky for admission anywhere selective; retake recommended</w:t>
            </w:r>
          </w:p>
        </w:tc>
      </w:tr>
      <w:tr>
        <w:trPr>
          <w:cantSplit/>
        </w:trPr>
        <w:tc>
          <w:tcPr>
            <w:tcW w:type="pct" w:w="16%"/>
            <w:shd w:fill="FFFFFF" w:val="clear"/>
            <w:tcMar>
              <w:top w:type="dxa" w:w="70"/>
              <w:left w:type="dxa" w:w="110"/>
              <w:bottom w:type="dxa" w:w="70"/>
              <w:right w:type="dxa" w:w="110"/>
            </w:tcMar>
          </w:tcPr>
          <w:p>
            <w:pPr>
              <w:spacing w:line="312"/>
              <w:jc w:val="left"/>
            </w:pPr>
            <w:r>
              <w:rPr>
                <w:rFonts w:ascii="Times New Roman" w:eastAsia="SimSun" w:hAnsi="Times New Roman"/>
                <w:b w:val="false"/>
                <w:bCs w:val="false"/>
                <w:color w:val="000000"/>
                <w:sz w:val="21"/>
                <w:szCs w:val="21"/>
              </w:rPr>
              <w:t xml:space="preserve">Meets floors</w:t>
            </w:r>
          </w:p>
        </w:tc>
        <w:tc>
          <w:tcPr>
            <w:tcW w:type="pct" w:w="16%"/>
            <w:shd w:fill="FFFFFF" w:val="clear"/>
            <w:tcMar>
              <w:top w:type="dxa" w:w="70"/>
              <w:left w:type="dxa" w:w="110"/>
              <w:bottom w:type="dxa" w:w="70"/>
              <w:right w:type="dxa" w:w="110"/>
            </w:tcMar>
          </w:tcPr>
          <w:p>
            <w:pPr>
              <w:spacing w:line="312"/>
              <w:jc w:val="left"/>
            </w:pPr>
            <w:r>
              <w:rPr>
                <w:rFonts w:ascii="Times New Roman" w:eastAsia="SimSun" w:hAnsi="Times New Roman"/>
                <w:b w:val="false"/>
                <w:bCs w:val="false"/>
                <w:color w:val="000000"/>
                <w:sz w:val="21"/>
                <w:szCs w:val="21"/>
              </w:rPr>
              <w:t xml:space="preserve">300-310</w:t>
            </w:r>
          </w:p>
        </w:tc>
        <w:tc>
          <w:tcPr>
            <w:tcW w:type="pct" w:w="26%"/>
            <w:shd w:fill="FFFFFF" w:val="clear"/>
            <w:tcMar>
              <w:top w:type="dxa" w:w="70"/>
              <w:left w:type="dxa" w:w="110"/>
              <w:bottom w:type="dxa" w:w="70"/>
              <w:right w:type="dxa" w:w="110"/>
            </w:tcMar>
          </w:tcPr>
          <w:p>
            <w:pPr>
              <w:spacing w:line="312"/>
              <w:jc w:val="left"/>
            </w:pPr>
            <w:r>
              <w:rPr>
                <w:rFonts w:ascii="Times New Roman" w:eastAsia="SimSun" w:hAnsi="Times New Roman"/>
                <w:b w:val="false"/>
                <w:bCs w:val="false"/>
                <w:color w:val="000000"/>
                <w:sz w:val="21"/>
                <w:szCs w:val="21"/>
              </w:rPr>
              <w:t xml:space="preserve">Q 155-160; V 150-155; AWA 3.5</w:t>
            </w:r>
          </w:p>
        </w:tc>
        <w:tc>
          <w:tcPr>
            <w:tcW w:type="pct" w:w="42%"/>
            <w:shd w:fill="FFFFFF" w:val="clear"/>
            <w:tcMar>
              <w:top w:type="dxa" w:w="70"/>
              <w:left w:type="dxa" w:w="110"/>
              <w:bottom w:type="dxa" w:w="70"/>
              <w:right w:type="dxa" w:w="110"/>
            </w:tcMar>
          </w:tcPr>
          <w:p>
            <w:pPr>
              <w:spacing w:line="312"/>
              <w:jc w:val="left"/>
            </w:pPr>
            <w:r>
              <w:rPr>
                <w:rFonts w:ascii="Times New Roman" w:eastAsia="SimSun" w:hAnsi="Times New Roman"/>
                <w:b w:val="false"/>
                <w:bCs w:val="false"/>
                <w:color w:val="000000"/>
                <w:sz w:val="21"/>
                <w:szCs w:val="21"/>
              </w:rPr>
              <w:t xml:space="preserve">Clears many program minimums; weak for funded places</w:t>
            </w:r>
          </w:p>
        </w:tc>
      </w:tr>
      <w:tr>
        <w:trPr>
          <w:cantSplit/>
        </w:trPr>
        <w:tc>
          <w:tcPr>
            <w:tcW w:type="pct" w:w="16%"/>
            <w:shd w:fill="EDF3F8" w:val="clear"/>
            <w:tcMar>
              <w:top w:type="dxa" w:w="70"/>
              <w:left w:type="dxa" w:w="110"/>
              <w:bottom w:type="dxa" w:w="70"/>
              <w:right w:type="dxa" w:w="110"/>
            </w:tcMar>
          </w:tcPr>
          <w:p>
            <w:pPr>
              <w:spacing w:line="312"/>
              <w:jc w:val="left"/>
            </w:pPr>
            <w:r>
              <w:rPr>
                <w:rFonts w:ascii="Times New Roman" w:eastAsia="SimSun" w:hAnsi="Times New Roman"/>
                <w:b w:val="false"/>
                <w:bCs w:val="false"/>
                <w:color w:val="000000"/>
                <w:sz w:val="21"/>
                <w:szCs w:val="21"/>
              </w:rPr>
              <w:t xml:space="preserve">Competitive</w:t>
            </w:r>
          </w:p>
        </w:tc>
        <w:tc>
          <w:tcPr>
            <w:tcW w:type="pct" w:w="16%"/>
            <w:shd w:fill="EDF3F8" w:val="clear"/>
            <w:tcMar>
              <w:top w:type="dxa" w:w="70"/>
              <w:left w:type="dxa" w:w="110"/>
              <w:bottom w:type="dxa" w:w="70"/>
              <w:right w:type="dxa" w:w="110"/>
            </w:tcMar>
          </w:tcPr>
          <w:p>
            <w:pPr>
              <w:spacing w:line="312"/>
              <w:jc w:val="left"/>
            </w:pPr>
            <w:r>
              <w:rPr>
                <w:rFonts w:ascii="Times New Roman" w:eastAsia="SimSun" w:hAnsi="Times New Roman"/>
                <w:b w:val="false"/>
                <w:bCs w:val="false"/>
                <w:color w:val="000000"/>
                <w:sz w:val="21"/>
                <w:szCs w:val="21"/>
              </w:rPr>
              <w:t xml:space="preserve">310-320</w:t>
            </w:r>
          </w:p>
        </w:tc>
        <w:tc>
          <w:tcPr>
            <w:tcW w:type="pct" w:w="26%"/>
            <w:shd w:fill="EDF3F8" w:val="clear"/>
            <w:tcMar>
              <w:top w:type="dxa" w:w="70"/>
              <w:left w:type="dxa" w:w="110"/>
              <w:bottom w:type="dxa" w:w="70"/>
              <w:right w:type="dxa" w:w="110"/>
            </w:tcMar>
          </w:tcPr>
          <w:p>
            <w:pPr>
              <w:spacing w:line="312"/>
              <w:jc w:val="left"/>
            </w:pPr>
            <w:r>
              <w:rPr>
                <w:rFonts w:ascii="Times New Roman" w:eastAsia="SimSun" w:hAnsi="Times New Roman"/>
                <w:b w:val="false"/>
                <w:bCs w:val="false"/>
                <w:color w:val="000000"/>
                <w:sz w:val="21"/>
                <w:szCs w:val="21"/>
              </w:rPr>
              <w:t xml:space="preserve">Q 160-165; V 155-160; AWA 4.0</w:t>
            </w:r>
          </w:p>
        </w:tc>
        <w:tc>
          <w:tcPr>
            <w:tcW w:type="pct" w:w="42%"/>
            <w:shd w:fill="EDF3F8" w:val="clear"/>
            <w:tcMar>
              <w:top w:type="dxa" w:w="70"/>
              <w:left w:type="dxa" w:w="110"/>
              <w:bottom w:type="dxa" w:w="70"/>
              <w:right w:type="dxa" w:w="110"/>
            </w:tcMar>
          </w:tcPr>
          <w:p>
            <w:pPr>
              <w:spacing w:line="312"/>
              <w:jc w:val="left"/>
            </w:pPr>
            <w:r>
              <w:rPr>
                <w:rFonts w:ascii="Times New Roman" w:eastAsia="SimSun" w:hAnsi="Times New Roman"/>
                <w:b w:val="false"/>
                <w:bCs w:val="false"/>
                <w:color w:val="000000"/>
                <w:sz w:val="21"/>
                <w:szCs w:val="21"/>
              </w:rPr>
              <w:t xml:space="preserve">Strong for funded master's and PhD places at good programs</w:t>
            </w:r>
          </w:p>
        </w:tc>
      </w:tr>
      <w:tr>
        <w:trPr>
          <w:cantSplit/>
        </w:trPr>
        <w:tc>
          <w:tcPr>
            <w:tcW w:type="pct" w:w="16%"/>
            <w:shd w:fill="FFFFFF" w:val="clear"/>
            <w:tcMar>
              <w:top w:type="dxa" w:w="70"/>
              <w:left w:type="dxa" w:w="110"/>
              <w:bottom w:type="dxa" w:w="70"/>
              <w:right w:type="dxa" w:w="110"/>
            </w:tcMar>
          </w:tcPr>
          <w:p>
            <w:pPr>
              <w:spacing w:line="312"/>
              <w:jc w:val="left"/>
            </w:pPr>
            <w:r>
              <w:rPr>
                <w:rFonts w:ascii="Times New Roman" w:eastAsia="SimSun" w:hAnsi="Times New Roman"/>
                <w:b w:val="false"/>
                <w:bCs w:val="false"/>
                <w:color w:val="000000"/>
                <w:sz w:val="21"/>
                <w:szCs w:val="21"/>
              </w:rPr>
              <w:t xml:space="preserve">Strong</w:t>
            </w:r>
          </w:p>
        </w:tc>
        <w:tc>
          <w:tcPr>
            <w:tcW w:type="pct" w:w="16%"/>
            <w:shd w:fill="FFFFFF" w:val="clear"/>
            <w:tcMar>
              <w:top w:type="dxa" w:w="70"/>
              <w:left w:type="dxa" w:w="110"/>
              <w:bottom w:type="dxa" w:w="70"/>
              <w:right w:type="dxa" w:w="110"/>
            </w:tcMar>
          </w:tcPr>
          <w:p>
            <w:pPr>
              <w:spacing w:line="312"/>
              <w:jc w:val="left"/>
            </w:pPr>
            <w:r>
              <w:rPr>
                <w:rFonts w:ascii="Times New Roman" w:eastAsia="SimSun" w:hAnsi="Times New Roman"/>
                <w:b w:val="false"/>
                <w:bCs w:val="false"/>
                <w:color w:val="000000"/>
                <w:sz w:val="21"/>
                <w:szCs w:val="21"/>
              </w:rPr>
              <w:t xml:space="preserve">320 and above</w:t>
            </w:r>
          </w:p>
        </w:tc>
        <w:tc>
          <w:tcPr>
            <w:tcW w:type="pct" w:w="26%"/>
            <w:shd w:fill="FFFFFF" w:val="clear"/>
            <w:tcMar>
              <w:top w:type="dxa" w:w="70"/>
              <w:left w:type="dxa" w:w="110"/>
              <w:bottom w:type="dxa" w:w="70"/>
              <w:right w:type="dxa" w:w="110"/>
            </w:tcMar>
          </w:tcPr>
          <w:p>
            <w:pPr>
              <w:spacing w:line="312"/>
              <w:jc w:val="left"/>
            </w:pPr>
            <w:r>
              <w:rPr>
                <w:rFonts w:ascii="Times New Roman" w:eastAsia="SimSun" w:hAnsi="Times New Roman"/>
                <w:b w:val="false"/>
                <w:bCs w:val="false"/>
                <w:color w:val="000000"/>
                <w:sz w:val="21"/>
                <w:szCs w:val="21"/>
              </w:rPr>
              <w:t xml:space="preserve">Q 165+; V 160+; AWA 4.5-5.0</w:t>
            </w:r>
          </w:p>
        </w:tc>
        <w:tc>
          <w:tcPr>
            <w:tcW w:type="pct" w:w="42%"/>
            <w:shd w:fill="FFFFFF" w:val="clear"/>
            <w:tcMar>
              <w:top w:type="dxa" w:w="70"/>
              <w:left w:type="dxa" w:w="110"/>
              <w:bottom w:type="dxa" w:w="70"/>
              <w:right w:type="dxa" w:w="110"/>
            </w:tcMar>
          </w:tcPr>
          <w:p>
            <w:pPr>
              <w:spacing w:line="312"/>
              <w:jc w:val="left"/>
            </w:pPr>
            <w:r>
              <w:rPr>
                <w:rFonts w:ascii="Times New Roman" w:eastAsia="SimSun" w:hAnsi="Times New Roman"/>
                <w:b w:val="false"/>
                <w:bCs w:val="false"/>
                <w:color w:val="000000"/>
                <w:sz w:val="21"/>
                <w:szCs w:val="21"/>
              </w:rPr>
              <w:t xml:space="preserve">Top programs and merit scholarships; Fulbright-selected median is about 315</w:t>
            </w:r>
          </w:p>
        </w:tc>
      </w:tr>
    </w:tbl>
    <w:p>
      <w:pPr>
        <w:pStyle w:val="Heading2"/>
        <w:keepNext/>
        <w:spacing w:after="120" w:before="260" w:line="340" w:lineRule="atLeast"/>
      </w:pPr>
      <w:bookmarkStart w:id="100032" w:name="_Toc100032"/>
      <w:r>
        <w:rPr>
          <w:rFonts w:ascii="Times New Roman" w:eastAsia="SimHei" w:hAnsi="Times New Roman"/>
          <w:b/>
          <w:bCs/>
          <w:color w:val="1A5276"/>
          <w:sz w:val="28"/>
          <w:szCs w:val="28"/>
        </w:rPr>
        <w:t xml:space="preserve">6.3 GMAT Benchmarks</w:t>
      </w:r>
      <w:bookmarkEnd w:id="100032"/>
    </w:p>
    <w:p>
      <w:pPr>
        <w:keepNext/>
        <w:spacing w:after="140" w:line="312"/>
        <w:jc w:val="both"/>
      </w:pPr>
      <w:r>
        <w:rPr>
          <w:rFonts w:ascii="Times New Roman" w:eastAsia="SimSun" w:hAnsi="Times New Roman"/>
          <w:b w:val="false"/>
          <w:bCs w:val="false"/>
          <w:color w:val="000000"/>
          <w:sz w:val="24"/>
          <w:szCs w:val="24"/>
        </w:rPr>
        <w:t xml:space="preserve">GMAT Focus Edition scores run from 205 to 805, and the equivalence anchors help translate advice written for the older scale: about </w:t>
      </w:r>
      <w:r>
        <w:rPr>
          <w:rFonts w:ascii="Times New Roman" w:eastAsia="SimSun" w:hAnsi="Times New Roman"/>
          <w:b/>
          <w:bCs/>
          <w:color w:val="000000"/>
          <w:sz w:val="24"/>
          <w:szCs w:val="24"/>
        </w:rPr>
        <w:t xml:space="preserve">645 Focus corresponds to the classic 700</w:t>
      </w:r>
      <w:r>
        <w:rPr>
          <w:rFonts w:ascii="Times New Roman" w:eastAsia="SimSun" w:hAnsi="Times New Roman"/>
          <w:b w:val="false"/>
          <w:bCs w:val="false"/>
          <w:color w:val="000000"/>
          <w:sz w:val="24"/>
          <w:szCs w:val="24"/>
        </w:rPr>
        <w:t xml:space="preserve">, and about </w:t>
      </w:r>
      <w:r>
        <w:rPr>
          <w:rFonts w:ascii="Times New Roman" w:eastAsia="SimSun" w:hAnsi="Times New Roman"/>
          <w:b/>
          <w:bCs/>
          <w:color w:val="000000"/>
          <w:sz w:val="24"/>
          <w:szCs w:val="24"/>
        </w:rPr>
        <w:t xml:space="preserve">705 Focus to the classic 750</w:t>
      </w:r>
      <w:r>
        <w:rPr>
          <w:rFonts w:ascii="Times New Roman" w:eastAsia="SimSun" w:hAnsi="Times New Roman"/>
          <w:b w:val="false"/>
          <w:bCs w:val="false"/>
          <w:color w:val="000000"/>
          <w:sz w:val="24"/>
          <w:szCs w:val="24"/>
        </w:rPr>
        <w:t xml:space="preserve">. Business schools publish class profiles with middle-80 percent ranges; scholarships at those schools usually go to candidates in the upper half of that range or above it.</w:t>
      </w:r>
    </w:p>
    <w:p>
      <w:pPr>
        <w:keepNext/>
        <w:spacing w:after="80" w:before="160" w:line="312"/>
      </w:pPr>
      <w:r>
        <w:rPr>
          <w:rFonts w:ascii="Times New Roman" w:eastAsia="SimSun" w:hAnsi="Times New Roman"/>
          <w:b/>
          <w:bCs/>
          <w:color w:val="1A5276"/>
          <w:sz w:val="21"/>
          <w:szCs w:val="21"/>
        </w:rPr>
        <w:t xml:space="preserve">Table 6: </w:t>
      </w:r>
      <w:r>
        <w:rPr>
          <w:rFonts w:ascii="Times New Roman" w:eastAsia="SimSun" w:hAnsi="Times New Roman"/>
          <w:b/>
          <w:bCs/>
          <w:color w:val="000000"/>
          <w:sz w:val="21"/>
          <w:szCs w:val="21"/>
        </w:rPr>
        <w:t xml:space="preserve">GMAT Focus Edition score tiers</w:t>
      </w:r>
    </w:p>
    <w:tbl>
      <w:tblPr>
        <w:tblW w:type="pct" w:w="100%"/>
        <w:tblBorders>
          <w:top w:val="single" w:color="1A5276" w:sz="6"/>
          <w:left w:val="none" w:color="FFFFFF" w:sz="0"/>
          <w:bottom w:val="single" w:color="1A5276" w:sz="6"/>
          <w:right w:val="none" w:color="FFFFFF" w:sz="0"/>
          <w:insideH w:val="single" w:color="D0DDE8" w:sz="2"/>
          <w:insideV w:val="none" w:color="FFFFFF" w:sz="0"/>
        </w:tblBorders>
      </w:tblPr>
      <w:tblGrid>
        <w:gridCol w:w="100"/>
        <w:gridCol w:w="100"/>
        <w:gridCol w:w="100"/>
        <w:gridCol w:w="100"/>
      </w:tblGrid>
      <w:tr>
        <w:trPr>
          <w:cantSplit/>
          <w:tblHeader/>
        </w:trPr>
        <w:tc>
          <w:tcPr>
            <w:tcW w:type="pct" w:w="18%"/>
            <w:shd w:fill="2E86C1" w:val="clear"/>
            <w:tcMar>
              <w:top w:type="dxa" w:w="70"/>
              <w:left w:type="dxa" w:w="110"/>
              <w:bottom w:type="dxa" w:w="70"/>
              <w:right w:type="dxa" w:w="110"/>
            </w:tcMar>
          </w:tcPr>
          <w:p>
            <w:pPr>
              <w:spacing w:line="312"/>
              <w:jc w:val="left"/>
            </w:pPr>
            <w:r>
              <w:rPr>
                <w:rFonts w:ascii="Times New Roman" w:eastAsia="SimSun" w:hAnsi="Times New Roman"/>
                <w:b/>
                <w:bCs/>
                <w:color w:val="FFFFFF"/>
                <w:sz w:val="21"/>
                <w:szCs w:val="21"/>
              </w:rPr>
              <w:t xml:space="preserve">Tier</w:t>
            </w:r>
          </w:p>
        </w:tc>
        <w:tc>
          <w:tcPr>
            <w:tcW w:type="pct" w:w="24%"/>
            <w:shd w:fill="2E86C1" w:val="clear"/>
            <w:tcMar>
              <w:top w:type="dxa" w:w="70"/>
              <w:left w:type="dxa" w:w="110"/>
              <w:bottom w:type="dxa" w:w="70"/>
              <w:right w:type="dxa" w:w="110"/>
            </w:tcMar>
          </w:tcPr>
          <w:p>
            <w:pPr>
              <w:spacing w:line="312"/>
              <w:jc w:val="left"/>
            </w:pPr>
            <w:r>
              <w:rPr>
                <w:rFonts w:ascii="Times New Roman" w:eastAsia="SimSun" w:hAnsi="Times New Roman"/>
                <w:b/>
                <w:bCs/>
                <w:color w:val="FFFFFF"/>
                <w:sz w:val="21"/>
                <w:szCs w:val="21"/>
              </w:rPr>
              <w:t xml:space="preserve">Focus Edition score</w:t>
            </w:r>
          </w:p>
        </w:tc>
        <w:tc>
          <w:tcPr>
            <w:tcW w:type="pct" w:w="20%"/>
            <w:shd w:fill="2E86C1" w:val="clear"/>
            <w:tcMar>
              <w:top w:type="dxa" w:w="70"/>
              <w:left w:type="dxa" w:w="110"/>
              <w:bottom w:type="dxa" w:w="70"/>
              <w:right w:type="dxa" w:w="110"/>
            </w:tcMar>
          </w:tcPr>
          <w:p>
            <w:pPr>
              <w:spacing w:line="312"/>
              <w:jc w:val="left"/>
            </w:pPr>
            <w:r>
              <w:rPr>
                <w:rFonts w:ascii="Times New Roman" w:eastAsia="SimSun" w:hAnsi="Times New Roman"/>
                <w:b/>
                <w:bCs/>
                <w:color w:val="FFFFFF"/>
                <w:sz w:val="21"/>
                <w:szCs w:val="21"/>
              </w:rPr>
              <w:t xml:space="preserve">Classic equivalent</w:t>
            </w:r>
          </w:p>
        </w:tc>
        <w:tc>
          <w:tcPr>
            <w:tcW w:type="pct" w:w="38%"/>
            <w:shd w:fill="2E86C1" w:val="clear"/>
            <w:tcMar>
              <w:top w:type="dxa" w:w="70"/>
              <w:left w:type="dxa" w:w="110"/>
              <w:bottom w:type="dxa" w:w="70"/>
              <w:right w:type="dxa" w:w="110"/>
            </w:tcMar>
          </w:tcPr>
          <w:p>
            <w:pPr>
              <w:spacing w:line="312"/>
              <w:jc w:val="left"/>
            </w:pPr>
            <w:r>
              <w:rPr>
                <w:rFonts w:ascii="Times New Roman" w:eastAsia="SimSun" w:hAnsi="Times New Roman"/>
                <w:b/>
                <w:bCs/>
                <w:color w:val="FFFFFF"/>
                <w:sz w:val="21"/>
                <w:szCs w:val="21"/>
              </w:rPr>
              <w:t xml:space="preserve">What it supports</w:t>
            </w:r>
          </w:p>
        </w:tc>
      </w:tr>
      <w:tr>
        <w:trPr>
          <w:cantSplit/>
        </w:trPr>
        <w:tc>
          <w:tcPr>
            <w:tcW w:type="pct" w:w="18%"/>
            <w:shd w:fill="EDF3F8" w:val="clear"/>
            <w:tcMar>
              <w:top w:type="dxa" w:w="70"/>
              <w:left w:type="dxa" w:w="110"/>
              <w:bottom w:type="dxa" w:w="70"/>
              <w:right w:type="dxa" w:w="110"/>
            </w:tcMar>
          </w:tcPr>
          <w:p>
            <w:pPr>
              <w:spacing w:line="312"/>
              <w:jc w:val="left"/>
            </w:pPr>
            <w:r>
              <w:rPr>
                <w:rFonts w:ascii="Times New Roman" w:eastAsia="SimSun" w:hAnsi="Times New Roman"/>
                <w:b w:val="false"/>
                <w:bCs w:val="false"/>
                <w:color w:val="000000"/>
                <w:sz w:val="21"/>
                <w:szCs w:val="21"/>
              </w:rPr>
              <w:t xml:space="preserve">Below typical</w:t>
            </w:r>
          </w:p>
        </w:tc>
        <w:tc>
          <w:tcPr>
            <w:tcW w:type="pct" w:w="24%"/>
            <w:shd w:fill="EDF3F8" w:val="clear"/>
            <w:tcMar>
              <w:top w:type="dxa" w:w="70"/>
              <w:left w:type="dxa" w:w="110"/>
              <w:bottom w:type="dxa" w:w="70"/>
              <w:right w:type="dxa" w:w="110"/>
            </w:tcMar>
          </w:tcPr>
          <w:p>
            <w:pPr>
              <w:spacing w:line="312"/>
              <w:jc w:val="left"/>
            </w:pPr>
            <w:r>
              <w:rPr>
                <w:rFonts w:ascii="Times New Roman" w:eastAsia="SimSun" w:hAnsi="Times New Roman"/>
                <w:b w:val="false"/>
                <w:bCs w:val="false"/>
                <w:color w:val="000000"/>
                <w:sz w:val="21"/>
                <w:szCs w:val="21"/>
              </w:rPr>
              <w:t xml:space="preserve">Below 555</w:t>
            </w:r>
          </w:p>
        </w:tc>
        <w:tc>
          <w:tcPr>
            <w:tcW w:type="pct" w:w="20%"/>
            <w:shd w:fill="EDF3F8" w:val="clear"/>
            <w:tcMar>
              <w:top w:type="dxa" w:w="70"/>
              <w:left w:type="dxa" w:w="110"/>
              <w:bottom w:type="dxa" w:w="70"/>
              <w:right w:type="dxa" w:w="110"/>
            </w:tcMar>
          </w:tcPr>
          <w:p>
            <w:pPr>
              <w:spacing w:line="312"/>
              <w:jc w:val="left"/>
            </w:pPr>
            <w:r>
              <w:rPr>
                <w:rFonts w:ascii="Times New Roman" w:eastAsia="SimSun" w:hAnsi="Times New Roman"/>
                <w:b w:val="false"/>
                <w:bCs w:val="false"/>
                <w:color w:val="000000"/>
                <w:sz w:val="21"/>
                <w:szCs w:val="21"/>
              </w:rPr>
              <w:t xml:space="preserve">Below 600</w:t>
            </w:r>
          </w:p>
        </w:tc>
        <w:tc>
          <w:tcPr>
            <w:tcW w:type="pct" w:w="38%"/>
            <w:shd w:fill="EDF3F8" w:val="clear"/>
            <w:tcMar>
              <w:top w:type="dxa" w:w="70"/>
              <w:left w:type="dxa" w:w="110"/>
              <w:bottom w:type="dxa" w:w="70"/>
              <w:right w:type="dxa" w:w="110"/>
            </w:tcMar>
          </w:tcPr>
          <w:p>
            <w:pPr>
              <w:spacing w:line="312"/>
              <w:jc w:val="left"/>
            </w:pPr>
            <w:r>
              <w:rPr>
                <w:rFonts w:ascii="Times New Roman" w:eastAsia="SimSun" w:hAnsi="Times New Roman"/>
                <w:b w:val="false"/>
                <w:bCs w:val="false"/>
                <w:color w:val="000000"/>
                <w:sz w:val="21"/>
                <w:szCs w:val="21"/>
              </w:rPr>
              <w:t xml:space="preserve">Below most reputable program floors</w:t>
            </w:r>
          </w:p>
        </w:tc>
      </w:tr>
      <w:tr>
        <w:trPr>
          <w:cantSplit/>
        </w:trPr>
        <w:tc>
          <w:tcPr>
            <w:tcW w:type="pct" w:w="18%"/>
            <w:shd w:fill="FFFFFF" w:val="clear"/>
            <w:tcMar>
              <w:top w:type="dxa" w:w="70"/>
              <w:left w:type="dxa" w:w="110"/>
              <w:bottom w:type="dxa" w:w="70"/>
              <w:right w:type="dxa" w:w="110"/>
            </w:tcMar>
          </w:tcPr>
          <w:p>
            <w:pPr>
              <w:spacing w:line="312"/>
              <w:jc w:val="left"/>
            </w:pPr>
            <w:r>
              <w:rPr>
                <w:rFonts w:ascii="Times New Roman" w:eastAsia="SimSun" w:hAnsi="Times New Roman"/>
                <w:b w:val="false"/>
                <w:bCs w:val="false"/>
                <w:color w:val="000000"/>
                <w:sz w:val="21"/>
                <w:szCs w:val="21"/>
              </w:rPr>
              <w:t xml:space="preserve">Meets floors</w:t>
            </w:r>
          </w:p>
        </w:tc>
        <w:tc>
          <w:tcPr>
            <w:tcW w:type="pct" w:w="24%"/>
            <w:shd w:fill="FFFFFF" w:val="clear"/>
            <w:tcMar>
              <w:top w:type="dxa" w:w="70"/>
              <w:left w:type="dxa" w:w="110"/>
              <w:bottom w:type="dxa" w:w="70"/>
              <w:right w:type="dxa" w:w="110"/>
            </w:tcMar>
          </w:tcPr>
          <w:p>
            <w:pPr>
              <w:spacing w:line="312"/>
              <w:jc w:val="left"/>
            </w:pPr>
            <w:r>
              <w:rPr>
                <w:rFonts w:ascii="Times New Roman" w:eastAsia="SimSun" w:hAnsi="Times New Roman"/>
                <w:b w:val="false"/>
                <w:bCs w:val="false"/>
                <w:color w:val="000000"/>
                <w:sz w:val="21"/>
                <w:szCs w:val="21"/>
              </w:rPr>
              <w:t xml:space="preserve">555-615</w:t>
            </w:r>
          </w:p>
        </w:tc>
        <w:tc>
          <w:tcPr>
            <w:tcW w:type="pct" w:w="20%"/>
            <w:shd w:fill="FFFFFF" w:val="clear"/>
            <w:tcMar>
              <w:top w:type="dxa" w:w="70"/>
              <w:left w:type="dxa" w:w="110"/>
              <w:bottom w:type="dxa" w:w="70"/>
              <w:right w:type="dxa" w:w="110"/>
            </w:tcMar>
          </w:tcPr>
          <w:p>
            <w:pPr>
              <w:spacing w:line="312"/>
              <w:jc w:val="left"/>
            </w:pPr>
            <w:r>
              <w:rPr>
                <w:rFonts w:ascii="Times New Roman" w:eastAsia="SimSun" w:hAnsi="Times New Roman"/>
                <w:b w:val="false"/>
                <w:bCs w:val="false"/>
                <w:color w:val="000000"/>
                <w:sz w:val="21"/>
                <w:szCs w:val="21"/>
              </w:rPr>
              <w:t xml:space="preserve">600-650</w:t>
            </w:r>
          </w:p>
        </w:tc>
        <w:tc>
          <w:tcPr>
            <w:tcW w:type="pct" w:w="38%"/>
            <w:shd w:fill="FFFFFF" w:val="clear"/>
            <w:tcMar>
              <w:top w:type="dxa" w:w="70"/>
              <w:left w:type="dxa" w:w="110"/>
              <w:bottom w:type="dxa" w:w="70"/>
              <w:right w:type="dxa" w:w="110"/>
            </w:tcMar>
          </w:tcPr>
          <w:p>
            <w:pPr>
              <w:spacing w:line="312"/>
              <w:jc w:val="left"/>
            </w:pPr>
            <w:r>
              <w:rPr>
                <w:rFonts w:ascii="Times New Roman" w:eastAsia="SimSun" w:hAnsi="Times New Roman"/>
                <w:b w:val="false"/>
                <w:bCs w:val="false"/>
                <w:color w:val="000000"/>
                <w:sz w:val="21"/>
                <w:szCs w:val="21"/>
              </w:rPr>
              <w:t xml:space="preserve">Meets many solid program minimums</w:t>
            </w:r>
          </w:p>
        </w:tc>
      </w:tr>
      <w:tr>
        <w:trPr>
          <w:cantSplit/>
        </w:trPr>
        <w:tc>
          <w:tcPr>
            <w:tcW w:type="pct" w:w="18%"/>
            <w:shd w:fill="EDF3F8" w:val="clear"/>
            <w:tcMar>
              <w:top w:type="dxa" w:w="70"/>
              <w:left w:type="dxa" w:w="110"/>
              <w:bottom w:type="dxa" w:w="70"/>
              <w:right w:type="dxa" w:w="110"/>
            </w:tcMar>
          </w:tcPr>
          <w:p>
            <w:pPr>
              <w:spacing w:line="312"/>
              <w:jc w:val="left"/>
            </w:pPr>
            <w:r>
              <w:rPr>
                <w:rFonts w:ascii="Times New Roman" w:eastAsia="SimSun" w:hAnsi="Times New Roman"/>
                <w:b w:val="false"/>
                <w:bCs w:val="false"/>
                <w:color w:val="000000"/>
                <w:sz w:val="21"/>
                <w:szCs w:val="21"/>
              </w:rPr>
              <w:t xml:space="preserve">Competitive</w:t>
            </w:r>
          </w:p>
        </w:tc>
        <w:tc>
          <w:tcPr>
            <w:tcW w:type="pct" w:w="24%"/>
            <w:shd w:fill="EDF3F8" w:val="clear"/>
            <w:tcMar>
              <w:top w:type="dxa" w:w="70"/>
              <w:left w:type="dxa" w:w="110"/>
              <w:bottom w:type="dxa" w:w="70"/>
              <w:right w:type="dxa" w:w="110"/>
            </w:tcMar>
          </w:tcPr>
          <w:p>
            <w:pPr>
              <w:spacing w:line="312"/>
              <w:jc w:val="left"/>
            </w:pPr>
            <w:r>
              <w:rPr>
                <w:rFonts w:ascii="Times New Roman" w:eastAsia="SimSun" w:hAnsi="Times New Roman"/>
                <w:b w:val="false"/>
                <w:bCs w:val="false"/>
                <w:color w:val="000000"/>
                <w:sz w:val="21"/>
                <w:szCs w:val="21"/>
              </w:rPr>
              <w:t xml:space="preserve">615-645</w:t>
            </w:r>
          </w:p>
        </w:tc>
        <w:tc>
          <w:tcPr>
            <w:tcW w:type="pct" w:w="20%"/>
            <w:shd w:fill="EDF3F8" w:val="clear"/>
            <w:tcMar>
              <w:top w:type="dxa" w:w="70"/>
              <w:left w:type="dxa" w:w="110"/>
              <w:bottom w:type="dxa" w:w="70"/>
              <w:right w:type="dxa" w:w="110"/>
            </w:tcMar>
          </w:tcPr>
          <w:p>
            <w:pPr>
              <w:spacing w:line="312"/>
              <w:jc w:val="left"/>
            </w:pPr>
            <w:r>
              <w:rPr>
                <w:rFonts w:ascii="Times New Roman" w:eastAsia="SimSun" w:hAnsi="Times New Roman"/>
                <w:b w:val="false"/>
                <w:bCs w:val="false"/>
                <w:color w:val="000000"/>
                <w:sz w:val="21"/>
                <w:szCs w:val="21"/>
              </w:rPr>
              <w:t xml:space="preserve">650-700</w:t>
            </w:r>
          </w:p>
        </w:tc>
        <w:tc>
          <w:tcPr>
            <w:tcW w:type="pct" w:w="38%"/>
            <w:shd w:fill="EDF3F8" w:val="clear"/>
            <w:tcMar>
              <w:top w:type="dxa" w:w="70"/>
              <w:left w:type="dxa" w:w="110"/>
              <w:bottom w:type="dxa" w:w="70"/>
              <w:right w:type="dxa" w:w="110"/>
            </w:tcMar>
          </w:tcPr>
          <w:p>
            <w:pPr>
              <w:spacing w:line="312"/>
              <w:jc w:val="left"/>
            </w:pPr>
            <w:r>
              <w:rPr>
                <w:rFonts w:ascii="Times New Roman" w:eastAsia="SimSun" w:hAnsi="Times New Roman"/>
                <w:b w:val="false"/>
                <w:bCs w:val="false"/>
                <w:color w:val="000000"/>
                <w:sz w:val="21"/>
                <w:szCs w:val="21"/>
              </w:rPr>
              <w:t xml:space="preserve">Competitive for admission and partial awards</w:t>
            </w:r>
          </w:p>
        </w:tc>
      </w:tr>
      <w:tr>
        <w:trPr>
          <w:cantSplit/>
        </w:trPr>
        <w:tc>
          <w:tcPr>
            <w:tcW w:type="pct" w:w="18%"/>
            <w:shd w:fill="FFFFFF" w:val="clear"/>
            <w:tcMar>
              <w:top w:type="dxa" w:w="70"/>
              <w:left w:type="dxa" w:w="110"/>
              <w:bottom w:type="dxa" w:w="70"/>
              <w:right w:type="dxa" w:w="110"/>
            </w:tcMar>
          </w:tcPr>
          <w:p>
            <w:pPr>
              <w:spacing w:line="312"/>
              <w:jc w:val="left"/>
            </w:pPr>
            <w:r>
              <w:rPr>
                <w:rFonts w:ascii="Times New Roman" w:eastAsia="SimSun" w:hAnsi="Times New Roman"/>
                <w:b w:val="false"/>
                <w:bCs w:val="false"/>
                <w:color w:val="000000"/>
                <w:sz w:val="21"/>
                <w:szCs w:val="21"/>
              </w:rPr>
              <w:t xml:space="preserve">Strong</w:t>
            </w:r>
          </w:p>
        </w:tc>
        <w:tc>
          <w:tcPr>
            <w:tcW w:type="pct" w:w="24%"/>
            <w:shd w:fill="FFFFFF" w:val="clear"/>
            <w:tcMar>
              <w:top w:type="dxa" w:w="70"/>
              <w:left w:type="dxa" w:w="110"/>
              <w:bottom w:type="dxa" w:w="70"/>
              <w:right w:type="dxa" w:w="110"/>
            </w:tcMar>
          </w:tcPr>
          <w:p>
            <w:pPr>
              <w:spacing w:line="312"/>
              <w:jc w:val="left"/>
            </w:pPr>
            <w:r>
              <w:rPr>
                <w:rFonts w:ascii="Times New Roman" w:eastAsia="SimSun" w:hAnsi="Times New Roman"/>
                <w:b w:val="false"/>
                <w:bCs w:val="false"/>
                <w:color w:val="000000"/>
                <w:sz w:val="21"/>
                <w:szCs w:val="21"/>
              </w:rPr>
              <w:t xml:space="preserve">645-705</w:t>
            </w:r>
          </w:p>
        </w:tc>
        <w:tc>
          <w:tcPr>
            <w:tcW w:type="pct" w:w="20%"/>
            <w:shd w:fill="FFFFFF" w:val="clear"/>
            <w:tcMar>
              <w:top w:type="dxa" w:w="70"/>
              <w:left w:type="dxa" w:w="110"/>
              <w:bottom w:type="dxa" w:w="70"/>
              <w:right w:type="dxa" w:w="110"/>
            </w:tcMar>
          </w:tcPr>
          <w:p>
            <w:pPr>
              <w:spacing w:line="312"/>
              <w:jc w:val="left"/>
            </w:pPr>
            <w:r>
              <w:rPr>
                <w:rFonts w:ascii="Times New Roman" w:eastAsia="SimSun" w:hAnsi="Times New Roman"/>
                <w:b w:val="false"/>
                <w:bCs w:val="false"/>
                <w:color w:val="000000"/>
                <w:sz w:val="21"/>
                <w:szCs w:val="21"/>
              </w:rPr>
              <w:t xml:space="preserve">700-750</w:t>
            </w:r>
          </w:p>
        </w:tc>
        <w:tc>
          <w:tcPr>
            <w:tcW w:type="pct" w:w="38%"/>
            <w:shd w:fill="FFFFFF" w:val="clear"/>
            <w:tcMar>
              <w:top w:type="dxa" w:w="70"/>
              <w:left w:type="dxa" w:w="110"/>
              <w:bottom w:type="dxa" w:w="70"/>
              <w:right w:type="dxa" w:w="110"/>
            </w:tcMar>
          </w:tcPr>
          <w:p>
            <w:pPr>
              <w:spacing w:line="312"/>
              <w:jc w:val="left"/>
            </w:pPr>
            <w:r>
              <w:rPr>
                <w:rFonts w:ascii="Times New Roman" w:eastAsia="SimSun" w:hAnsi="Times New Roman"/>
                <w:b w:val="false"/>
                <w:bCs w:val="false"/>
                <w:color w:val="000000"/>
                <w:sz w:val="21"/>
                <w:szCs w:val="21"/>
              </w:rPr>
              <w:t xml:space="preserve">Merit scholarships at strong MBA programs become realistic</w:t>
            </w:r>
          </w:p>
        </w:tc>
      </w:tr>
      <w:tr>
        <w:trPr>
          <w:cantSplit/>
        </w:trPr>
        <w:tc>
          <w:tcPr>
            <w:tcW w:type="pct" w:w="18%"/>
            <w:shd w:fill="EDF3F8" w:val="clear"/>
            <w:tcMar>
              <w:top w:type="dxa" w:w="70"/>
              <w:left w:type="dxa" w:w="110"/>
              <w:bottom w:type="dxa" w:w="70"/>
              <w:right w:type="dxa" w:w="110"/>
            </w:tcMar>
          </w:tcPr>
          <w:p>
            <w:pPr>
              <w:spacing w:line="312"/>
              <w:jc w:val="left"/>
            </w:pPr>
            <w:r>
              <w:rPr>
                <w:rFonts w:ascii="Times New Roman" w:eastAsia="SimSun" w:hAnsi="Times New Roman"/>
                <w:b w:val="false"/>
                <w:bCs w:val="false"/>
                <w:color w:val="000000"/>
                <w:sz w:val="21"/>
                <w:szCs w:val="21"/>
              </w:rPr>
              <w:t xml:space="preserve">Elite</w:t>
            </w:r>
          </w:p>
        </w:tc>
        <w:tc>
          <w:tcPr>
            <w:tcW w:type="pct" w:w="24%"/>
            <w:shd w:fill="EDF3F8" w:val="clear"/>
            <w:tcMar>
              <w:top w:type="dxa" w:w="70"/>
              <w:left w:type="dxa" w:w="110"/>
              <w:bottom w:type="dxa" w:w="70"/>
              <w:right w:type="dxa" w:w="110"/>
            </w:tcMar>
          </w:tcPr>
          <w:p>
            <w:pPr>
              <w:spacing w:line="312"/>
              <w:jc w:val="left"/>
            </w:pPr>
            <w:r>
              <w:rPr>
                <w:rFonts w:ascii="Times New Roman" w:eastAsia="SimSun" w:hAnsi="Times New Roman"/>
                <w:b w:val="false"/>
                <w:bCs w:val="false"/>
                <w:color w:val="000000"/>
                <w:sz w:val="21"/>
                <w:szCs w:val="21"/>
              </w:rPr>
              <w:t xml:space="preserve">705 and above</w:t>
            </w:r>
          </w:p>
        </w:tc>
        <w:tc>
          <w:tcPr>
            <w:tcW w:type="pct" w:w="20%"/>
            <w:shd w:fill="EDF3F8" w:val="clear"/>
            <w:tcMar>
              <w:top w:type="dxa" w:w="70"/>
              <w:left w:type="dxa" w:w="110"/>
              <w:bottom w:type="dxa" w:w="70"/>
              <w:right w:type="dxa" w:w="110"/>
            </w:tcMar>
          </w:tcPr>
          <w:p>
            <w:pPr>
              <w:spacing w:line="312"/>
              <w:jc w:val="left"/>
            </w:pPr>
            <w:r>
              <w:rPr>
                <w:rFonts w:ascii="Times New Roman" w:eastAsia="SimSun" w:hAnsi="Times New Roman"/>
                <w:b w:val="false"/>
                <w:bCs w:val="false"/>
                <w:color w:val="000000"/>
                <w:sz w:val="21"/>
                <w:szCs w:val="21"/>
              </w:rPr>
              <w:t xml:space="preserve">750 and above</w:t>
            </w:r>
          </w:p>
        </w:tc>
        <w:tc>
          <w:tcPr>
            <w:tcW w:type="pct" w:w="38%"/>
            <w:shd w:fill="EDF3F8" w:val="clear"/>
            <w:tcMar>
              <w:top w:type="dxa" w:w="70"/>
              <w:left w:type="dxa" w:w="110"/>
              <w:bottom w:type="dxa" w:w="70"/>
              <w:right w:type="dxa" w:w="110"/>
            </w:tcMar>
          </w:tcPr>
          <w:p>
            <w:pPr>
              <w:spacing w:line="312"/>
              <w:jc w:val="left"/>
            </w:pPr>
            <w:r>
              <w:rPr>
                <w:rFonts w:ascii="Times New Roman" w:eastAsia="SimSun" w:hAnsi="Times New Roman"/>
                <w:b w:val="false"/>
                <w:bCs w:val="false"/>
                <w:color w:val="000000"/>
                <w:sz w:val="21"/>
                <w:szCs w:val="21"/>
              </w:rPr>
              <w:t xml:space="preserve">Top programs; substantial fellowship consideration</w:t>
            </w:r>
          </w:p>
        </w:tc>
      </w:tr>
    </w:tbl>
    <w:p>
      <w:pPr>
        <w:pStyle w:val="Heading2"/>
        <w:keepNext/>
        <w:spacing w:after="120" w:before="260" w:line="340" w:lineRule="atLeast"/>
      </w:pPr>
      <w:bookmarkStart w:id="100033" w:name="_Toc100033"/>
      <w:r>
        <w:rPr>
          <w:rFonts w:ascii="Times New Roman" w:eastAsia="SimHei" w:hAnsi="Times New Roman"/>
          <w:b/>
          <w:bCs/>
          <w:color w:val="1A5276"/>
          <w:sz w:val="28"/>
          <w:szCs w:val="28"/>
        </w:rPr>
        <w:t xml:space="preserve">6.4 TOEFL and IELTS Benchmarks</w:t>
      </w:r>
      <w:bookmarkEnd w:id="100033"/>
    </w:p>
    <w:p>
      <w:pPr>
        <w:keepNext/>
        <w:spacing w:after="140" w:line="312"/>
        <w:jc w:val="both"/>
      </w:pPr>
      <w:r>
        <w:rPr>
          <w:rFonts w:ascii="Times New Roman" w:eastAsia="SimSun" w:hAnsi="Times New Roman"/>
          <w:b w:val="false"/>
          <w:bCs w:val="false"/>
          <w:color w:val="000000"/>
          <w:sz w:val="24"/>
          <w:szCs w:val="24"/>
        </w:rPr>
        <w:t xml:space="preserve">English requirements are set almost universally as minimums with possible sub-scores, not as competition scales, though the practical effect in scholarship rounds is similar: the closer to the top of the scale, the fewer doubts your language ability raises. The combined table shows the two tests side by side at comparable levels of demand.</w:t>
      </w:r>
    </w:p>
    <w:p>
      <w:pPr>
        <w:keepNext/>
        <w:spacing w:after="80" w:before="160" w:line="312"/>
      </w:pPr>
      <w:r>
        <w:rPr>
          <w:rFonts w:ascii="Times New Roman" w:eastAsia="SimSun" w:hAnsi="Times New Roman"/>
          <w:b/>
          <w:bCs/>
          <w:color w:val="1A5276"/>
          <w:sz w:val="21"/>
          <w:szCs w:val="21"/>
        </w:rPr>
        <w:t xml:space="preserve">Table 7: </w:t>
      </w:r>
      <w:r>
        <w:rPr>
          <w:rFonts w:ascii="Times New Roman" w:eastAsia="SimSun" w:hAnsi="Times New Roman"/>
          <w:b/>
          <w:bCs/>
          <w:color w:val="000000"/>
          <w:sz w:val="21"/>
          <w:szCs w:val="21"/>
        </w:rPr>
        <w:t xml:space="preserve">TOEFL iBT and IELTS Academic benchmarks side by side</w:t>
      </w:r>
    </w:p>
    <w:tbl>
      <w:tblPr>
        <w:tblW w:type="pct" w:w="100%"/>
        <w:tblBorders>
          <w:top w:val="single" w:color="1A5276" w:sz="6"/>
          <w:left w:val="none" w:color="FFFFFF" w:sz="0"/>
          <w:bottom w:val="single" w:color="1A5276" w:sz="6"/>
          <w:right w:val="none" w:color="FFFFFF" w:sz="0"/>
          <w:insideH w:val="single" w:color="D0DDE8" w:sz="2"/>
          <w:insideV w:val="none" w:color="FFFFFF" w:sz="0"/>
        </w:tblBorders>
      </w:tblPr>
      <w:tblGrid>
        <w:gridCol w:w="100"/>
        <w:gridCol w:w="100"/>
        <w:gridCol w:w="100"/>
        <w:gridCol w:w="100"/>
      </w:tblGrid>
      <w:tr>
        <w:trPr>
          <w:cantSplit/>
          <w:tblHeader/>
        </w:trPr>
        <w:tc>
          <w:tcPr>
            <w:tcW w:type="pct" w:w="22%"/>
            <w:shd w:fill="2E86C1" w:val="clear"/>
            <w:tcMar>
              <w:top w:type="dxa" w:w="70"/>
              <w:left w:type="dxa" w:w="110"/>
              <w:bottom w:type="dxa" w:w="70"/>
              <w:right w:type="dxa" w:w="110"/>
            </w:tcMar>
          </w:tcPr>
          <w:p>
            <w:pPr>
              <w:spacing w:line="312"/>
              <w:jc w:val="left"/>
            </w:pPr>
            <w:r>
              <w:rPr>
                <w:rFonts w:ascii="Times New Roman" w:eastAsia="SimSun" w:hAnsi="Times New Roman"/>
                <w:b/>
                <w:bCs/>
                <w:color w:val="FFFFFF"/>
                <w:sz w:val="21"/>
                <w:szCs w:val="21"/>
              </w:rPr>
              <w:t xml:space="preserve">Level</w:t>
            </w:r>
          </w:p>
        </w:tc>
        <w:tc>
          <w:tcPr>
            <w:tcW w:type="pct" w:w="18%"/>
            <w:shd w:fill="2E86C1" w:val="clear"/>
            <w:tcMar>
              <w:top w:type="dxa" w:w="70"/>
              <w:left w:type="dxa" w:w="110"/>
              <w:bottom w:type="dxa" w:w="70"/>
              <w:right w:type="dxa" w:w="110"/>
            </w:tcMar>
          </w:tcPr>
          <w:p>
            <w:pPr>
              <w:spacing w:line="312"/>
              <w:jc w:val="left"/>
            </w:pPr>
            <w:r>
              <w:rPr>
                <w:rFonts w:ascii="Times New Roman" w:eastAsia="SimSun" w:hAnsi="Times New Roman"/>
                <w:b/>
                <w:bCs/>
                <w:color w:val="FFFFFF"/>
                <w:sz w:val="21"/>
                <w:szCs w:val="21"/>
              </w:rPr>
              <w:t xml:space="preserve">TOEFL iBT total</w:t>
            </w:r>
          </w:p>
        </w:tc>
        <w:tc>
          <w:tcPr>
            <w:tcW w:type="pct" w:w="20%"/>
            <w:shd w:fill="2E86C1" w:val="clear"/>
            <w:tcMar>
              <w:top w:type="dxa" w:w="70"/>
              <w:left w:type="dxa" w:w="110"/>
              <w:bottom w:type="dxa" w:w="70"/>
              <w:right w:type="dxa" w:w="110"/>
            </w:tcMar>
          </w:tcPr>
          <w:p>
            <w:pPr>
              <w:spacing w:line="312"/>
              <w:jc w:val="left"/>
            </w:pPr>
            <w:r>
              <w:rPr>
                <w:rFonts w:ascii="Times New Roman" w:eastAsia="SimSun" w:hAnsi="Times New Roman"/>
                <w:b/>
                <w:bCs/>
                <w:color w:val="FFFFFF"/>
                <w:sz w:val="21"/>
                <w:szCs w:val="21"/>
              </w:rPr>
              <w:t xml:space="preserve">IELTS overall band</w:t>
            </w:r>
          </w:p>
        </w:tc>
        <w:tc>
          <w:tcPr>
            <w:tcW w:type="pct" w:w="40%"/>
            <w:shd w:fill="2E86C1" w:val="clear"/>
            <w:tcMar>
              <w:top w:type="dxa" w:w="70"/>
              <w:left w:type="dxa" w:w="110"/>
              <w:bottom w:type="dxa" w:w="70"/>
              <w:right w:type="dxa" w:w="110"/>
            </w:tcMar>
          </w:tcPr>
          <w:p>
            <w:pPr>
              <w:spacing w:line="312"/>
              <w:jc w:val="left"/>
            </w:pPr>
            <w:r>
              <w:rPr>
                <w:rFonts w:ascii="Times New Roman" w:eastAsia="SimSun" w:hAnsi="Times New Roman"/>
                <w:b/>
                <w:bCs/>
                <w:color w:val="FFFFFF"/>
                <w:sz w:val="21"/>
                <w:szCs w:val="21"/>
              </w:rPr>
              <w:t xml:space="preserve">Typical usage</w:t>
            </w:r>
          </w:p>
        </w:tc>
      </w:tr>
      <w:tr>
        <w:trPr>
          <w:cantSplit/>
        </w:trPr>
        <w:tc>
          <w:tcPr>
            <w:tcW w:type="pct" w:w="22%"/>
            <w:shd w:fill="EDF3F8" w:val="clear"/>
            <w:tcMar>
              <w:top w:type="dxa" w:w="70"/>
              <w:left w:type="dxa" w:w="110"/>
              <w:bottom w:type="dxa" w:w="70"/>
              <w:right w:type="dxa" w:w="110"/>
            </w:tcMar>
          </w:tcPr>
          <w:p>
            <w:pPr>
              <w:spacing w:line="312"/>
              <w:jc w:val="left"/>
            </w:pPr>
            <w:r>
              <w:rPr>
                <w:rFonts w:ascii="Times New Roman" w:eastAsia="SimSun" w:hAnsi="Times New Roman"/>
                <w:b w:val="false"/>
                <w:bCs w:val="false"/>
                <w:color w:val="000000"/>
                <w:sz w:val="21"/>
                <w:szCs w:val="21"/>
              </w:rPr>
              <w:t xml:space="preserve">Common stated floor</w:t>
            </w:r>
          </w:p>
        </w:tc>
        <w:tc>
          <w:tcPr>
            <w:tcW w:type="pct" w:w="18%"/>
            <w:shd w:fill="EDF3F8" w:val="clear"/>
            <w:tcMar>
              <w:top w:type="dxa" w:w="70"/>
              <w:left w:type="dxa" w:w="110"/>
              <w:bottom w:type="dxa" w:w="70"/>
              <w:right w:type="dxa" w:w="110"/>
            </w:tcMar>
          </w:tcPr>
          <w:p>
            <w:pPr>
              <w:spacing w:line="312"/>
              <w:jc w:val="left"/>
            </w:pPr>
            <w:r>
              <w:rPr>
                <w:rFonts w:ascii="Times New Roman" w:eastAsia="SimSun" w:hAnsi="Times New Roman"/>
                <w:b w:val="false"/>
                <w:bCs w:val="false"/>
                <w:color w:val="000000"/>
                <w:sz w:val="21"/>
                <w:szCs w:val="21"/>
              </w:rPr>
              <w:t xml:space="preserve">79-80</w:t>
            </w:r>
          </w:p>
        </w:tc>
        <w:tc>
          <w:tcPr>
            <w:tcW w:type="pct" w:w="20%"/>
            <w:shd w:fill="EDF3F8" w:val="clear"/>
            <w:tcMar>
              <w:top w:type="dxa" w:w="70"/>
              <w:left w:type="dxa" w:w="110"/>
              <w:bottom w:type="dxa" w:w="70"/>
              <w:right w:type="dxa" w:w="110"/>
            </w:tcMar>
          </w:tcPr>
          <w:p>
            <w:pPr>
              <w:spacing w:line="312"/>
              <w:jc w:val="left"/>
            </w:pPr>
            <w:r>
              <w:rPr>
                <w:rFonts w:ascii="Times New Roman" w:eastAsia="SimSun" w:hAnsi="Times New Roman"/>
                <w:b w:val="false"/>
                <w:bCs w:val="false"/>
                <w:color w:val="000000"/>
                <w:sz w:val="21"/>
                <w:szCs w:val="21"/>
              </w:rPr>
              <w:t xml:space="preserve">6.0-6.5</w:t>
            </w:r>
          </w:p>
        </w:tc>
        <w:tc>
          <w:tcPr>
            <w:tcW w:type="pct" w:w="40%"/>
            <w:shd w:fill="EDF3F8" w:val="clear"/>
            <w:tcMar>
              <w:top w:type="dxa" w:w="70"/>
              <w:left w:type="dxa" w:w="110"/>
              <w:bottom w:type="dxa" w:w="70"/>
              <w:right w:type="dxa" w:w="110"/>
            </w:tcMar>
          </w:tcPr>
          <w:p>
            <w:pPr>
              <w:spacing w:line="312"/>
              <w:jc w:val="left"/>
            </w:pPr>
            <w:r>
              <w:rPr>
                <w:rFonts w:ascii="Times New Roman" w:eastAsia="SimSun" w:hAnsi="Times New Roman"/>
                <w:b w:val="false"/>
                <w:bCs w:val="false"/>
                <w:color w:val="000000"/>
                <w:sz w:val="21"/>
                <w:szCs w:val="21"/>
              </w:rPr>
              <w:t xml:space="preserve">Fulbright recommends at least 79-80 iBT or 6.5; many universities state these minimums</w:t>
            </w:r>
          </w:p>
        </w:tc>
      </w:tr>
      <w:tr>
        <w:trPr>
          <w:cantSplit/>
        </w:trPr>
        <w:tc>
          <w:tcPr>
            <w:tcW w:type="pct" w:w="22%"/>
            <w:shd w:fill="FFFFFF" w:val="clear"/>
            <w:tcMar>
              <w:top w:type="dxa" w:w="70"/>
              <w:left w:type="dxa" w:w="110"/>
              <w:bottom w:type="dxa" w:w="70"/>
              <w:right w:type="dxa" w:w="110"/>
            </w:tcMar>
          </w:tcPr>
          <w:p>
            <w:pPr>
              <w:spacing w:line="312"/>
              <w:jc w:val="left"/>
            </w:pPr>
            <w:r>
              <w:rPr>
                <w:rFonts w:ascii="Times New Roman" w:eastAsia="SimSun" w:hAnsi="Times New Roman"/>
                <w:b w:val="false"/>
                <w:bCs w:val="false"/>
                <w:color w:val="000000"/>
                <w:sz w:val="21"/>
                <w:szCs w:val="21"/>
              </w:rPr>
              <w:t xml:space="preserve">Safe admission level</w:t>
            </w:r>
          </w:p>
        </w:tc>
        <w:tc>
          <w:tcPr>
            <w:tcW w:type="pct" w:w="18%"/>
            <w:shd w:fill="FFFFFF" w:val="clear"/>
            <w:tcMar>
              <w:top w:type="dxa" w:w="70"/>
              <w:left w:type="dxa" w:w="110"/>
              <w:bottom w:type="dxa" w:w="70"/>
              <w:right w:type="dxa" w:w="110"/>
            </w:tcMar>
          </w:tcPr>
          <w:p>
            <w:pPr>
              <w:spacing w:line="312"/>
              <w:jc w:val="left"/>
            </w:pPr>
            <w:r>
              <w:rPr>
                <w:rFonts w:ascii="Times New Roman" w:eastAsia="SimSun" w:hAnsi="Times New Roman"/>
                <w:b w:val="false"/>
                <w:bCs w:val="false"/>
                <w:color w:val="000000"/>
                <w:sz w:val="21"/>
                <w:szCs w:val="21"/>
              </w:rPr>
              <w:t xml:space="preserve">90-100</w:t>
            </w:r>
          </w:p>
        </w:tc>
        <w:tc>
          <w:tcPr>
            <w:tcW w:type="pct" w:w="20%"/>
            <w:shd w:fill="FFFFFF" w:val="clear"/>
            <w:tcMar>
              <w:top w:type="dxa" w:w="70"/>
              <w:left w:type="dxa" w:w="110"/>
              <w:bottom w:type="dxa" w:w="70"/>
              <w:right w:type="dxa" w:w="110"/>
            </w:tcMar>
          </w:tcPr>
          <w:p>
            <w:pPr>
              <w:spacing w:line="312"/>
              <w:jc w:val="left"/>
            </w:pPr>
            <w:r>
              <w:rPr>
                <w:rFonts w:ascii="Times New Roman" w:eastAsia="SimSun" w:hAnsi="Times New Roman"/>
                <w:b w:val="false"/>
                <w:bCs w:val="false"/>
                <w:color w:val="000000"/>
                <w:sz w:val="21"/>
                <w:szCs w:val="21"/>
              </w:rPr>
              <w:t xml:space="preserve">6.5-7.0</w:t>
            </w:r>
          </w:p>
        </w:tc>
        <w:tc>
          <w:tcPr>
            <w:tcW w:type="pct" w:w="40%"/>
            <w:shd w:fill="FFFFFF" w:val="clear"/>
            <w:tcMar>
              <w:top w:type="dxa" w:w="70"/>
              <w:left w:type="dxa" w:w="110"/>
              <w:bottom w:type="dxa" w:w="70"/>
              <w:right w:type="dxa" w:w="110"/>
            </w:tcMar>
          </w:tcPr>
          <w:p>
            <w:pPr>
              <w:spacing w:line="312"/>
              <w:jc w:val="left"/>
            </w:pPr>
            <w:r>
              <w:rPr>
                <w:rFonts w:ascii="Times New Roman" w:eastAsia="SimSun" w:hAnsi="Times New Roman"/>
                <w:b w:val="false"/>
                <w:bCs w:val="false"/>
                <w:color w:val="000000"/>
                <w:sz w:val="21"/>
                <w:szCs w:val="21"/>
              </w:rPr>
              <w:t xml:space="preserve">Comfortably above most floors; DAAD and Erasmus Mundus courses typically want this range</w:t>
            </w:r>
          </w:p>
        </w:tc>
      </w:tr>
      <w:tr>
        <w:trPr>
          <w:cantSplit/>
        </w:trPr>
        <w:tc>
          <w:tcPr>
            <w:tcW w:type="pct" w:w="22%"/>
            <w:shd w:fill="EDF3F8" w:val="clear"/>
            <w:tcMar>
              <w:top w:type="dxa" w:w="70"/>
              <w:left w:type="dxa" w:w="110"/>
              <w:bottom w:type="dxa" w:w="70"/>
              <w:right w:type="dxa" w:w="110"/>
            </w:tcMar>
          </w:tcPr>
          <w:p>
            <w:pPr>
              <w:spacing w:line="312"/>
              <w:jc w:val="left"/>
            </w:pPr>
            <w:r>
              <w:rPr>
                <w:rFonts w:ascii="Times New Roman" w:eastAsia="SimSun" w:hAnsi="Times New Roman"/>
                <w:b w:val="false"/>
                <w:bCs w:val="false"/>
                <w:color w:val="000000"/>
                <w:sz w:val="21"/>
                <w:szCs w:val="21"/>
              </w:rPr>
              <w:t xml:space="preserve">Competitive</w:t>
            </w:r>
          </w:p>
        </w:tc>
        <w:tc>
          <w:tcPr>
            <w:tcW w:type="pct" w:w="18%"/>
            <w:shd w:fill="EDF3F8" w:val="clear"/>
            <w:tcMar>
              <w:top w:type="dxa" w:w="70"/>
              <w:left w:type="dxa" w:w="110"/>
              <w:bottom w:type="dxa" w:w="70"/>
              <w:right w:type="dxa" w:w="110"/>
            </w:tcMar>
          </w:tcPr>
          <w:p>
            <w:pPr>
              <w:spacing w:line="312"/>
              <w:jc w:val="left"/>
            </w:pPr>
            <w:r>
              <w:rPr>
                <w:rFonts w:ascii="Times New Roman" w:eastAsia="SimSun" w:hAnsi="Times New Roman"/>
                <w:b w:val="false"/>
                <w:bCs w:val="false"/>
                <w:color w:val="000000"/>
                <w:sz w:val="21"/>
                <w:szCs w:val="21"/>
              </w:rPr>
              <w:t xml:space="preserve">100-110</w:t>
            </w:r>
          </w:p>
        </w:tc>
        <w:tc>
          <w:tcPr>
            <w:tcW w:type="pct" w:w="20%"/>
            <w:shd w:fill="EDF3F8" w:val="clear"/>
            <w:tcMar>
              <w:top w:type="dxa" w:w="70"/>
              <w:left w:type="dxa" w:w="110"/>
              <w:bottom w:type="dxa" w:w="70"/>
              <w:right w:type="dxa" w:w="110"/>
            </w:tcMar>
          </w:tcPr>
          <w:p>
            <w:pPr>
              <w:spacing w:line="312"/>
              <w:jc w:val="left"/>
            </w:pPr>
            <w:r>
              <w:rPr>
                <w:rFonts w:ascii="Times New Roman" w:eastAsia="SimSun" w:hAnsi="Times New Roman"/>
                <w:b w:val="false"/>
                <w:bCs w:val="false"/>
                <w:color w:val="000000"/>
                <w:sz w:val="21"/>
                <w:szCs w:val="21"/>
              </w:rPr>
              <w:t xml:space="preserve">7.0-7.5</w:t>
            </w:r>
          </w:p>
        </w:tc>
        <w:tc>
          <w:tcPr>
            <w:tcW w:type="pct" w:w="40%"/>
            <w:shd w:fill="EDF3F8" w:val="clear"/>
            <w:tcMar>
              <w:top w:type="dxa" w:w="70"/>
              <w:left w:type="dxa" w:w="110"/>
              <w:bottom w:type="dxa" w:w="70"/>
              <w:right w:type="dxa" w:w="110"/>
            </w:tcMar>
          </w:tcPr>
          <w:p>
            <w:pPr>
              <w:spacing w:line="312"/>
              <w:jc w:val="left"/>
            </w:pPr>
            <w:r>
              <w:rPr>
                <w:rFonts w:ascii="Times New Roman" w:eastAsia="SimSun" w:hAnsi="Times New Roman"/>
                <w:b w:val="false"/>
                <w:bCs w:val="false"/>
                <w:color w:val="000000"/>
                <w:sz w:val="21"/>
                <w:szCs w:val="21"/>
              </w:rPr>
              <w:t xml:space="preserve">Top universities and competitive scholarship shortlists</w:t>
            </w:r>
          </w:p>
        </w:tc>
      </w:tr>
      <w:tr>
        <w:trPr>
          <w:cantSplit/>
        </w:trPr>
        <w:tc>
          <w:tcPr>
            <w:tcW w:type="pct" w:w="22%"/>
            <w:shd w:fill="FFFFFF" w:val="clear"/>
            <w:tcMar>
              <w:top w:type="dxa" w:w="70"/>
              <w:left w:type="dxa" w:w="110"/>
              <w:bottom w:type="dxa" w:w="70"/>
              <w:right w:type="dxa" w:w="110"/>
            </w:tcMar>
          </w:tcPr>
          <w:p>
            <w:pPr>
              <w:spacing w:line="312"/>
              <w:jc w:val="left"/>
            </w:pPr>
            <w:r>
              <w:rPr>
                <w:rFonts w:ascii="Times New Roman" w:eastAsia="SimSun" w:hAnsi="Times New Roman"/>
                <w:b w:val="false"/>
                <w:bCs w:val="false"/>
                <w:color w:val="000000"/>
                <w:sz w:val="21"/>
                <w:szCs w:val="21"/>
              </w:rPr>
              <w:t xml:space="preserve">Strong</w:t>
            </w:r>
          </w:p>
        </w:tc>
        <w:tc>
          <w:tcPr>
            <w:tcW w:type="pct" w:w="18%"/>
            <w:shd w:fill="FFFFFF" w:val="clear"/>
            <w:tcMar>
              <w:top w:type="dxa" w:w="70"/>
              <w:left w:type="dxa" w:w="110"/>
              <w:bottom w:type="dxa" w:w="70"/>
              <w:right w:type="dxa" w:w="110"/>
            </w:tcMar>
          </w:tcPr>
          <w:p>
            <w:pPr>
              <w:spacing w:line="312"/>
              <w:jc w:val="left"/>
            </w:pPr>
            <w:r>
              <w:rPr>
                <w:rFonts w:ascii="Times New Roman" w:eastAsia="SimSun" w:hAnsi="Times New Roman"/>
                <w:b w:val="false"/>
                <w:bCs w:val="false"/>
                <w:color w:val="000000"/>
                <w:sz w:val="21"/>
                <w:szCs w:val="21"/>
              </w:rPr>
              <w:t xml:space="preserve">Above 110</w:t>
            </w:r>
          </w:p>
        </w:tc>
        <w:tc>
          <w:tcPr>
            <w:tcW w:type="pct" w:w="20%"/>
            <w:shd w:fill="FFFFFF" w:val="clear"/>
            <w:tcMar>
              <w:top w:type="dxa" w:w="70"/>
              <w:left w:type="dxa" w:w="110"/>
              <w:bottom w:type="dxa" w:w="70"/>
              <w:right w:type="dxa" w:w="110"/>
            </w:tcMar>
          </w:tcPr>
          <w:p>
            <w:pPr>
              <w:spacing w:line="312"/>
              <w:jc w:val="left"/>
            </w:pPr>
            <w:r>
              <w:rPr>
                <w:rFonts w:ascii="Times New Roman" w:eastAsia="SimSun" w:hAnsi="Times New Roman"/>
                <w:b w:val="false"/>
                <w:bCs w:val="false"/>
                <w:color w:val="000000"/>
                <w:sz w:val="21"/>
                <w:szCs w:val="21"/>
              </w:rPr>
              <w:t xml:space="preserve">7.5-8.0</w:t>
            </w:r>
          </w:p>
        </w:tc>
        <w:tc>
          <w:tcPr>
            <w:tcW w:type="pct" w:w="40%"/>
            <w:shd w:fill="FFFFFF" w:val="clear"/>
            <w:tcMar>
              <w:top w:type="dxa" w:w="70"/>
              <w:left w:type="dxa" w:w="110"/>
              <w:bottom w:type="dxa" w:w="70"/>
              <w:right w:type="dxa" w:w="110"/>
            </w:tcMar>
          </w:tcPr>
          <w:p>
            <w:pPr>
              <w:spacing w:line="312"/>
              <w:jc w:val="left"/>
            </w:pPr>
            <w:r>
              <w:rPr>
                <w:rFonts w:ascii="Times New Roman" w:eastAsia="SimSun" w:hAnsi="Times New Roman"/>
                <w:b w:val="false"/>
                <w:bCs w:val="false"/>
                <w:color w:val="000000"/>
                <w:sz w:val="21"/>
                <w:szCs w:val="21"/>
              </w:rPr>
              <w:t xml:space="preserve">Removes any language doubt; valuable for teaching assistantships</w:t>
            </w:r>
          </w:p>
        </w:tc>
      </w:tr>
    </w:tbl>
    <w:p>
      <w:pPr>
        <w:keepNext w:val="false"/>
        <w:spacing w:after="140" w:line="312"/>
        <w:jc w:val="both"/>
      </w:pPr>
      <w:r>
        <w:rPr>
          <w:rFonts w:ascii="Times New Roman" w:eastAsia="SimSun" w:hAnsi="Times New Roman"/>
          <w:b w:val="false"/>
          <w:bCs w:val="false"/>
          <w:color w:val="000000"/>
          <w:sz w:val="24"/>
          <w:szCs w:val="24"/>
        </w:rPr>
        <w:t xml:space="preserve">Watch sub-scores carefully: programs that involve teaching or heavy seminars often require Speaking of 22-25 on the TOEFL or 6.5-7.0 in every IELTS band regardless of the total. A total of 105 with Speaking 19 fails far more requirements than a balanced 95.</w:t>
      </w:r>
    </w:p>
    <w:p>
      <w:pPr>
        <w:pStyle w:val="Heading2"/>
        <w:keepNext/>
        <w:spacing w:after="120" w:before="260" w:line="340" w:lineRule="atLeast"/>
      </w:pPr>
      <w:bookmarkStart w:id="100034" w:name="_Toc100034"/>
      <w:r>
        <w:rPr>
          <w:rFonts w:ascii="Times New Roman" w:eastAsia="SimHei" w:hAnsi="Times New Roman"/>
          <w:b/>
          <w:bCs/>
          <w:color w:val="1A5276"/>
          <w:sz w:val="28"/>
          <w:szCs w:val="28"/>
        </w:rPr>
        <w:t xml:space="preserve">6.5 What Major Scholarships Actually Require</w:t>
      </w:r>
      <w:bookmarkEnd w:id="100034"/>
    </w:p>
    <w:p>
      <w:pPr>
        <w:keepNext/>
        <w:spacing w:after="140" w:line="312"/>
        <w:jc w:val="both"/>
      </w:pPr>
      <w:r>
        <w:rPr>
          <w:rFonts w:ascii="Times New Roman" w:eastAsia="SimSun" w:hAnsi="Times New Roman"/>
          <w:b w:val="false"/>
          <w:bCs w:val="false"/>
          <w:color w:val="000000"/>
          <w:sz w:val="24"/>
          <w:szCs w:val="24"/>
        </w:rPr>
        <w:t xml:space="preserve">The table below summarizes published requirements for the most prominent international scholarship programs. Two caveats apply. Programs change requirements annually, so the official page for your application year is always the governing source. And for most scholarships, the English requirement shown is the minimum to be considered, while successful candidates usually present scores above it.</w:t>
      </w:r>
    </w:p>
    <w:p>
      <w:pPr>
        <w:keepNext/>
        <w:spacing w:after="80" w:before="160" w:line="312"/>
      </w:pPr>
      <w:r>
        <w:rPr>
          <w:rFonts w:ascii="Times New Roman" w:eastAsia="SimSun" w:hAnsi="Times New Roman"/>
          <w:b/>
          <w:bCs/>
          <w:color w:val="1A5276"/>
          <w:sz w:val="21"/>
          <w:szCs w:val="21"/>
        </w:rPr>
        <w:t xml:space="preserve">Table 8: </w:t>
      </w:r>
      <w:r>
        <w:rPr>
          <w:rFonts w:ascii="Times New Roman" w:eastAsia="SimSun" w:hAnsi="Times New Roman"/>
          <w:b/>
          <w:bCs/>
          <w:color w:val="000000"/>
          <w:sz w:val="21"/>
          <w:szCs w:val="21"/>
        </w:rPr>
        <w:t xml:space="preserve">Published test requirements of major scholarship programs</w:t>
      </w:r>
    </w:p>
    <w:tbl>
      <w:tblPr>
        <w:tblW w:type="pct" w:w="100%"/>
        <w:tblBorders>
          <w:top w:val="single" w:color="1A5276" w:sz="6"/>
          <w:left w:val="none" w:color="FFFFFF" w:sz="0"/>
          <w:bottom w:val="single" w:color="1A5276" w:sz="6"/>
          <w:right w:val="none" w:color="FFFFFF" w:sz="0"/>
          <w:insideH w:val="single" w:color="D0DDE8" w:sz="2"/>
          <w:insideV w:val="none" w:color="FFFFFF" w:sz="0"/>
        </w:tblBorders>
      </w:tblPr>
      <w:tblGrid>
        <w:gridCol w:w="100"/>
        <w:gridCol w:w="100"/>
        <w:gridCol w:w="100"/>
        <w:gridCol w:w="100"/>
        <w:gridCol w:w="100"/>
      </w:tblGrid>
      <w:tr>
        <w:trPr>
          <w:cantSplit/>
          <w:tblHeader/>
        </w:trPr>
        <w:tc>
          <w:tcPr>
            <w:tcW w:type="pct" w:w="18%"/>
            <w:shd w:fill="2E86C1" w:val="clear"/>
            <w:tcMar>
              <w:top w:type="dxa" w:w="70"/>
              <w:left w:type="dxa" w:w="110"/>
              <w:bottom w:type="dxa" w:w="70"/>
              <w:right w:type="dxa" w:w="110"/>
            </w:tcMar>
          </w:tcPr>
          <w:p>
            <w:pPr>
              <w:spacing w:line="312"/>
              <w:jc w:val="left"/>
            </w:pPr>
            <w:r>
              <w:rPr>
                <w:rFonts w:ascii="Times New Roman" w:eastAsia="SimSun" w:hAnsi="Times New Roman"/>
                <w:b/>
                <w:bCs/>
                <w:color w:val="FFFFFF"/>
                <w:sz w:val="21"/>
                <w:szCs w:val="21"/>
              </w:rPr>
              <w:t xml:space="preserve">Program</w:t>
            </w:r>
          </w:p>
        </w:tc>
        <w:tc>
          <w:tcPr>
            <w:tcW w:type="pct" w:w="12%"/>
            <w:shd w:fill="2E86C1" w:val="clear"/>
            <w:tcMar>
              <w:top w:type="dxa" w:w="70"/>
              <w:left w:type="dxa" w:w="110"/>
              <w:bottom w:type="dxa" w:w="70"/>
              <w:right w:type="dxa" w:w="110"/>
            </w:tcMar>
          </w:tcPr>
          <w:p>
            <w:pPr>
              <w:spacing w:line="312"/>
              <w:jc w:val="left"/>
            </w:pPr>
            <w:r>
              <w:rPr>
                <w:rFonts w:ascii="Times New Roman" w:eastAsia="SimSun" w:hAnsi="Times New Roman"/>
                <w:b/>
                <w:bCs/>
                <w:color w:val="FFFFFF"/>
                <w:sz w:val="21"/>
                <w:szCs w:val="21"/>
              </w:rPr>
              <w:t xml:space="preserve">Destination</w:t>
            </w:r>
          </w:p>
        </w:tc>
        <w:tc>
          <w:tcPr>
            <w:tcW w:type="pct" w:w="24%"/>
            <w:shd w:fill="2E86C1" w:val="clear"/>
            <w:tcMar>
              <w:top w:type="dxa" w:w="70"/>
              <w:left w:type="dxa" w:w="110"/>
              <w:bottom w:type="dxa" w:w="70"/>
              <w:right w:type="dxa" w:w="110"/>
            </w:tcMar>
          </w:tcPr>
          <w:p>
            <w:pPr>
              <w:spacing w:line="312"/>
              <w:jc w:val="left"/>
            </w:pPr>
            <w:r>
              <w:rPr>
                <w:rFonts w:ascii="Times New Roman" w:eastAsia="SimSun" w:hAnsi="Times New Roman"/>
                <w:b/>
                <w:bCs/>
                <w:color w:val="FFFFFF"/>
                <w:sz w:val="21"/>
                <w:szCs w:val="21"/>
              </w:rPr>
              <w:t xml:space="preserve">English requirement</w:t>
            </w:r>
          </w:p>
        </w:tc>
        <w:tc>
          <w:tcPr>
            <w:tcW w:type="pct" w:w="20%"/>
            <w:shd w:fill="2E86C1" w:val="clear"/>
            <w:tcMar>
              <w:top w:type="dxa" w:w="70"/>
              <w:left w:type="dxa" w:w="110"/>
              <w:bottom w:type="dxa" w:w="70"/>
              <w:right w:type="dxa" w:w="110"/>
            </w:tcMar>
          </w:tcPr>
          <w:p>
            <w:pPr>
              <w:spacing w:line="312"/>
              <w:jc w:val="left"/>
            </w:pPr>
            <w:r>
              <w:rPr>
                <w:rFonts w:ascii="Times New Roman" w:eastAsia="SimSun" w:hAnsi="Times New Roman"/>
                <w:b/>
                <w:bCs/>
                <w:color w:val="FFFFFF"/>
                <w:sz w:val="21"/>
                <w:szCs w:val="21"/>
              </w:rPr>
              <w:t xml:space="preserve">Aptitude test</w:t>
            </w:r>
          </w:p>
        </w:tc>
        <w:tc>
          <w:tcPr>
            <w:tcW w:type="pct" w:w="26%"/>
            <w:shd w:fill="2E86C1" w:val="clear"/>
            <w:tcMar>
              <w:top w:type="dxa" w:w="70"/>
              <w:left w:type="dxa" w:w="110"/>
              <w:bottom w:type="dxa" w:w="70"/>
              <w:right w:type="dxa" w:w="110"/>
            </w:tcMar>
          </w:tcPr>
          <w:p>
            <w:pPr>
              <w:spacing w:line="312"/>
              <w:jc w:val="left"/>
            </w:pPr>
            <w:r>
              <w:rPr>
                <w:rFonts w:ascii="Times New Roman" w:eastAsia="SimSun" w:hAnsi="Times New Roman"/>
                <w:b/>
                <w:bCs/>
                <w:color w:val="FFFFFF"/>
                <w:sz w:val="21"/>
                <w:szCs w:val="21"/>
              </w:rPr>
              <w:t xml:space="preserve">Practical notes</w:t>
            </w:r>
          </w:p>
        </w:tc>
      </w:tr>
      <w:tr>
        <w:trPr>
          <w:cantSplit/>
        </w:trPr>
        <w:tc>
          <w:tcPr>
            <w:tcW w:type="pct" w:w="18%"/>
            <w:shd w:fill="EDF3F8" w:val="clear"/>
            <w:tcMar>
              <w:top w:type="dxa" w:w="70"/>
              <w:left w:type="dxa" w:w="110"/>
              <w:bottom w:type="dxa" w:w="70"/>
              <w:right w:type="dxa" w:w="110"/>
            </w:tcMar>
          </w:tcPr>
          <w:p>
            <w:pPr>
              <w:spacing w:line="312"/>
              <w:jc w:val="left"/>
            </w:pPr>
            <w:r>
              <w:rPr>
                <w:rFonts w:ascii="Times New Roman" w:eastAsia="SimSun" w:hAnsi="Times New Roman"/>
                <w:b w:val="false"/>
                <w:bCs w:val="false"/>
                <w:color w:val="000000"/>
                <w:sz w:val="21"/>
                <w:szCs w:val="21"/>
              </w:rPr>
              <w:t xml:space="preserve">Fulbright Foreign Student</w:t>
            </w:r>
          </w:p>
        </w:tc>
        <w:tc>
          <w:tcPr>
            <w:tcW w:type="pct" w:w="12%"/>
            <w:shd w:fill="EDF3F8" w:val="clear"/>
            <w:tcMar>
              <w:top w:type="dxa" w:w="70"/>
              <w:left w:type="dxa" w:w="110"/>
              <w:bottom w:type="dxa" w:w="70"/>
              <w:right w:type="dxa" w:w="110"/>
            </w:tcMar>
          </w:tcPr>
          <w:p>
            <w:pPr>
              <w:spacing w:line="312"/>
              <w:jc w:val="left"/>
            </w:pPr>
            <w:r>
              <w:rPr>
                <w:rFonts w:ascii="Times New Roman" w:eastAsia="SimSun" w:hAnsi="Times New Roman"/>
                <w:b w:val="false"/>
                <w:bCs w:val="false"/>
                <w:color w:val="000000"/>
                <w:sz w:val="21"/>
                <w:szCs w:val="21"/>
              </w:rPr>
              <w:t xml:space="preserve">USA</w:t>
            </w:r>
          </w:p>
        </w:tc>
        <w:tc>
          <w:tcPr>
            <w:tcW w:type="pct" w:w="24%"/>
            <w:shd w:fill="EDF3F8" w:val="clear"/>
            <w:tcMar>
              <w:top w:type="dxa" w:w="70"/>
              <w:left w:type="dxa" w:w="110"/>
              <w:bottom w:type="dxa" w:w="70"/>
              <w:right w:type="dxa" w:w="110"/>
            </w:tcMar>
          </w:tcPr>
          <w:p>
            <w:pPr>
              <w:spacing w:line="312"/>
              <w:jc w:val="left"/>
            </w:pPr>
            <w:r>
              <w:rPr>
                <w:rFonts w:ascii="Times New Roman" w:eastAsia="SimSun" w:hAnsi="Times New Roman"/>
                <w:b w:val="false"/>
                <w:bCs w:val="false"/>
                <w:color w:val="000000"/>
                <w:sz w:val="21"/>
                <w:szCs w:val="21"/>
              </w:rPr>
              <w:t xml:space="preserve">TOEFL iBT 79-80+ recommended (or IELTS 6.5, where accepted)</w:t>
            </w:r>
          </w:p>
        </w:tc>
        <w:tc>
          <w:tcPr>
            <w:tcW w:type="pct" w:w="20%"/>
            <w:shd w:fill="EDF3F8" w:val="clear"/>
            <w:tcMar>
              <w:top w:type="dxa" w:w="70"/>
              <w:left w:type="dxa" w:w="110"/>
              <w:bottom w:type="dxa" w:w="70"/>
              <w:right w:type="dxa" w:w="110"/>
            </w:tcMar>
          </w:tcPr>
          <w:p>
            <w:pPr>
              <w:spacing w:line="312"/>
              <w:jc w:val="left"/>
            </w:pPr>
            <w:r>
              <w:rPr>
                <w:rFonts w:ascii="Times New Roman" w:eastAsia="SimSun" w:hAnsi="Times New Roman"/>
                <w:b w:val="false"/>
                <w:bCs w:val="false"/>
                <w:color w:val="000000"/>
                <w:sz w:val="21"/>
                <w:szCs w:val="21"/>
              </w:rPr>
              <w:t xml:space="preserve">GRE frequently required for university placement</w:t>
            </w:r>
          </w:p>
        </w:tc>
        <w:tc>
          <w:tcPr>
            <w:tcW w:type="pct" w:w="26%"/>
            <w:shd w:fill="EDF3F8" w:val="clear"/>
            <w:tcMar>
              <w:top w:type="dxa" w:w="70"/>
              <w:left w:type="dxa" w:w="110"/>
              <w:bottom w:type="dxa" w:w="70"/>
              <w:right w:type="dxa" w:w="110"/>
            </w:tcMar>
          </w:tcPr>
          <w:p>
            <w:pPr>
              <w:spacing w:line="312"/>
              <w:jc w:val="left"/>
            </w:pPr>
            <w:r>
              <w:rPr>
                <w:rFonts w:ascii="Times New Roman" w:eastAsia="SimSun" w:hAnsi="Times New Roman"/>
                <w:b w:val="false"/>
                <w:bCs w:val="false"/>
                <w:color w:val="000000"/>
                <w:sz w:val="21"/>
                <w:szCs w:val="21"/>
              </w:rPr>
              <w:t xml:space="preserve">Selected candidates' GRE median is about 315; country commissions set exact rules</w:t>
            </w:r>
          </w:p>
        </w:tc>
      </w:tr>
      <w:tr>
        <w:trPr>
          <w:cantSplit/>
        </w:trPr>
        <w:tc>
          <w:tcPr>
            <w:tcW w:type="pct" w:w="18%"/>
            <w:shd w:fill="FFFFFF" w:val="clear"/>
            <w:tcMar>
              <w:top w:type="dxa" w:w="70"/>
              <w:left w:type="dxa" w:w="110"/>
              <w:bottom w:type="dxa" w:w="70"/>
              <w:right w:type="dxa" w:w="110"/>
            </w:tcMar>
          </w:tcPr>
          <w:p>
            <w:pPr>
              <w:spacing w:line="312"/>
              <w:jc w:val="left"/>
            </w:pPr>
            <w:r>
              <w:rPr>
                <w:rFonts w:ascii="Times New Roman" w:eastAsia="SimSun" w:hAnsi="Times New Roman"/>
                <w:b w:val="false"/>
                <w:bCs w:val="false"/>
                <w:color w:val="000000"/>
                <w:sz w:val="21"/>
                <w:szCs w:val="21"/>
              </w:rPr>
              <w:t xml:space="preserve">Chevening</w:t>
            </w:r>
          </w:p>
        </w:tc>
        <w:tc>
          <w:tcPr>
            <w:tcW w:type="pct" w:w="12%"/>
            <w:shd w:fill="FFFFFF" w:val="clear"/>
            <w:tcMar>
              <w:top w:type="dxa" w:w="70"/>
              <w:left w:type="dxa" w:w="110"/>
              <w:bottom w:type="dxa" w:w="70"/>
              <w:right w:type="dxa" w:w="110"/>
            </w:tcMar>
          </w:tcPr>
          <w:p>
            <w:pPr>
              <w:spacing w:line="312"/>
              <w:jc w:val="left"/>
            </w:pPr>
            <w:r>
              <w:rPr>
                <w:rFonts w:ascii="Times New Roman" w:eastAsia="SimSun" w:hAnsi="Times New Roman"/>
                <w:b w:val="false"/>
                <w:bCs w:val="false"/>
                <w:color w:val="000000"/>
                <w:sz w:val="21"/>
                <w:szCs w:val="21"/>
              </w:rPr>
              <w:t xml:space="preserve">UK</w:t>
            </w:r>
          </w:p>
        </w:tc>
        <w:tc>
          <w:tcPr>
            <w:tcW w:type="pct" w:w="24%"/>
            <w:shd w:fill="FFFFFF" w:val="clear"/>
            <w:tcMar>
              <w:top w:type="dxa" w:w="70"/>
              <w:left w:type="dxa" w:w="110"/>
              <w:bottom w:type="dxa" w:w="70"/>
              <w:right w:type="dxa" w:w="110"/>
            </w:tcMar>
          </w:tcPr>
          <w:p>
            <w:pPr>
              <w:spacing w:line="312"/>
              <w:jc w:val="left"/>
            </w:pPr>
            <w:r>
              <w:rPr>
                <w:rFonts w:ascii="Times New Roman" w:eastAsia="SimSun" w:hAnsi="Times New Roman"/>
                <w:b w:val="false"/>
                <w:bCs w:val="false"/>
                <w:color w:val="000000"/>
                <w:sz w:val="21"/>
                <w:szCs w:val="21"/>
              </w:rPr>
              <w:t xml:space="preserve">Set by host university, typically IELTS 6.5-7.5</w:t>
            </w:r>
          </w:p>
        </w:tc>
        <w:tc>
          <w:tcPr>
            <w:tcW w:type="pct" w:w="20%"/>
            <w:shd w:fill="FFFFFF" w:val="clear"/>
            <w:tcMar>
              <w:top w:type="dxa" w:w="70"/>
              <w:left w:type="dxa" w:w="110"/>
              <w:bottom w:type="dxa" w:w="70"/>
              <w:right w:type="dxa" w:w="110"/>
            </w:tcMar>
          </w:tcPr>
          <w:p>
            <w:pPr>
              <w:spacing w:line="312"/>
              <w:jc w:val="left"/>
            </w:pPr>
            <w:r>
              <w:rPr>
                <w:rFonts w:ascii="Times New Roman" w:eastAsia="SimSun" w:hAnsi="Times New Roman"/>
                <w:b w:val="false"/>
                <w:bCs w:val="false"/>
                <w:color w:val="000000"/>
                <w:sz w:val="21"/>
                <w:szCs w:val="21"/>
              </w:rPr>
              <w:t xml:space="preserve">Not required</w:t>
            </w:r>
          </w:p>
        </w:tc>
        <w:tc>
          <w:tcPr>
            <w:tcW w:type="pct" w:w="26%"/>
            <w:shd w:fill="FFFFFF" w:val="clear"/>
            <w:tcMar>
              <w:top w:type="dxa" w:w="70"/>
              <w:left w:type="dxa" w:w="110"/>
              <w:bottom w:type="dxa" w:w="70"/>
              <w:right w:type="dxa" w:w="110"/>
            </w:tcMar>
          </w:tcPr>
          <w:p>
            <w:pPr>
              <w:spacing w:line="312"/>
              <w:jc w:val="left"/>
            </w:pPr>
            <w:r>
              <w:rPr>
                <w:rFonts w:ascii="Times New Roman" w:eastAsia="SimSun" w:hAnsi="Times New Roman"/>
                <w:b w:val="false"/>
                <w:bCs w:val="false"/>
                <w:color w:val="000000"/>
                <w:sz w:val="21"/>
                <w:szCs w:val="21"/>
              </w:rPr>
              <w:t xml:space="preserve">An unconditional offer including its English condition is needed by the July deadline</w:t>
            </w:r>
          </w:p>
        </w:tc>
      </w:tr>
      <w:tr>
        <w:trPr>
          <w:cantSplit/>
        </w:trPr>
        <w:tc>
          <w:tcPr>
            <w:tcW w:type="pct" w:w="18%"/>
            <w:shd w:fill="EDF3F8" w:val="clear"/>
            <w:tcMar>
              <w:top w:type="dxa" w:w="70"/>
              <w:left w:type="dxa" w:w="110"/>
              <w:bottom w:type="dxa" w:w="70"/>
              <w:right w:type="dxa" w:w="110"/>
            </w:tcMar>
          </w:tcPr>
          <w:p>
            <w:pPr>
              <w:spacing w:line="312"/>
              <w:jc w:val="left"/>
            </w:pPr>
            <w:r>
              <w:rPr>
                <w:rFonts w:ascii="Times New Roman" w:eastAsia="SimSun" w:hAnsi="Times New Roman"/>
                <w:b w:val="false"/>
                <w:bCs w:val="false"/>
                <w:color w:val="000000"/>
                <w:sz w:val="21"/>
                <w:szCs w:val="21"/>
              </w:rPr>
              <w:t xml:space="preserve">Commonwealth Master's</w:t>
            </w:r>
          </w:p>
        </w:tc>
        <w:tc>
          <w:tcPr>
            <w:tcW w:type="pct" w:w="12%"/>
            <w:shd w:fill="EDF3F8" w:val="clear"/>
            <w:tcMar>
              <w:top w:type="dxa" w:w="70"/>
              <w:left w:type="dxa" w:w="110"/>
              <w:bottom w:type="dxa" w:w="70"/>
              <w:right w:type="dxa" w:w="110"/>
            </w:tcMar>
          </w:tcPr>
          <w:p>
            <w:pPr>
              <w:spacing w:line="312"/>
              <w:jc w:val="left"/>
            </w:pPr>
            <w:r>
              <w:rPr>
                <w:rFonts w:ascii="Times New Roman" w:eastAsia="SimSun" w:hAnsi="Times New Roman"/>
                <w:b w:val="false"/>
                <w:bCs w:val="false"/>
                <w:color w:val="000000"/>
                <w:sz w:val="21"/>
                <w:szCs w:val="21"/>
              </w:rPr>
              <w:t xml:space="preserve">UK</w:t>
            </w:r>
          </w:p>
        </w:tc>
        <w:tc>
          <w:tcPr>
            <w:tcW w:type="pct" w:w="24%"/>
            <w:shd w:fill="EDF3F8" w:val="clear"/>
            <w:tcMar>
              <w:top w:type="dxa" w:w="70"/>
              <w:left w:type="dxa" w:w="110"/>
              <w:bottom w:type="dxa" w:w="70"/>
              <w:right w:type="dxa" w:w="110"/>
            </w:tcMar>
          </w:tcPr>
          <w:p>
            <w:pPr>
              <w:spacing w:line="312"/>
              <w:jc w:val="left"/>
            </w:pPr>
            <w:r>
              <w:rPr>
                <w:rFonts w:ascii="Times New Roman" w:eastAsia="SimSun" w:hAnsi="Times New Roman"/>
                <w:b w:val="false"/>
                <w:bCs w:val="false"/>
                <w:color w:val="000000"/>
                <w:sz w:val="21"/>
                <w:szCs w:val="21"/>
              </w:rPr>
              <w:t xml:space="preserve">University-set, typically IELTS 6.5-7.0</w:t>
            </w:r>
          </w:p>
        </w:tc>
        <w:tc>
          <w:tcPr>
            <w:tcW w:type="pct" w:w="20%"/>
            <w:shd w:fill="EDF3F8" w:val="clear"/>
            <w:tcMar>
              <w:top w:type="dxa" w:w="70"/>
              <w:left w:type="dxa" w:w="110"/>
              <w:bottom w:type="dxa" w:w="70"/>
              <w:right w:type="dxa" w:w="110"/>
            </w:tcMar>
          </w:tcPr>
          <w:p>
            <w:pPr>
              <w:spacing w:line="312"/>
              <w:jc w:val="left"/>
            </w:pPr>
            <w:r>
              <w:rPr>
                <w:rFonts w:ascii="Times New Roman" w:eastAsia="SimSun" w:hAnsi="Times New Roman"/>
                <w:b w:val="false"/>
                <w:bCs w:val="false"/>
                <w:color w:val="000000"/>
                <w:sz w:val="21"/>
                <w:szCs w:val="21"/>
              </w:rPr>
              <w:t xml:space="preserve">Not required</w:t>
            </w:r>
          </w:p>
        </w:tc>
        <w:tc>
          <w:tcPr>
            <w:tcW w:type="pct" w:w="26%"/>
            <w:shd w:fill="EDF3F8" w:val="clear"/>
            <w:tcMar>
              <w:top w:type="dxa" w:w="70"/>
              <w:left w:type="dxa" w:w="110"/>
              <w:bottom w:type="dxa" w:w="70"/>
              <w:right w:type="dxa" w:w="110"/>
            </w:tcMar>
          </w:tcPr>
          <w:p>
            <w:pPr>
              <w:spacing w:line="312"/>
              <w:jc w:val="left"/>
            </w:pPr>
            <w:r>
              <w:rPr>
                <w:rFonts w:ascii="Times New Roman" w:eastAsia="SimSun" w:hAnsi="Times New Roman"/>
                <w:b w:val="false"/>
                <w:bCs w:val="false"/>
                <w:color w:val="000000"/>
                <w:sz w:val="21"/>
                <w:szCs w:val="21"/>
              </w:rPr>
              <w:t xml:space="preserve">Apply through national nominating agencies; development-impact essays weigh heavily</w:t>
            </w:r>
          </w:p>
        </w:tc>
      </w:tr>
      <w:tr>
        <w:trPr>
          <w:cantSplit/>
        </w:trPr>
        <w:tc>
          <w:tcPr>
            <w:tcW w:type="pct" w:w="18%"/>
            <w:shd w:fill="FFFFFF" w:val="clear"/>
            <w:tcMar>
              <w:top w:type="dxa" w:w="70"/>
              <w:left w:type="dxa" w:w="110"/>
              <w:bottom w:type="dxa" w:w="70"/>
              <w:right w:type="dxa" w:w="110"/>
            </w:tcMar>
          </w:tcPr>
          <w:p>
            <w:pPr>
              <w:spacing w:line="312"/>
              <w:jc w:val="left"/>
            </w:pPr>
            <w:r>
              <w:rPr>
                <w:rFonts w:ascii="Times New Roman" w:eastAsia="SimSun" w:hAnsi="Times New Roman"/>
                <w:b w:val="false"/>
                <w:bCs w:val="false"/>
                <w:color w:val="000000"/>
                <w:sz w:val="21"/>
                <w:szCs w:val="21"/>
              </w:rPr>
              <w:t xml:space="preserve">DAAD (EPOS and study scholarships)</w:t>
            </w:r>
          </w:p>
        </w:tc>
        <w:tc>
          <w:tcPr>
            <w:tcW w:type="pct" w:w="12%"/>
            <w:shd w:fill="FFFFFF" w:val="clear"/>
            <w:tcMar>
              <w:top w:type="dxa" w:w="70"/>
              <w:left w:type="dxa" w:w="110"/>
              <w:bottom w:type="dxa" w:w="70"/>
              <w:right w:type="dxa" w:w="110"/>
            </w:tcMar>
          </w:tcPr>
          <w:p>
            <w:pPr>
              <w:spacing w:line="312"/>
              <w:jc w:val="left"/>
            </w:pPr>
            <w:r>
              <w:rPr>
                <w:rFonts w:ascii="Times New Roman" w:eastAsia="SimSun" w:hAnsi="Times New Roman"/>
                <w:b w:val="false"/>
                <w:bCs w:val="false"/>
                <w:color w:val="000000"/>
                <w:sz w:val="21"/>
                <w:szCs w:val="21"/>
              </w:rPr>
              <w:t xml:space="preserve">Germany</w:t>
            </w:r>
          </w:p>
        </w:tc>
        <w:tc>
          <w:tcPr>
            <w:tcW w:type="pct" w:w="24%"/>
            <w:shd w:fill="FFFFFF" w:val="clear"/>
            <w:tcMar>
              <w:top w:type="dxa" w:w="70"/>
              <w:left w:type="dxa" w:w="110"/>
              <w:bottom w:type="dxa" w:w="70"/>
              <w:right w:type="dxa" w:w="110"/>
            </w:tcMar>
          </w:tcPr>
          <w:p>
            <w:pPr>
              <w:spacing w:line="312"/>
              <w:jc w:val="left"/>
            </w:pPr>
            <w:r>
              <w:rPr>
                <w:rFonts w:ascii="Times New Roman" w:eastAsia="SimSun" w:hAnsi="Times New Roman"/>
                <w:b w:val="false"/>
                <w:bCs w:val="false"/>
                <w:color w:val="000000"/>
                <w:sz w:val="21"/>
                <w:szCs w:val="21"/>
              </w:rPr>
              <w:t xml:space="preserve">Course-set, typically IELTS 6.0-7.0 or TOEFL 80-100</w:t>
            </w:r>
          </w:p>
        </w:tc>
        <w:tc>
          <w:tcPr>
            <w:tcW w:type="pct" w:w="20%"/>
            <w:shd w:fill="FFFFFF" w:val="clear"/>
            <w:tcMar>
              <w:top w:type="dxa" w:w="70"/>
              <w:left w:type="dxa" w:w="110"/>
              <w:bottom w:type="dxa" w:w="70"/>
              <w:right w:type="dxa" w:w="110"/>
            </w:tcMar>
          </w:tcPr>
          <w:p>
            <w:pPr>
              <w:spacing w:line="312"/>
              <w:jc w:val="left"/>
            </w:pPr>
            <w:r>
              <w:rPr>
                <w:rFonts w:ascii="Times New Roman" w:eastAsia="SimSun" w:hAnsi="Times New Roman"/>
                <w:b w:val="false"/>
                <w:bCs w:val="false"/>
                <w:color w:val="000000"/>
                <w:sz w:val="21"/>
                <w:szCs w:val="21"/>
              </w:rPr>
              <w:t xml:space="preserve">Rarely; a few engineering courses</w:t>
            </w:r>
          </w:p>
        </w:tc>
        <w:tc>
          <w:tcPr>
            <w:tcW w:type="pct" w:w="26%"/>
            <w:shd w:fill="FFFFFF" w:val="clear"/>
            <w:tcMar>
              <w:top w:type="dxa" w:w="70"/>
              <w:left w:type="dxa" w:w="110"/>
              <w:bottom w:type="dxa" w:w="70"/>
              <w:right w:type="dxa" w:w="110"/>
            </w:tcMar>
          </w:tcPr>
          <w:p>
            <w:pPr>
              <w:spacing w:line="312"/>
              <w:jc w:val="left"/>
            </w:pPr>
            <w:r>
              <w:rPr>
                <w:rFonts w:ascii="Times New Roman" w:eastAsia="SimSun" w:hAnsi="Times New Roman"/>
                <w:b w:val="false"/>
                <w:bCs w:val="false"/>
                <w:color w:val="000000"/>
                <w:sz w:val="21"/>
                <w:szCs w:val="21"/>
              </w:rPr>
              <w:t xml:space="preserve">English-taught development-related master's dominate; work experience often required</w:t>
            </w:r>
          </w:p>
        </w:tc>
      </w:tr>
      <w:tr>
        <w:trPr>
          <w:cantSplit/>
        </w:trPr>
        <w:tc>
          <w:tcPr>
            <w:tcW w:type="pct" w:w="18%"/>
            <w:shd w:fill="EDF3F8" w:val="clear"/>
            <w:tcMar>
              <w:top w:type="dxa" w:w="70"/>
              <w:left w:type="dxa" w:w="110"/>
              <w:bottom w:type="dxa" w:w="70"/>
              <w:right w:type="dxa" w:w="110"/>
            </w:tcMar>
          </w:tcPr>
          <w:p>
            <w:pPr>
              <w:spacing w:line="312"/>
              <w:jc w:val="left"/>
            </w:pPr>
            <w:r>
              <w:rPr>
                <w:rFonts w:ascii="Times New Roman" w:eastAsia="SimSun" w:hAnsi="Times New Roman"/>
                <w:b w:val="false"/>
                <w:bCs w:val="false"/>
                <w:color w:val="000000"/>
                <w:sz w:val="21"/>
                <w:szCs w:val="21"/>
              </w:rPr>
              <w:t xml:space="preserve">Erasmus Mundus Joint Masters</w:t>
            </w:r>
          </w:p>
        </w:tc>
        <w:tc>
          <w:tcPr>
            <w:tcW w:type="pct" w:w="12%"/>
            <w:shd w:fill="EDF3F8" w:val="clear"/>
            <w:tcMar>
              <w:top w:type="dxa" w:w="70"/>
              <w:left w:type="dxa" w:w="110"/>
              <w:bottom w:type="dxa" w:w="70"/>
              <w:right w:type="dxa" w:w="110"/>
            </w:tcMar>
          </w:tcPr>
          <w:p>
            <w:pPr>
              <w:spacing w:line="312"/>
              <w:jc w:val="left"/>
            </w:pPr>
            <w:r>
              <w:rPr>
                <w:rFonts w:ascii="Times New Roman" w:eastAsia="SimSun" w:hAnsi="Times New Roman"/>
                <w:b w:val="false"/>
                <w:bCs w:val="false"/>
                <w:color w:val="000000"/>
                <w:sz w:val="21"/>
                <w:szCs w:val="21"/>
              </w:rPr>
              <w:t xml:space="preserve">EU (multi-country)</w:t>
            </w:r>
          </w:p>
        </w:tc>
        <w:tc>
          <w:tcPr>
            <w:tcW w:type="pct" w:w="24%"/>
            <w:shd w:fill="EDF3F8" w:val="clear"/>
            <w:tcMar>
              <w:top w:type="dxa" w:w="70"/>
              <w:left w:type="dxa" w:w="110"/>
              <w:bottom w:type="dxa" w:w="70"/>
              <w:right w:type="dxa" w:w="110"/>
            </w:tcMar>
          </w:tcPr>
          <w:p>
            <w:pPr>
              <w:spacing w:line="312"/>
              <w:jc w:val="left"/>
            </w:pPr>
            <w:r>
              <w:rPr>
                <w:rFonts w:ascii="Times New Roman" w:eastAsia="SimSun" w:hAnsi="Times New Roman"/>
                <w:b w:val="false"/>
                <w:bCs w:val="false"/>
                <w:color w:val="000000"/>
                <w:sz w:val="21"/>
                <w:szCs w:val="21"/>
              </w:rPr>
              <w:t xml:space="preserve">Consortium-set, typically IELTS 6.5-7.0 or TOEFL 90-100</w:t>
            </w:r>
          </w:p>
        </w:tc>
        <w:tc>
          <w:tcPr>
            <w:tcW w:type="pct" w:w="20%"/>
            <w:shd w:fill="EDF3F8" w:val="clear"/>
            <w:tcMar>
              <w:top w:type="dxa" w:w="70"/>
              <w:left w:type="dxa" w:w="110"/>
              <w:bottom w:type="dxa" w:w="70"/>
              <w:right w:type="dxa" w:w="110"/>
            </w:tcMar>
          </w:tcPr>
          <w:p>
            <w:pPr>
              <w:spacing w:line="312"/>
              <w:jc w:val="left"/>
            </w:pPr>
            <w:r>
              <w:rPr>
                <w:rFonts w:ascii="Times New Roman" w:eastAsia="SimSun" w:hAnsi="Times New Roman"/>
                <w:b w:val="false"/>
                <w:bCs w:val="false"/>
                <w:color w:val="000000"/>
                <w:sz w:val="21"/>
                <w:szCs w:val="21"/>
              </w:rPr>
              <w:t xml:space="preserve">Rare; some quantitative programs accept or ask for GRE</w:t>
            </w:r>
          </w:p>
        </w:tc>
        <w:tc>
          <w:tcPr>
            <w:tcW w:type="pct" w:w="26%"/>
            <w:shd w:fill="EDF3F8" w:val="clear"/>
            <w:tcMar>
              <w:top w:type="dxa" w:w="70"/>
              <w:left w:type="dxa" w:w="110"/>
              <w:bottom w:type="dxa" w:w="70"/>
              <w:right w:type="dxa" w:w="110"/>
            </w:tcMar>
          </w:tcPr>
          <w:p>
            <w:pPr>
              <w:spacing w:line="312"/>
              <w:jc w:val="left"/>
            </w:pPr>
            <w:r>
              <w:rPr>
                <w:rFonts w:ascii="Times New Roman" w:eastAsia="SimSun" w:hAnsi="Times New Roman"/>
                <w:b w:val="false"/>
                <w:bCs w:val="false"/>
                <w:color w:val="000000"/>
                <w:sz w:val="21"/>
                <w:szCs w:val="21"/>
              </w:rPr>
              <w:t xml:space="preserve">Each consortium publishes its own score floors; check per program</w:t>
            </w:r>
          </w:p>
        </w:tc>
      </w:tr>
      <w:tr>
        <w:trPr>
          <w:cantSplit/>
        </w:trPr>
        <w:tc>
          <w:tcPr>
            <w:tcW w:type="pct" w:w="18%"/>
            <w:shd w:fill="FFFFFF" w:val="clear"/>
            <w:tcMar>
              <w:top w:type="dxa" w:w="70"/>
              <w:left w:type="dxa" w:w="110"/>
              <w:bottom w:type="dxa" w:w="70"/>
              <w:right w:type="dxa" w:w="110"/>
            </w:tcMar>
          </w:tcPr>
          <w:p>
            <w:pPr>
              <w:spacing w:line="312"/>
              <w:jc w:val="left"/>
            </w:pPr>
            <w:r>
              <w:rPr>
                <w:rFonts w:ascii="Times New Roman" w:eastAsia="SimSun" w:hAnsi="Times New Roman"/>
                <w:b w:val="false"/>
                <w:bCs w:val="false"/>
                <w:color w:val="000000"/>
                <w:sz w:val="21"/>
                <w:szCs w:val="21"/>
              </w:rPr>
              <w:t xml:space="preserve">Australia Awards</w:t>
            </w:r>
          </w:p>
        </w:tc>
        <w:tc>
          <w:tcPr>
            <w:tcW w:type="pct" w:w="12%"/>
            <w:shd w:fill="FFFFFF" w:val="clear"/>
            <w:tcMar>
              <w:top w:type="dxa" w:w="70"/>
              <w:left w:type="dxa" w:w="110"/>
              <w:bottom w:type="dxa" w:w="70"/>
              <w:right w:type="dxa" w:w="110"/>
            </w:tcMar>
          </w:tcPr>
          <w:p>
            <w:pPr>
              <w:spacing w:line="312"/>
              <w:jc w:val="left"/>
            </w:pPr>
            <w:r>
              <w:rPr>
                <w:rFonts w:ascii="Times New Roman" w:eastAsia="SimSun" w:hAnsi="Times New Roman"/>
                <w:b w:val="false"/>
                <w:bCs w:val="false"/>
                <w:color w:val="000000"/>
                <w:sz w:val="21"/>
                <w:szCs w:val="21"/>
              </w:rPr>
              <w:t xml:space="preserve">Australia</w:t>
            </w:r>
          </w:p>
        </w:tc>
        <w:tc>
          <w:tcPr>
            <w:tcW w:type="pct" w:w="24%"/>
            <w:shd w:fill="FFFFFF" w:val="clear"/>
            <w:tcMar>
              <w:top w:type="dxa" w:w="70"/>
              <w:left w:type="dxa" w:w="110"/>
              <w:bottom w:type="dxa" w:w="70"/>
              <w:right w:type="dxa" w:w="110"/>
            </w:tcMar>
          </w:tcPr>
          <w:p>
            <w:pPr>
              <w:spacing w:line="312"/>
              <w:jc w:val="left"/>
            </w:pPr>
            <w:r>
              <w:rPr>
                <w:rFonts w:ascii="Times New Roman" w:eastAsia="SimSun" w:hAnsi="Times New Roman"/>
                <w:b w:val="false"/>
                <w:bCs w:val="false"/>
                <w:color w:val="000000"/>
                <w:sz w:val="21"/>
                <w:szCs w:val="21"/>
              </w:rPr>
              <w:t xml:space="preserve">IELTS 6.5 typical for university entry</w:t>
            </w:r>
          </w:p>
        </w:tc>
        <w:tc>
          <w:tcPr>
            <w:tcW w:type="pct" w:w="20%"/>
            <w:shd w:fill="FFFFFF" w:val="clear"/>
            <w:tcMar>
              <w:top w:type="dxa" w:w="70"/>
              <w:left w:type="dxa" w:w="110"/>
              <w:bottom w:type="dxa" w:w="70"/>
              <w:right w:type="dxa" w:w="110"/>
            </w:tcMar>
          </w:tcPr>
          <w:p>
            <w:pPr>
              <w:spacing w:line="312"/>
              <w:jc w:val="left"/>
            </w:pPr>
            <w:r>
              <w:rPr>
                <w:rFonts w:ascii="Times New Roman" w:eastAsia="SimSun" w:hAnsi="Times New Roman"/>
                <w:b w:val="false"/>
                <w:bCs w:val="false"/>
                <w:color w:val="000000"/>
                <w:sz w:val="21"/>
                <w:szCs w:val="21"/>
              </w:rPr>
              <w:t xml:space="preserve">Not required</w:t>
            </w:r>
          </w:p>
        </w:tc>
        <w:tc>
          <w:tcPr>
            <w:tcW w:type="pct" w:w="26%"/>
            <w:shd w:fill="FFFFFF" w:val="clear"/>
            <w:tcMar>
              <w:top w:type="dxa" w:w="70"/>
              <w:left w:type="dxa" w:w="110"/>
              <w:bottom w:type="dxa" w:w="70"/>
              <w:right w:type="dxa" w:w="110"/>
            </w:tcMar>
          </w:tcPr>
          <w:p>
            <w:pPr>
              <w:spacing w:line="312"/>
              <w:jc w:val="left"/>
            </w:pPr>
            <w:r>
              <w:rPr>
                <w:rFonts w:ascii="Times New Roman" w:eastAsia="SimSun" w:hAnsi="Times New Roman"/>
                <w:b w:val="false"/>
                <w:bCs w:val="false"/>
                <w:color w:val="000000"/>
                <w:sz w:val="21"/>
                <w:szCs w:val="21"/>
              </w:rPr>
              <w:t xml:space="preserve">Visa and university entry conditions apply; retest pathways exist</w:t>
            </w:r>
          </w:p>
        </w:tc>
      </w:tr>
      <w:tr>
        <w:trPr>
          <w:cantSplit/>
        </w:trPr>
        <w:tc>
          <w:tcPr>
            <w:tcW w:type="pct" w:w="18%"/>
            <w:shd w:fill="EDF3F8" w:val="clear"/>
            <w:tcMar>
              <w:top w:type="dxa" w:w="70"/>
              <w:left w:type="dxa" w:w="110"/>
              <w:bottom w:type="dxa" w:w="70"/>
              <w:right w:type="dxa" w:w="110"/>
            </w:tcMar>
          </w:tcPr>
          <w:p>
            <w:pPr>
              <w:spacing w:line="312"/>
              <w:jc w:val="left"/>
            </w:pPr>
            <w:r>
              <w:rPr>
                <w:rFonts w:ascii="Times New Roman" w:eastAsia="SimSun" w:hAnsi="Times New Roman"/>
                <w:b w:val="false"/>
                <w:bCs w:val="false"/>
                <w:color w:val="000000"/>
                <w:sz w:val="21"/>
                <w:szCs w:val="21"/>
              </w:rPr>
              <w:t xml:space="preserve">MEXT (Embassy and university track)</w:t>
            </w:r>
          </w:p>
        </w:tc>
        <w:tc>
          <w:tcPr>
            <w:tcW w:type="pct" w:w="12%"/>
            <w:shd w:fill="EDF3F8" w:val="clear"/>
            <w:tcMar>
              <w:top w:type="dxa" w:w="70"/>
              <w:left w:type="dxa" w:w="110"/>
              <w:bottom w:type="dxa" w:w="70"/>
              <w:right w:type="dxa" w:w="110"/>
            </w:tcMar>
          </w:tcPr>
          <w:p>
            <w:pPr>
              <w:spacing w:line="312"/>
              <w:jc w:val="left"/>
            </w:pPr>
            <w:r>
              <w:rPr>
                <w:rFonts w:ascii="Times New Roman" w:eastAsia="SimSun" w:hAnsi="Times New Roman"/>
                <w:b w:val="false"/>
                <w:bCs w:val="false"/>
                <w:color w:val="000000"/>
                <w:sz w:val="21"/>
                <w:szCs w:val="21"/>
              </w:rPr>
              <w:t xml:space="preserve">Japan</w:t>
            </w:r>
          </w:p>
        </w:tc>
        <w:tc>
          <w:tcPr>
            <w:tcW w:type="pct" w:w="24%"/>
            <w:shd w:fill="EDF3F8" w:val="clear"/>
            <w:tcMar>
              <w:top w:type="dxa" w:w="70"/>
              <w:left w:type="dxa" w:w="110"/>
              <w:bottom w:type="dxa" w:w="70"/>
              <w:right w:type="dxa" w:w="110"/>
            </w:tcMar>
          </w:tcPr>
          <w:p>
            <w:pPr>
              <w:spacing w:line="312"/>
              <w:jc w:val="left"/>
            </w:pPr>
            <w:r>
              <w:rPr>
                <w:rFonts w:ascii="Times New Roman" w:eastAsia="SimSun" w:hAnsi="Times New Roman"/>
                <w:b w:val="false"/>
                <w:bCs w:val="false"/>
                <w:color w:val="000000"/>
                <w:sz w:val="21"/>
                <w:szCs w:val="21"/>
              </w:rPr>
              <w:t xml:space="preserve">No fixed minimum; TOEFL/IELTS expected for English-taught courses</w:t>
            </w:r>
          </w:p>
        </w:tc>
        <w:tc>
          <w:tcPr>
            <w:tcW w:type="pct" w:w="20%"/>
            <w:shd w:fill="EDF3F8" w:val="clear"/>
            <w:tcMar>
              <w:top w:type="dxa" w:w="70"/>
              <w:left w:type="dxa" w:w="110"/>
              <w:bottom w:type="dxa" w:w="70"/>
              <w:right w:type="dxa" w:w="110"/>
            </w:tcMar>
          </w:tcPr>
          <w:p>
            <w:pPr>
              <w:spacing w:line="312"/>
              <w:jc w:val="left"/>
            </w:pPr>
            <w:r>
              <w:rPr>
                <w:rFonts w:ascii="Times New Roman" w:eastAsia="SimSun" w:hAnsi="Times New Roman"/>
                <w:b w:val="false"/>
                <w:bCs w:val="false"/>
                <w:color w:val="000000"/>
                <w:sz w:val="21"/>
                <w:szCs w:val="21"/>
              </w:rPr>
              <w:t xml:space="preserve">GRE for some graduate programs</w:t>
            </w:r>
          </w:p>
        </w:tc>
        <w:tc>
          <w:tcPr>
            <w:tcW w:type="pct" w:w="26%"/>
            <w:shd w:fill="EDF3F8" w:val="clear"/>
            <w:tcMar>
              <w:top w:type="dxa" w:w="70"/>
              <w:left w:type="dxa" w:w="110"/>
              <w:bottom w:type="dxa" w:w="70"/>
              <w:right w:type="dxa" w:w="110"/>
            </w:tcMar>
          </w:tcPr>
          <w:p>
            <w:pPr>
              <w:spacing w:line="312"/>
              <w:jc w:val="left"/>
            </w:pPr>
            <w:r>
              <w:rPr>
                <w:rFonts w:ascii="Times New Roman" w:eastAsia="SimSun" w:hAnsi="Times New Roman"/>
                <w:b w:val="false"/>
                <w:bCs w:val="false"/>
                <w:color w:val="000000"/>
                <w:sz w:val="21"/>
                <w:szCs w:val="21"/>
              </w:rPr>
              <w:t xml:space="preserve">Field-specific screening exams often matter more than language scores</w:t>
            </w:r>
          </w:p>
        </w:tc>
      </w:tr>
      <w:tr>
        <w:trPr>
          <w:cantSplit/>
        </w:trPr>
        <w:tc>
          <w:tcPr>
            <w:tcW w:type="pct" w:w="18%"/>
            <w:shd w:fill="FFFFFF" w:val="clear"/>
            <w:tcMar>
              <w:top w:type="dxa" w:w="70"/>
              <w:left w:type="dxa" w:w="110"/>
              <w:bottom w:type="dxa" w:w="70"/>
              <w:right w:type="dxa" w:w="110"/>
            </w:tcMar>
          </w:tcPr>
          <w:p>
            <w:pPr>
              <w:spacing w:line="312"/>
              <w:jc w:val="left"/>
            </w:pPr>
            <w:r>
              <w:rPr>
                <w:rFonts w:ascii="Times New Roman" w:eastAsia="SimSun" w:hAnsi="Times New Roman"/>
                <w:b w:val="false"/>
                <w:bCs w:val="false"/>
                <w:color w:val="000000"/>
                <w:sz w:val="21"/>
                <w:szCs w:val="21"/>
              </w:rPr>
              <w:t xml:space="preserve">US assistantships and university funding</w:t>
            </w:r>
          </w:p>
        </w:tc>
        <w:tc>
          <w:tcPr>
            <w:tcW w:type="pct" w:w="12%"/>
            <w:shd w:fill="FFFFFF" w:val="clear"/>
            <w:tcMar>
              <w:top w:type="dxa" w:w="70"/>
              <w:left w:type="dxa" w:w="110"/>
              <w:bottom w:type="dxa" w:w="70"/>
              <w:right w:type="dxa" w:w="110"/>
            </w:tcMar>
          </w:tcPr>
          <w:p>
            <w:pPr>
              <w:spacing w:line="312"/>
              <w:jc w:val="left"/>
            </w:pPr>
            <w:r>
              <w:rPr>
                <w:rFonts w:ascii="Times New Roman" w:eastAsia="SimSun" w:hAnsi="Times New Roman"/>
                <w:b w:val="false"/>
                <w:bCs w:val="false"/>
                <w:color w:val="000000"/>
                <w:sz w:val="21"/>
                <w:szCs w:val="21"/>
              </w:rPr>
              <w:t xml:space="preserve">USA</w:t>
            </w:r>
          </w:p>
        </w:tc>
        <w:tc>
          <w:tcPr>
            <w:tcW w:type="pct" w:w="24%"/>
            <w:shd w:fill="FFFFFF" w:val="clear"/>
            <w:tcMar>
              <w:top w:type="dxa" w:w="70"/>
              <w:left w:type="dxa" w:w="110"/>
              <w:bottom w:type="dxa" w:w="70"/>
              <w:right w:type="dxa" w:w="110"/>
            </w:tcMar>
          </w:tcPr>
          <w:p>
            <w:pPr>
              <w:spacing w:line="312"/>
              <w:jc w:val="left"/>
            </w:pPr>
            <w:r>
              <w:rPr>
                <w:rFonts w:ascii="Times New Roman" w:eastAsia="SimSun" w:hAnsi="Times New Roman"/>
                <w:b w:val="false"/>
                <w:bCs w:val="false"/>
                <w:color w:val="000000"/>
                <w:sz w:val="21"/>
                <w:szCs w:val="21"/>
              </w:rPr>
              <w:t xml:space="preserve">TOEFL 90-100+ or IELTS 7.0+ for funded roles</w:t>
            </w:r>
          </w:p>
        </w:tc>
        <w:tc>
          <w:tcPr>
            <w:tcW w:type="pct" w:w="20%"/>
            <w:shd w:fill="FFFFFF" w:val="clear"/>
            <w:tcMar>
              <w:top w:type="dxa" w:w="70"/>
              <w:left w:type="dxa" w:w="110"/>
              <w:bottom w:type="dxa" w:w="70"/>
              <w:right w:type="dxa" w:w="110"/>
            </w:tcMar>
          </w:tcPr>
          <w:p>
            <w:pPr>
              <w:spacing w:line="312"/>
              <w:jc w:val="left"/>
            </w:pPr>
            <w:r>
              <w:rPr>
                <w:rFonts w:ascii="Times New Roman" w:eastAsia="SimSun" w:hAnsi="Times New Roman"/>
                <w:b w:val="false"/>
                <w:bCs w:val="false"/>
                <w:color w:val="000000"/>
                <w:sz w:val="21"/>
                <w:szCs w:val="21"/>
              </w:rPr>
              <w:t xml:space="preserve">GRE 310-320+ strengthens applications</w:t>
            </w:r>
          </w:p>
        </w:tc>
        <w:tc>
          <w:tcPr>
            <w:tcW w:type="pct" w:w="26%"/>
            <w:shd w:fill="FFFFFF" w:val="clear"/>
            <w:tcMar>
              <w:top w:type="dxa" w:w="70"/>
              <w:left w:type="dxa" w:w="110"/>
              <w:bottom w:type="dxa" w:w="70"/>
              <w:right w:type="dxa" w:w="110"/>
            </w:tcMar>
          </w:tcPr>
          <w:p>
            <w:pPr>
              <w:spacing w:line="312"/>
              <w:jc w:val="left"/>
            </w:pPr>
            <w:r>
              <w:rPr>
                <w:rFonts w:ascii="Times New Roman" w:eastAsia="SimSun" w:hAnsi="Times New Roman"/>
                <w:b w:val="false"/>
                <w:bCs w:val="false"/>
                <w:color w:val="000000"/>
                <w:sz w:val="21"/>
                <w:szCs w:val="21"/>
              </w:rPr>
              <w:t xml:space="preserve">Teaching assistantships usually demand higher Speaking scores</w:t>
            </w:r>
          </w:p>
        </w:tc>
      </w:tr>
      <w:tr>
        <w:trPr>
          <w:cantSplit/>
        </w:trPr>
        <w:tc>
          <w:tcPr>
            <w:tcW w:type="pct" w:w="18%"/>
            <w:shd w:fill="EDF3F8" w:val="clear"/>
            <w:tcMar>
              <w:top w:type="dxa" w:w="70"/>
              <w:left w:type="dxa" w:w="110"/>
              <w:bottom w:type="dxa" w:w="70"/>
              <w:right w:type="dxa" w:w="110"/>
            </w:tcMar>
          </w:tcPr>
          <w:p>
            <w:pPr>
              <w:spacing w:line="312"/>
              <w:jc w:val="left"/>
            </w:pPr>
            <w:r>
              <w:rPr>
                <w:rFonts w:ascii="Times New Roman" w:eastAsia="SimSun" w:hAnsi="Times New Roman"/>
                <w:b w:val="false"/>
                <w:bCs w:val="false"/>
                <w:color w:val="000000"/>
                <w:sz w:val="21"/>
                <w:szCs w:val="21"/>
              </w:rPr>
              <w:t xml:space="preserve">MBA merit fellowships</w:t>
            </w:r>
          </w:p>
        </w:tc>
        <w:tc>
          <w:tcPr>
            <w:tcW w:type="pct" w:w="12%"/>
            <w:shd w:fill="EDF3F8" w:val="clear"/>
            <w:tcMar>
              <w:top w:type="dxa" w:w="70"/>
              <w:left w:type="dxa" w:w="110"/>
              <w:bottom w:type="dxa" w:w="70"/>
              <w:right w:type="dxa" w:w="110"/>
            </w:tcMar>
          </w:tcPr>
          <w:p>
            <w:pPr>
              <w:spacing w:line="312"/>
              <w:jc w:val="left"/>
            </w:pPr>
            <w:r>
              <w:rPr>
                <w:rFonts w:ascii="Times New Roman" w:eastAsia="SimSun" w:hAnsi="Times New Roman"/>
                <w:b w:val="false"/>
                <w:bCs w:val="false"/>
                <w:color w:val="000000"/>
                <w:sz w:val="21"/>
                <w:szCs w:val="21"/>
              </w:rPr>
              <w:t xml:space="preserve">USA, Europe, Asia</w:t>
            </w:r>
          </w:p>
        </w:tc>
        <w:tc>
          <w:tcPr>
            <w:tcW w:type="pct" w:w="24%"/>
            <w:shd w:fill="EDF3F8" w:val="clear"/>
            <w:tcMar>
              <w:top w:type="dxa" w:w="70"/>
              <w:left w:type="dxa" w:w="110"/>
              <w:bottom w:type="dxa" w:w="70"/>
              <w:right w:type="dxa" w:w="110"/>
            </w:tcMar>
          </w:tcPr>
          <w:p>
            <w:pPr>
              <w:spacing w:line="312"/>
              <w:jc w:val="left"/>
            </w:pPr>
            <w:r>
              <w:rPr>
                <w:rFonts w:ascii="Times New Roman" w:eastAsia="SimSun" w:hAnsi="Times New Roman"/>
                <w:b w:val="false"/>
                <w:bCs w:val="false"/>
                <w:color w:val="000000"/>
                <w:sz w:val="21"/>
                <w:szCs w:val="21"/>
              </w:rPr>
              <w:t xml:space="preserve">TOEFL 100+ or IELTS 7.0+</w:t>
            </w:r>
          </w:p>
        </w:tc>
        <w:tc>
          <w:tcPr>
            <w:tcW w:type="pct" w:w="20%"/>
            <w:shd w:fill="EDF3F8" w:val="clear"/>
            <w:tcMar>
              <w:top w:type="dxa" w:w="70"/>
              <w:left w:type="dxa" w:w="110"/>
              <w:bottom w:type="dxa" w:w="70"/>
              <w:right w:type="dxa" w:w="110"/>
            </w:tcMar>
          </w:tcPr>
          <w:p>
            <w:pPr>
              <w:spacing w:line="312"/>
              <w:jc w:val="left"/>
            </w:pPr>
            <w:r>
              <w:rPr>
                <w:rFonts w:ascii="Times New Roman" w:eastAsia="SimSun" w:hAnsi="Times New Roman"/>
                <w:b w:val="false"/>
                <w:bCs w:val="false"/>
                <w:color w:val="000000"/>
                <w:sz w:val="21"/>
                <w:szCs w:val="21"/>
              </w:rPr>
              <w:t xml:space="preserve">GMAT Focus 645+ (classic 700+) competitive</w:t>
            </w:r>
          </w:p>
        </w:tc>
        <w:tc>
          <w:tcPr>
            <w:tcW w:type="pct" w:w="26%"/>
            <w:shd w:fill="EDF3F8" w:val="clear"/>
            <w:tcMar>
              <w:top w:type="dxa" w:w="70"/>
              <w:left w:type="dxa" w:w="110"/>
              <w:bottom w:type="dxa" w:w="70"/>
              <w:right w:type="dxa" w:w="110"/>
            </w:tcMar>
          </w:tcPr>
          <w:p>
            <w:pPr>
              <w:spacing w:line="312"/>
              <w:jc w:val="left"/>
            </w:pPr>
            <w:r>
              <w:rPr>
                <w:rFonts w:ascii="Times New Roman" w:eastAsia="SimSun" w:hAnsi="Times New Roman"/>
                <w:b w:val="false"/>
                <w:bCs w:val="false"/>
                <w:color w:val="000000"/>
                <w:sz w:val="21"/>
                <w:szCs w:val="21"/>
              </w:rPr>
              <w:t xml:space="preserve">Fellowship committees combine scores with leadership profile</w:t>
            </w:r>
          </w:p>
        </w:tc>
      </w:tr>
    </w:tbl>
    <w:p>
      <w:pPr>
        <w:pStyle w:val="Heading2"/>
        <w:keepNext/>
        <w:spacing w:after="120" w:before="260" w:line="340" w:lineRule="atLeast"/>
      </w:pPr>
      <w:bookmarkStart w:id="100035" w:name="_Toc100035"/>
      <w:r>
        <w:rPr>
          <w:rFonts w:ascii="Times New Roman" w:eastAsia="SimHei" w:hAnsi="Times New Roman"/>
          <w:b/>
          <w:bCs/>
          <w:color w:val="1A5276"/>
          <w:sz w:val="28"/>
          <w:szCs w:val="28"/>
        </w:rPr>
        <w:t xml:space="preserve">6.6 Keeping Scores Valid and Getting Them Where They Belong</w:t>
      </w:r>
      <w:bookmarkEnd w:id="100035"/>
    </w:p>
    <w:p>
      <w:pPr>
        <w:keepNext w:val="false"/>
        <w:spacing w:after="140" w:line="312"/>
        <w:jc w:val="both"/>
      </w:pPr>
      <w:r>
        <w:rPr>
          <w:rFonts w:ascii="Times New Roman" w:eastAsia="SimSun" w:hAnsi="Times New Roman"/>
          <w:b w:val="false"/>
          <w:bCs w:val="false"/>
          <w:color w:val="000000"/>
          <w:sz w:val="24"/>
          <w:szCs w:val="24"/>
        </w:rPr>
        <w:t xml:space="preserve">Validity windows are fixed and unforgiving: GRE and GMAT scores last </w:t>
      </w:r>
      <w:r>
        <w:rPr>
          <w:rFonts w:ascii="Times New Roman" w:eastAsia="SimSun" w:hAnsi="Times New Roman"/>
          <w:b/>
          <w:bCs/>
          <w:color w:val="000000"/>
          <w:sz w:val="24"/>
          <w:szCs w:val="24"/>
        </w:rPr>
        <w:t xml:space="preserve">five years</w:t>
      </w:r>
      <w:r>
        <w:rPr>
          <w:rFonts w:ascii="Times New Roman" w:eastAsia="SimSun" w:hAnsi="Times New Roman"/>
          <w:b w:val="false"/>
          <w:bCs w:val="false"/>
          <w:color w:val="000000"/>
          <w:sz w:val="24"/>
          <w:szCs w:val="24"/>
        </w:rPr>
        <w:t xml:space="preserve"> from the test date, while TOEFL and IELTS last </w:t>
      </w:r>
      <w:r>
        <w:rPr>
          <w:rFonts w:ascii="Times New Roman" w:eastAsia="SimSun" w:hAnsi="Times New Roman"/>
          <w:b/>
          <w:bCs/>
          <w:color w:val="000000"/>
          <w:sz w:val="24"/>
          <w:szCs w:val="24"/>
        </w:rPr>
        <w:t xml:space="preserve">two years</w:t>
      </w:r>
      <w:r>
        <w:rPr>
          <w:rFonts w:ascii="Times New Roman" w:eastAsia="SimSun" w:hAnsi="Times New Roman"/>
          <w:b w:val="false"/>
          <w:bCs w:val="false"/>
          <w:color w:val="000000"/>
          <w:sz w:val="24"/>
          <w:szCs w:val="24"/>
        </w:rPr>
        <w:t xml:space="preserve">, counted at the application deadline, not the enrollment date. This is the arithmetic reason the recommended sequence takes the aptitude test first and the English test second. Score sending has a free tier and a paid tier on every exam: the GRE allows four free reports on test day, the GMAT five free reports shortly after the score release, the TOEFL four free designations before the test, and IELTS five free copies after results. Extra reports cost modest per-copy fees.</w:t>
      </w:r>
    </w:p>
    <w:p>
      <w:pPr>
        <w:keepNext w:val="false"/>
        <w:spacing w:after="140" w:line="312"/>
        <w:jc w:val="both"/>
      </w:pPr>
      <w:r>
        <w:rPr>
          <w:rFonts w:ascii="Times New Roman" w:eastAsia="SimSun" w:hAnsi="Times New Roman"/>
          <w:b w:val="false"/>
          <w:bCs w:val="false"/>
          <w:color w:val="000000"/>
          <w:sz w:val="24"/>
          <w:szCs w:val="24"/>
        </w:rPr>
        <w:t xml:space="preserve">Two reporting features can rescue imperfect histories. </w:t>
      </w:r>
      <w:r>
        <w:rPr>
          <w:rFonts w:ascii="Times New Roman" w:eastAsia="SimSun" w:hAnsi="Times New Roman"/>
          <w:b/>
          <w:bCs/>
          <w:color w:val="000000"/>
          <w:sz w:val="24"/>
          <w:szCs w:val="24"/>
        </w:rPr>
        <w:t xml:space="preserve">ScoreSelect</w:t>
      </w:r>
      <w:r>
        <w:rPr>
          <w:rFonts w:ascii="Times New Roman" w:eastAsia="SimSun" w:hAnsi="Times New Roman"/>
          <w:b w:val="false"/>
          <w:bCs w:val="false"/>
          <w:color w:val="000000"/>
          <w:sz w:val="24"/>
          <w:szCs w:val="24"/>
        </w:rPr>
        <w:t xml:space="preserve"> on the GRE lets you send the best of your attempts and withhold earlier weaker ones, and the GMAT's reporting similarly transmits only the scores you choose, so retaking never exposes you to sending a worse result. </w:t>
      </w:r>
      <w:r>
        <w:rPr>
          <w:rFonts w:ascii="Times New Roman" w:eastAsia="SimSun" w:hAnsi="Times New Roman"/>
          <w:b/>
          <w:bCs/>
          <w:color w:val="000000"/>
          <w:sz w:val="24"/>
          <w:szCs w:val="24"/>
        </w:rPr>
        <w:t xml:space="preserve">MyBest scores</w:t>
      </w:r>
      <w:r>
        <w:rPr>
          <w:rFonts w:ascii="Times New Roman" w:eastAsia="SimSun" w:hAnsi="Times New Roman"/>
          <w:b w:val="false"/>
          <w:bCs w:val="false"/>
          <w:color w:val="000000"/>
          <w:sz w:val="24"/>
          <w:szCs w:val="24"/>
        </w:rPr>
        <w:t xml:space="preserve"> on the TOEFL combine your best section performances across attempts within two years, but because not every program accepts MyBest, confirm the policy before counting on it. Finally, order reports early: institutions receive electronic reports within days, but manual matching by slow admissions offices takes weeks, and scholarship deadlines are not extended for technicalities.</w:t>
      </w:r>
    </w:p>
    <w:p>
      <w:pPr>
        <w:pStyle w:val="Heading1"/>
        <w:keepNext/>
        <w:spacing w:after="160" w:before="360" w:line="380" w:lineRule="atLeast"/>
      </w:pPr>
      <w:bookmarkStart w:id="100036" w:name="_Toc100036"/>
      <w:r>
        <w:rPr>
          <w:rFonts w:ascii="Times New Roman" w:eastAsia="SimHei" w:hAnsi="Times New Roman"/>
          <w:b/>
          <w:bCs/>
          <w:color w:val="1A5276"/>
          <w:sz w:val="32"/>
          <w:szCs w:val="32"/>
        </w:rPr>
        <w:t xml:space="preserve">7. Policies, Retakes and Practical Logistics</w:t>
      </w:r>
      <w:bookmarkEnd w:id="100036"/>
    </w:p>
    <w:p>
      <w:pPr>
        <w:pStyle w:val="Heading2"/>
        <w:keepNext/>
        <w:spacing w:after="120" w:before="260" w:line="340" w:lineRule="atLeast"/>
      </w:pPr>
      <w:bookmarkStart w:id="100037" w:name="_Toc100037"/>
      <w:r>
        <w:rPr>
          <w:rFonts w:ascii="Times New Roman" w:eastAsia="SimHei" w:hAnsi="Times New Roman"/>
          <w:b/>
          <w:bCs/>
          <w:color w:val="1A5276"/>
          <w:sz w:val="28"/>
          <w:szCs w:val="28"/>
        </w:rPr>
        <w:t xml:space="preserve">7.1 Retake Rules Compared</w:t>
      </w:r>
      <w:bookmarkEnd w:id="100037"/>
    </w:p>
    <w:p>
      <w:pPr>
        <w:keepNext/>
        <w:spacing w:after="140" w:line="312"/>
        <w:jc w:val="both"/>
      </w:pPr>
      <w:r>
        <w:rPr>
          <w:rFonts w:ascii="Times New Roman" w:eastAsia="SimSun" w:hAnsi="Times New Roman"/>
          <w:b w:val="false"/>
          <w:bCs w:val="false"/>
          <w:color w:val="000000"/>
          <w:sz w:val="24"/>
          <w:szCs w:val="24"/>
        </w:rPr>
        <w:t xml:space="preserve">Every exam allows multiple attempts, but each defines waiting periods, annual caps and reporting rules differently, and these details shape your testing calendar. The table compares the current published rules; all are stated on the official websites and should be re-checked at booking time.</w:t>
      </w:r>
    </w:p>
    <w:p>
      <w:pPr>
        <w:keepNext/>
        <w:spacing w:after="80" w:before="160" w:line="312"/>
      </w:pPr>
      <w:r>
        <w:rPr>
          <w:rFonts w:ascii="Times New Roman" w:eastAsia="SimSun" w:hAnsi="Times New Roman"/>
          <w:b/>
          <w:bCs/>
          <w:color w:val="1A5276"/>
          <w:sz w:val="21"/>
          <w:szCs w:val="21"/>
        </w:rPr>
        <w:t xml:space="preserve">Table 9: </w:t>
      </w:r>
      <w:r>
        <w:rPr>
          <w:rFonts w:ascii="Times New Roman" w:eastAsia="SimSun" w:hAnsi="Times New Roman"/>
          <w:b/>
          <w:bCs/>
          <w:color w:val="000000"/>
          <w:sz w:val="21"/>
          <w:szCs w:val="21"/>
        </w:rPr>
        <w:t xml:space="preserve">Retake and validity policies of the four exams</w:t>
      </w:r>
    </w:p>
    <w:tbl>
      <w:tblPr>
        <w:tblW w:type="pct" w:w="100%"/>
        <w:tblBorders>
          <w:top w:val="single" w:color="1A5276" w:sz="6"/>
          <w:left w:val="none" w:color="FFFFFF" w:sz="0"/>
          <w:bottom w:val="single" w:color="1A5276" w:sz="6"/>
          <w:right w:val="none" w:color="FFFFFF" w:sz="0"/>
          <w:insideH w:val="single" w:color="D0DDE8" w:sz="2"/>
          <w:insideV w:val="none" w:color="FFFFFF" w:sz="0"/>
        </w:tblBorders>
      </w:tblPr>
      <w:tblGrid>
        <w:gridCol w:w="100"/>
        <w:gridCol w:w="100"/>
        <w:gridCol w:w="100"/>
        <w:gridCol w:w="100"/>
        <w:gridCol w:w="100"/>
      </w:tblGrid>
      <w:tr>
        <w:trPr>
          <w:cantSplit/>
          <w:tblHeader/>
        </w:trPr>
        <w:tc>
          <w:tcPr>
            <w:tcW w:type="pct" w:w="22%"/>
            <w:shd w:fill="2E86C1" w:val="clear"/>
            <w:tcMar>
              <w:top w:type="dxa" w:w="70"/>
              <w:left w:type="dxa" w:w="110"/>
              <w:bottom w:type="dxa" w:w="70"/>
              <w:right w:type="dxa" w:w="110"/>
            </w:tcMar>
          </w:tcPr>
          <w:p>
            <w:pPr>
              <w:spacing w:line="312"/>
              <w:jc w:val="left"/>
            </w:pPr>
            <w:r>
              <w:rPr>
                <w:rFonts w:ascii="Times New Roman" w:eastAsia="SimSun" w:hAnsi="Times New Roman"/>
                <w:b/>
                <w:bCs/>
                <w:color w:val="FFFFFF"/>
                <w:sz w:val="21"/>
                <w:szCs w:val="21"/>
              </w:rPr>
              <w:t xml:space="preserve">Rule</w:t>
            </w:r>
          </w:p>
        </w:tc>
        <w:tc>
          <w:tcPr>
            <w:tcW w:type="pct" w:w="19%"/>
            <w:shd w:fill="2E86C1" w:val="clear"/>
            <w:tcMar>
              <w:top w:type="dxa" w:w="70"/>
              <w:left w:type="dxa" w:w="110"/>
              <w:bottom w:type="dxa" w:w="70"/>
              <w:right w:type="dxa" w:w="110"/>
            </w:tcMar>
          </w:tcPr>
          <w:p>
            <w:pPr>
              <w:spacing w:line="312"/>
              <w:jc w:val="left"/>
            </w:pPr>
            <w:r>
              <w:rPr>
                <w:rFonts w:ascii="Times New Roman" w:eastAsia="SimSun" w:hAnsi="Times New Roman"/>
                <w:b/>
                <w:bCs/>
                <w:color w:val="FFFFFF"/>
                <w:sz w:val="21"/>
                <w:szCs w:val="21"/>
              </w:rPr>
              <w:t xml:space="preserve">GRE</w:t>
            </w:r>
          </w:p>
        </w:tc>
        <w:tc>
          <w:tcPr>
            <w:tcW w:type="pct" w:w="20%"/>
            <w:shd w:fill="2E86C1" w:val="clear"/>
            <w:tcMar>
              <w:top w:type="dxa" w:w="70"/>
              <w:left w:type="dxa" w:w="110"/>
              <w:bottom w:type="dxa" w:w="70"/>
              <w:right w:type="dxa" w:w="110"/>
            </w:tcMar>
          </w:tcPr>
          <w:p>
            <w:pPr>
              <w:spacing w:line="312"/>
              <w:jc w:val="left"/>
            </w:pPr>
            <w:r>
              <w:rPr>
                <w:rFonts w:ascii="Times New Roman" w:eastAsia="SimSun" w:hAnsi="Times New Roman"/>
                <w:b/>
                <w:bCs/>
                <w:color w:val="FFFFFF"/>
                <w:sz w:val="21"/>
                <w:szCs w:val="21"/>
              </w:rPr>
              <w:t xml:space="preserve">GMAT Focus</w:t>
            </w:r>
          </w:p>
        </w:tc>
        <w:tc>
          <w:tcPr>
            <w:tcW w:type="pct" w:w="19%"/>
            <w:shd w:fill="2E86C1" w:val="clear"/>
            <w:tcMar>
              <w:top w:type="dxa" w:w="70"/>
              <w:left w:type="dxa" w:w="110"/>
              <w:bottom w:type="dxa" w:w="70"/>
              <w:right w:type="dxa" w:w="110"/>
            </w:tcMar>
          </w:tcPr>
          <w:p>
            <w:pPr>
              <w:spacing w:line="312"/>
              <w:jc w:val="left"/>
            </w:pPr>
            <w:r>
              <w:rPr>
                <w:rFonts w:ascii="Times New Roman" w:eastAsia="SimSun" w:hAnsi="Times New Roman"/>
                <w:b/>
                <w:bCs/>
                <w:color w:val="FFFFFF"/>
                <w:sz w:val="21"/>
                <w:szCs w:val="21"/>
              </w:rPr>
              <w:t xml:space="preserve">TOEFL iBT</w:t>
            </w:r>
          </w:p>
        </w:tc>
        <w:tc>
          <w:tcPr>
            <w:tcW w:type="pct" w:w="20%"/>
            <w:shd w:fill="2E86C1" w:val="clear"/>
            <w:tcMar>
              <w:top w:type="dxa" w:w="70"/>
              <w:left w:type="dxa" w:w="110"/>
              <w:bottom w:type="dxa" w:w="70"/>
              <w:right w:type="dxa" w:w="110"/>
            </w:tcMar>
          </w:tcPr>
          <w:p>
            <w:pPr>
              <w:spacing w:line="312"/>
              <w:jc w:val="left"/>
            </w:pPr>
            <w:r>
              <w:rPr>
                <w:rFonts w:ascii="Times New Roman" w:eastAsia="SimSun" w:hAnsi="Times New Roman"/>
                <w:b/>
                <w:bCs/>
                <w:color w:val="FFFFFF"/>
                <w:sz w:val="21"/>
                <w:szCs w:val="21"/>
              </w:rPr>
              <w:t xml:space="preserve">IELTS Academic</w:t>
            </w:r>
          </w:p>
        </w:tc>
      </w:tr>
      <w:tr>
        <w:trPr>
          <w:cantSplit/>
        </w:trPr>
        <w:tc>
          <w:tcPr>
            <w:tcW w:type="pct" w:w="22%"/>
            <w:shd w:fill="EDF3F8" w:val="clear"/>
            <w:tcMar>
              <w:top w:type="dxa" w:w="70"/>
              <w:left w:type="dxa" w:w="110"/>
              <w:bottom w:type="dxa" w:w="70"/>
              <w:right w:type="dxa" w:w="110"/>
            </w:tcMar>
          </w:tcPr>
          <w:p>
            <w:pPr>
              <w:spacing w:line="312"/>
              <w:jc w:val="left"/>
            </w:pPr>
            <w:r>
              <w:rPr>
                <w:rFonts w:ascii="Times New Roman" w:eastAsia="SimSun" w:hAnsi="Times New Roman"/>
                <w:b w:val="false"/>
                <w:bCs w:val="false"/>
                <w:color w:val="000000"/>
                <w:sz w:val="21"/>
                <w:szCs w:val="21"/>
              </w:rPr>
              <w:t xml:space="preserve">Waiting period between attempts</w:t>
            </w:r>
          </w:p>
        </w:tc>
        <w:tc>
          <w:tcPr>
            <w:tcW w:type="pct" w:w="19%"/>
            <w:shd w:fill="EDF3F8" w:val="clear"/>
            <w:tcMar>
              <w:top w:type="dxa" w:w="70"/>
              <w:left w:type="dxa" w:w="110"/>
              <w:bottom w:type="dxa" w:w="70"/>
              <w:right w:type="dxa" w:w="110"/>
            </w:tcMar>
          </w:tcPr>
          <w:p>
            <w:pPr>
              <w:spacing w:line="312"/>
              <w:jc w:val="left"/>
            </w:pPr>
            <w:r>
              <w:rPr>
                <w:rFonts w:ascii="Times New Roman" w:eastAsia="SimSun" w:hAnsi="Times New Roman"/>
                <w:b w:val="false"/>
                <w:bCs w:val="false"/>
                <w:color w:val="000000"/>
                <w:sz w:val="21"/>
                <w:szCs w:val="21"/>
              </w:rPr>
              <w:t xml:space="preserve">21 days</w:t>
            </w:r>
          </w:p>
        </w:tc>
        <w:tc>
          <w:tcPr>
            <w:tcW w:type="pct" w:w="20%"/>
            <w:shd w:fill="EDF3F8" w:val="clear"/>
            <w:tcMar>
              <w:top w:type="dxa" w:w="70"/>
              <w:left w:type="dxa" w:w="110"/>
              <w:bottom w:type="dxa" w:w="70"/>
              <w:right w:type="dxa" w:w="110"/>
            </w:tcMar>
          </w:tcPr>
          <w:p>
            <w:pPr>
              <w:spacing w:line="312"/>
              <w:jc w:val="left"/>
            </w:pPr>
            <w:r>
              <w:rPr>
                <w:rFonts w:ascii="Times New Roman" w:eastAsia="SimSun" w:hAnsi="Times New Roman"/>
                <w:b w:val="false"/>
                <w:bCs w:val="false"/>
                <w:color w:val="000000"/>
                <w:sz w:val="21"/>
                <w:szCs w:val="21"/>
              </w:rPr>
              <w:t xml:space="preserve">16 days</w:t>
            </w:r>
          </w:p>
        </w:tc>
        <w:tc>
          <w:tcPr>
            <w:tcW w:type="pct" w:w="19%"/>
            <w:shd w:fill="EDF3F8" w:val="clear"/>
            <w:tcMar>
              <w:top w:type="dxa" w:w="70"/>
              <w:left w:type="dxa" w:w="110"/>
              <w:bottom w:type="dxa" w:w="70"/>
              <w:right w:type="dxa" w:w="110"/>
            </w:tcMar>
          </w:tcPr>
          <w:p>
            <w:pPr>
              <w:spacing w:line="312"/>
              <w:jc w:val="left"/>
            </w:pPr>
            <w:r>
              <w:rPr>
                <w:rFonts w:ascii="Times New Roman" w:eastAsia="SimSun" w:hAnsi="Times New Roman"/>
                <w:b w:val="false"/>
                <w:bCs w:val="false"/>
                <w:color w:val="000000"/>
                <w:sz w:val="21"/>
                <w:szCs w:val="21"/>
              </w:rPr>
              <w:t xml:space="preserve">Short interval (about 3 days); confirm current rule</w:t>
            </w:r>
          </w:p>
        </w:tc>
        <w:tc>
          <w:tcPr>
            <w:tcW w:type="pct" w:w="20%"/>
            <w:shd w:fill="EDF3F8" w:val="clear"/>
            <w:tcMar>
              <w:top w:type="dxa" w:w="70"/>
              <w:left w:type="dxa" w:w="110"/>
              <w:bottom w:type="dxa" w:w="70"/>
              <w:right w:type="dxa" w:w="110"/>
            </w:tcMar>
          </w:tcPr>
          <w:p>
            <w:pPr>
              <w:spacing w:line="312"/>
              <w:jc w:val="left"/>
            </w:pPr>
            <w:r>
              <w:rPr>
                <w:rFonts w:ascii="Times New Roman" w:eastAsia="SimSun" w:hAnsi="Times New Roman"/>
                <w:b w:val="false"/>
                <w:bCs w:val="false"/>
                <w:color w:val="000000"/>
                <w:sz w:val="21"/>
                <w:szCs w:val="21"/>
              </w:rPr>
              <w:t xml:space="preserve">No formal waiting period</w:t>
            </w:r>
          </w:p>
        </w:tc>
      </w:tr>
      <w:tr>
        <w:trPr>
          <w:cantSplit/>
        </w:trPr>
        <w:tc>
          <w:tcPr>
            <w:tcW w:type="pct" w:w="22%"/>
            <w:shd w:fill="FFFFFF" w:val="clear"/>
            <w:tcMar>
              <w:top w:type="dxa" w:w="70"/>
              <w:left w:type="dxa" w:w="110"/>
              <w:bottom w:type="dxa" w:w="70"/>
              <w:right w:type="dxa" w:w="110"/>
            </w:tcMar>
          </w:tcPr>
          <w:p>
            <w:pPr>
              <w:spacing w:line="312"/>
              <w:jc w:val="left"/>
            </w:pPr>
            <w:r>
              <w:rPr>
                <w:rFonts w:ascii="Times New Roman" w:eastAsia="SimSun" w:hAnsi="Times New Roman"/>
                <w:b w:val="false"/>
                <w:bCs w:val="false"/>
                <w:color w:val="000000"/>
                <w:sz w:val="21"/>
                <w:szCs w:val="21"/>
              </w:rPr>
              <w:t xml:space="preserve">Annual or lifetime cap</w:t>
            </w:r>
          </w:p>
        </w:tc>
        <w:tc>
          <w:tcPr>
            <w:tcW w:type="pct" w:w="19%"/>
            <w:shd w:fill="FFFFFF" w:val="clear"/>
            <w:tcMar>
              <w:top w:type="dxa" w:w="70"/>
              <w:left w:type="dxa" w:w="110"/>
              <w:bottom w:type="dxa" w:w="70"/>
              <w:right w:type="dxa" w:w="110"/>
            </w:tcMar>
          </w:tcPr>
          <w:p>
            <w:pPr>
              <w:spacing w:line="312"/>
              <w:jc w:val="left"/>
            </w:pPr>
            <w:r>
              <w:rPr>
                <w:rFonts w:ascii="Times New Roman" w:eastAsia="SimSun" w:hAnsi="Times New Roman"/>
                <w:b w:val="false"/>
                <w:bCs w:val="false"/>
                <w:color w:val="000000"/>
                <w:sz w:val="21"/>
                <w:szCs w:val="21"/>
              </w:rPr>
              <w:t xml:space="preserve">5 attempts per rolling 12 months</w:t>
            </w:r>
          </w:p>
        </w:tc>
        <w:tc>
          <w:tcPr>
            <w:tcW w:type="pct" w:w="20%"/>
            <w:shd w:fill="FFFFFF" w:val="clear"/>
            <w:tcMar>
              <w:top w:type="dxa" w:w="70"/>
              <w:left w:type="dxa" w:w="110"/>
              <w:bottom w:type="dxa" w:w="70"/>
              <w:right w:type="dxa" w:w="110"/>
            </w:tcMar>
          </w:tcPr>
          <w:p>
            <w:pPr>
              <w:spacing w:line="312"/>
              <w:jc w:val="left"/>
            </w:pPr>
            <w:r>
              <w:rPr>
                <w:rFonts w:ascii="Times New Roman" w:eastAsia="SimSun" w:hAnsi="Times New Roman"/>
                <w:b w:val="false"/>
                <w:bCs w:val="false"/>
                <w:color w:val="000000"/>
                <w:sz w:val="21"/>
                <w:szCs w:val="21"/>
              </w:rPr>
              <w:t xml:space="preserve">5 per 12 months, 8 lifetime</w:t>
            </w:r>
          </w:p>
        </w:tc>
        <w:tc>
          <w:tcPr>
            <w:tcW w:type="pct" w:w="19%"/>
            <w:shd w:fill="FFFFFF" w:val="clear"/>
            <w:tcMar>
              <w:top w:type="dxa" w:w="70"/>
              <w:left w:type="dxa" w:w="110"/>
              <w:bottom w:type="dxa" w:w="70"/>
              <w:right w:type="dxa" w:w="110"/>
            </w:tcMar>
          </w:tcPr>
          <w:p>
            <w:pPr>
              <w:spacing w:line="312"/>
              <w:jc w:val="left"/>
            </w:pPr>
            <w:r>
              <w:rPr>
                <w:rFonts w:ascii="Times New Roman" w:eastAsia="SimSun" w:hAnsi="Times New Roman"/>
                <w:b w:val="false"/>
                <w:bCs w:val="false"/>
                <w:color w:val="000000"/>
                <w:sz w:val="21"/>
                <w:szCs w:val="21"/>
              </w:rPr>
              <w:t xml:space="preserve">No formal cap</w:t>
            </w:r>
          </w:p>
        </w:tc>
        <w:tc>
          <w:tcPr>
            <w:tcW w:type="pct" w:w="20%"/>
            <w:shd w:fill="FFFFFF" w:val="clear"/>
            <w:tcMar>
              <w:top w:type="dxa" w:w="70"/>
              <w:left w:type="dxa" w:w="110"/>
              <w:bottom w:type="dxa" w:w="70"/>
              <w:right w:type="dxa" w:w="110"/>
            </w:tcMar>
          </w:tcPr>
          <w:p>
            <w:pPr>
              <w:spacing w:line="312"/>
              <w:jc w:val="left"/>
            </w:pPr>
            <w:r>
              <w:rPr>
                <w:rFonts w:ascii="Times New Roman" w:eastAsia="SimSun" w:hAnsi="Times New Roman"/>
                <w:b w:val="false"/>
                <w:bCs w:val="false"/>
                <w:color w:val="000000"/>
                <w:sz w:val="21"/>
                <w:szCs w:val="21"/>
              </w:rPr>
              <w:t xml:space="preserve">No formal cap</w:t>
            </w:r>
          </w:p>
        </w:tc>
      </w:tr>
      <w:tr>
        <w:trPr>
          <w:cantSplit/>
        </w:trPr>
        <w:tc>
          <w:tcPr>
            <w:tcW w:type="pct" w:w="22%"/>
            <w:shd w:fill="EDF3F8" w:val="clear"/>
            <w:tcMar>
              <w:top w:type="dxa" w:w="70"/>
              <w:left w:type="dxa" w:w="110"/>
              <w:bottom w:type="dxa" w:w="70"/>
              <w:right w:type="dxa" w:w="110"/>
            </w:tcMar>
          </w:tcPr>
          <w:p>
            <w:pPr>
              <w:spacing w:line="312"/>
              <w:jc w:val="left"/>
            </w:pPr>
            <w:r>
              <w:rPr>
                <w:rFonts w:ascii="Times New Roman" w:eastAsia="SimSun" w:hAnsi="Times New Roman"/>
                <w:b w:val="false"/>
                <w:bCs w:val="false"/>
                <w:color w:val="000000"/>
                <w:sz w:val="21"/>
                <w:szCs w:val="21"/>
              </w:rPr>
              <w:t xml:space="preserve">Score validity</w:t>
            </w:r>
          </w:p>
        </w:tc>
        <w:tc>
          <w:tcPr>
            <w:tcW w:type="pct" w:w="19%"/>
            <w:shd w:fill="EDF3F8" w:val="clear"/>
            <w:tcMar>
              <w:top w:type="dxa" w:w="70"/>
              <w:left w:type="dxa" w:w="110"/>
              <w:bottom w:type="dxa" w:w="70"/>
              <w:right w:type="dxa" w:w="110"/>
            </w:tcMar>
          </w:tcPr>
          <w:p>
            <w:pPr>
              <w:spacing w:line="312"/>
              <w:jc w:val="left"/>
            </w:pPr>
            <w:r>
              <w:rPr>
                <w:rFonts w:ascii="Times New Roman" w:eastAsia="SimSun" w:hAnsi="Times New Roman"/>
                <w:b w:val="false"/>
                <w:bCs w:val="false"/>
                <w:color w:val="000000"/>
                <w:sz w:val="21"/>
                <w:szCs w:val="21"/>
              </w:rPr>
              <w:t xml:space="preserve">5 years</w:t>
            </w:r>
          </w:p>
        </w:tc>
        <w:tc>
          <w:tcPr>
            <w:tcW w:type="pct" w:w="20%"/>
            <w:shd w:fill="EDF3F8" w:val="clear"/>
            <w:tcMar>
              <w:top w:type="dxa" w:w="70"/>
              <w:left w:type="dxa" w:w="110"/>
              <w:bottom w:type="dxa" w:w="70"/>
              <w:right w:type="dxa" w:w="110"/>
            </w:tcMar>
          </w:tcPr>
          <w:p>
            <w:pPr>
              <w:spacing w:line="312"/>
              <w:jc w:val="left"/>
            </w:pPr>
            <w:r>
              <w:rPr>
                <w:rFonts w:ascii="Times New Roman" w:eastAsia="SimSun" w:hAnsi="Times New Roman"/>
                <w:b w:val="false"/>
                <w:bCs w:val="false"/>
                <w:color w:val="000000"/>
                <w:sz w:val="21"/>
                <w:szCs w:val="21"/>
              </w:rPr>
              <w:t xml:space="preserve">5 years</w:t>
            </w:r>
          </w:p>
        </w:tc>
        <w:tc>
          <w:tcPr>
            <w:tcW w:type="pct" w:w="19%"/>
            <w:shd w:fill="EDF3F8" w:val="clear"/>
            <w:tcMar>
              <w:top w:type="dxa" w:w="70"/>
              <w:left w:type="dxa" w:w="110"/>
              <w:bottom w:type="dxa" w:w="70"/>
              <w:right w:type="dxa" w:w="110"/>
            </w:tcMar>
          </w:tcPr>
          <w:p>
            <w:pPr>
              <w:spacing w:line="312"/>
              <w:jc w:val="left"/>
            </w:pPr>
            <w:r>
              <w:rPr>
                <w:rFonts w:ascii="Times New Roman" w:eastAsia="SimSun" w:hAnsi="Times New Roman"/>
                <w:b w:val="false"/>
                <w:bCs w:val="false"/>
                <w:color w:val="000000"/>
                <w:sz w:val="21"/>
                <w:szCs w:val="21"/>
              </w:rPr>
              <w:t xml:space="preserve">2 years</w:t>
            </w:r>
          </w:p>
        </w:tc>
        <w:tc>
          <w:tcPr>
            <w:tcW w:type="pct" w:w="20%"/>
            <w:shd w:fill="EDF3F8" w:val="clear"/>
            <w:tcMar>
              <w:top w:type="dxa" w:w="70"/>
              <w:left w:type="dxa" w:w="110"/>
              <w:bottom w:type="dxa" w:w="70"/>
              <w:right w:type="dxa" w:w="110"/>
            </w:tcMar>
          </w:tcPr>
          <w:p>
            <w:pPr>
              <w:spacing w:line="312"/>
              <w:jc w:val="left"/>
            </w:pPr>
            <w:r>
              <w:rPr>
                <w:rFonts w:ascii="Times New Roman" w:eastAsia="SimSun" w:hAnsi="Times New Roman"/>
                <w:b w:val="false"/>
                <w:bCs w:val="false"/>
                <w:color w:val="000000"/>
                <w:sz w:val="21"/>
                <w:szCs w:val="21"/>
              </w:rPr>
              <w:t xml:space="preserve">2 years</w:t>
            </w:r>
          </w:p>
        </w:tc>
      </w:tr>
      <w:tr>
        <w:trPr>
          <w:cantSplit/>
        </w:trPr>
        <w:tc>
          <w:tcPr>
            <w:tcW w:type="pct" w:w="22%"/>
            <w:shd w:fill="FFFFFF" w:val="clear"/>
            <w:tcMar>
              <w:top w:type="dxa" w:w="70"/>
              <w:left w:type="dxa" w:w="110"/>
              <w:bottom w:type="dxa" w:w="70"/>
              <w:right w:type="dxa" w:w="110"/>
            </w:tcMar>
          </w:tcPr>
          <w:p>
            <w:pPr>
              <w:spacing w:line="312"/>
              <w:jc w:val="left"/>
            </w:pPr>
            <w:r>
              <w:rPr>
                <w:rFonts w:ascii="Times New Roman" w:eastAsia="SimSun" w:hAnsi="Times New Roman"/>
                <w:b w:val="false"/>
                <w:bCs w:val="false"/>
                <w:color w:val="000000"/>
                <w:sz w:val="21"/>
                <w:szCs w:val="21"/>
              </w:rPr>
              <w:t xml:space="preserve">Partial retake</w:t>
            </w:r>
          </w:p>
        </w:tc>
        <w:tc>
          <w:tcPr>
            <w:tcW w:type="pct" w:w="19%"/>
            <w:shd w:fill="FFFFFF" w:val="clear"/>
            <w:tcMar>
              <w:top w:type="dxa" w:w="70"/>
              <w:left w:type="dxa" w:w="110"/>
              <w:bottom w:type="dxa" w:w="70"/>
              <w:right w:type="dxa" w:w="110"/>
            </w:tcMar>
          </w:tcPr>
          <w:p>
            <w:pPr>
              <w:spacing w:line="312"/>
              <w:jc w:val="left"/>
            </w:pPr>
            <w:r>
              <w:rPr>
                <w:rFonts w:ascii="Times New Roman" w:eastAsia="SimSun" w:hAnsi="Times New Roman"/>
                <w:b w:val="false"/>
                <w:bCs w:val="false"/>
                <w:color w:val="000000"/>
                <w:sz w:val="21"/>
                <w:szCs w:val="21"/>
              </w:rPr>
              <w:t xml:space="preserve">Not offered</w:t>
            </w:r>
          </w:p>
        </w:tc>
        <w:tc>
          <w:tcPr>
            <w:tcW w:type="pct" w:w="20%"/>
            <w:shd w:fill="FFFFFF" w:val="clear"/>
            <w:tcMar>
              <w:top w:type="dxa" w:w="70"/>
              <w:left w:type="dxa" w:w="110"/>
              <w:bottom w:type="dxa" w:w="70"/>
              <w:right w:type="dxa" w:w="110"/>
            </w:tcMar>
          </w:tcPr>
          <w:p>
            <w:pPr>
              <w:spacing w:line="312"/>
              <w:jc w:val="left"/>
            </w:pPr>
            <w:r>
              <w:rPr>
                <w:rFonts w:ascii="Times New Roman" w:eastAsia="SimSun" w:hAnsi="Times New Roman"/>
                <w:b w:val="false"/>
                <w:bCs w:val="false"/>
                <w:color w:val="000000"/>
                <w:sz w:val="21"/>
                <w:szCs w:val="21"/>
              </w:rPr>
              <w:t xml:space="preserve">Not offered</w:t>
            </w:r>
          </w:p>
        </w:tc>
        <w:tc>
          <w:tcPr>
            <w:tcW w:type="pct" w:w="19%"/>
            <w:shd w:fill="FFFFFF" w:val="clear"/>
            <w:tcMar>
              <w:top w:type="dxa" w:w="70"/>
              <w:left w:type="dxa" w:w="110"/>
              <w:bottom w:type="dxa" w:w="70"/>
              <w:right w:type="dxa" w:w="110"/>
            </w:tcMar>
          </w:tcPr>
          <w:p>
            <w:pPr>
              <w:spacing w:line="312"/>
              <w:jc w:val="left"/>
            </w:pPr>
            <w:r>
              <w:rPr>
                <w:rFonts w:ascii="Times New Roman" w:eastAsia="SimSun" w:hAnsi="Times New Roman"/>
                <w:b w:val="false"/>
                <w:bCs w:val="false"/>
                <w:color w:val="000000"/>
                <w:sz w:val="21"/>
                <w:szCs w:val="21"/>
              </w:rPr>
              <w:t xml:space="preserve">Not offered</w:t>
            </w:r>
          </w:p>
        </w:tc>
        <w:tc>
          <w:tcPr>
            <w:tcW w:type="pct" w:w="20%"/>
            <w:shd w:fill="FFFFFF" w:val="clear"/>
            <w:tcMar>
              <w:top w:type="dxa" w:w="70"/>
              <w:left w:type="dxa" w:w="110"/>
              <w:bottom w:type="dxa" w:w="70"/>
              <w:right w:type="dxa" w:w="110"/>
            </w:tcMar>
          </w:tcPr>
          <w:p>
            <w:pPr>
              <w:spacing w:line="312"/>
              <w:jc w:val="left"/>
            </w:pPr>
            <w:r>
              <w:rPr>
                <w:rFonts w:ascii="Times New Roman" w:eastAsia="SimSun" w:hAnsi="Times New Roman"/>
                <w:b w:val="false"/>
                <w:bCs w:val="false"/>
                <w:color w:val="000000"/>
                <w:sz w:val="21"/>
                <w:szCs w:val="21"/>
              </w:rPr>
              <w:t xml:space="preserve">One Skill Retake where available (computer-delivered)</w:t>
            </w:r>
          </w:p>
        </w:tc>
      </w:tr>
      <w:tr>
        <w:trPr>
          <w:cantSplit/>
        </w:trPr>
        <w:tc>
          <w:tcPr>
            <w:tcW w:type="pct" w:w="22%"/>
            <w:shd w:fill="EDF3F8" w:val="clear"/>
            <w:tcMar>
              <w:top w:type="dxa" w:w="70"/>
              <w:left w:type="dxa" w:w="110"/>
              <w:bottom w:type="dxa" w:w="70"/>
              <w:right w:type="dxa" w:w="110"/>
            </w:tcMar>
          </w:tcPr>
          <w:p>
            <w:pPr>
              <w:spacing w:line="312"/>
              <w:jc w:val="left"/>
            </w:pPr>
            <w:r>
              <w:rPr>
                <w:rFonts w:ascii="Times New Roman" w:eastAsia="SimSun" w:hAnsi="Times New Roman"/>
                <w:b w:val="false"/>
                <w:bCs w:val="false"/>
                <w:color w:val="000000"/>
                <w:sz w:val="21"/>
                <w:szCs w:val="21"/>
              </w:rPr>
              <w:t xml:space="preserve">Best-score reporting</w:t>
            </w:r>
          </w:p>
        </w:tc>
        <w:tc>
          <w:tcPr>
            <w:tcW w:type="pct" w:w="19%"/>
            <w:shd w:fill="EDF3F8" w:val="clear"/>
            <w:tcMar>
              <w:top w:type="dxa" w:w="70"/>
              <w:left w:type="dxa" w:w="110"/>
              <w:bottom w:type="dxa" w:w="70"/>
              <w:right w:type="dxa" w:w="110"/>
            </w:tcMar>
          </w:tcPr>
          <w:p>
            <w:pPr>
              <w:spacing w:line="312"/>
              <w:jc w:val="left"/>
            </w:pPr>
            <w:r>
              <w:rPr>
                <w:rFonts w:ascii="Times New Roman" w:eastAsia="SimSun" w:hAnsi="Times New Roman"/>
                <w:b w:val="false"/>
                <w:bCs w:val="false"/>
                <w:color w:val="000000"/>
                <w:sz w:val="21"/>
                <w:szCs w:val="21"/>
              </w:rPr>
              <w:t xml:space="preserve">ScoreSelect: send chosen attempts</w:t>
            </w:r>
          </w:p>
        </w:tc>
        <w:tc>
          <w:tcPr>
            <w:tcW w:type="pct" w:w="20%"/>
            <w:shd w:fill="EDF3F8" w:val="clear"/>
            <w:tcMar>
              <w:top w:type="dxa" w:w="70"/>
              <w:left w:type="dxa" w:w="110"/>
              <w:bottom w:type="dxa" w:w="70"/>
              <w:right w:type="dxa" w:w="110"/>
            </w:tcMar>
          </w:tcPr>
          <w:p>
            <w:pPr>
              <w:spacing w:line="312"/>
              <w:jc w:val="left"/>
            </w:pPr>
            <w:r>
              <w:rPr>
                <w:rFonts w:ascii="Times New Roman" w:eastAsia="SimSun" w:hAnsi="Times New Roman"/>
                <w:b w:val="false"/>
                <w:bCs w:val="false"/>
                <w:color w:val="000000"/>
                <w:sz w:val="21"/>
                <w:szCs w:val="21"/>
              </w:rPr>
              <w:t xml:space="preserve">Send chosen scores</w:t>
            </w:r>
          </w:p>
        </w:tc>
        <w:tc>
          <w:tcPr>
            <w:tcW w:type="pct" w:w="19%"/>
            <w:shd w:fill="EDF3F8" w:val="clear"/>
            <w:tcMar>
              <w:top w:type="dxa" w:w="70"/>
              <w:left w:type="dxa" w:w="110"/>
              <w:bottom w:type="dxa" w:w="70"/>
              <w:right w:type="dxa" w:w="110"/>
            </w:tcMar>
          </w:tcPr>
          <w:p>
            <w:pPr>
              <w:spacing w:line="312"/>
              <w:jc w:val="left"/>
            </w:pPr>
            <w:r>
              <w:rPr>
                <w:rFonts w:ascii="Times New Roman" w:eastAsia="SimSun" w:hAnsi="Times New Roman"/>
                <w:b w:val="false"/>
                <w:bCs w:val="false"/>
                <w:color w:val="000000"/>
                <w:sz w:val="21"/>
                <w:szCs w:val="21"/>
              </w:rPr>
              <w:t xml:space="preserve">MyBest scores; some programs require single-date</w:t>
            </w:r>
          </w:p>
        </w:tc>
        <w:tc>
          <w:tcPr>
            <w:tcW w:type="pct" w:w="20%"/>
            <w:shd w:fill="EDF3F8" w:val="clear"/>
            <w:tcMar>
              <w:top w:type="dxa" w:w="70"/>
              <w:left w:type="dxa" w:w="110"/>
              <w:bottom w:type="dxa" w:w="70"/>
              <w:right w:type="dxa" w:w="110"/>
            </w:tcMar>
          </w:tcPr>
          <w:p>
            <w:pPr>
              <w:spacing w:line="312"/>
              <w:jc w:val="left"/>
            </w:pPr>
            <w:r>
              <w:rPr>
                <w:rFonts w:ascii="Times New Roman" w:eastAsia="SimSun" w:hAnsi="Times New Roman"/>
                <w:b w:val="false"/>
                <w:bCs w:val="false"/>
                <w:color w:val="000000"/>
                <w:sz w:val="21"/>
                <w:szCs w:val="21"/>
              </w:rPr>
              <w:t xml:space="preserve">All attempts visible if institution asks; new TRF per attempt</w:t>
            </w:r>
          </w:p>
        </w:tc>
      </w:tr>
    </w:tbl>
    <w:p>
      <w:pPr>
        <w:keepNext w:val="false"/>
        <w:spacing w:after="140" w:line="312"/>
        <w:jc w:val="both"/>
      </w:pPr>
      <w:r>
        <w:rPr>
          <w:rFonts w:ascii="Times New Roman" w:eastAsia="SimSun" w:hAnsi="Times New Roman"/>
          <w:b w:val="false"/>
          <w:bCs w:val="false"/>
          <w:color w:val="000000"/>
          <w:sz w:val="24"/>
          <w:szCs w:val="24"/>
        </w:rPr>
        <w:t xml:space="preserve">Strategically, two to three attempts per exam is the realistic norm: score research consistently shows most of the achievable gain arrives by the second or third sitting, after which additional attempts mostly purchase reassurance. Because ScoreSelect-type rules mean a weak attempt can be withheld from programs, there is little downside risk to a planned retake, apart from the fee and the calendar time, which is exactly why the roadmap in Chapter 8 leaves a retake window before deadlines.</w:t>
      </w:r>
    </w:p>
    <w:p>
      <w:pPr>
        <w:pStyle w:val="Heading2"/>
        <w:keepNext/>
        <w:spacing w:after="120" w:before="260" w:line="340" w:lineRule="atLeast"/>
      </w:pPr>
      <w:bookmarkStart w:id="100038" w:name="_Toc100038"/>
      <w:r>
        <w:rPr>
          <w:rFonts w:ascii="Times New Roman" w:eastAsia="SimHei" w:hAnsi="Times New Roman"/>
          <w:b/>
          <w:bCs/>
          <w:color w:val="1A5276"/>
          <w:sz w:val="28"/>
          <w:szCs w:val="28"/>
        </w:rPr>
        <w:t xml:space="preserve">7.2 Accommodations for Disabilities and Health Conditions</w:t>
      </w:r>
      <w:bookmarkEnd w:id="100038"/>
    </w:p>
    <w:p>
      <w:pPr>
        <w:keepNext w:val="false"/>
        <w:spacing w:after="140" w:line="312"/>
        <w:jc w:val="both"/>
      </w:pPr>
      <w:r>
        <w:rPr>
          <w:rFonts w:ascii="Times New Roman" w:eastAsia="SimSun" w:hAnsi="Times New Roman"/>
          <w:b w:val="false"/>
          <w:bCs w:val="false"/>
          <w:color w:val="000000"/>
          <w:sz w:val="24"/>
          <w:szCs w:val="24"/>
        </w:rPr>
        <w:t xml:space="preserve">All four providers supply testing accommodations for documented disabilities and health conditions, including extended time, extra breaks, screen magnification, screen readers, and separate rooms. The process runs through the provider's accommodations office (ETS Disability Services for the GRE and TOEFL, GMAC for the GMAT, and the local British Council or IDP accommodations team for IELTS) and requires documentation from a qualified professional submitted well in advance, often four to twelve weeks before the intended date. Accommodations are approved before booking, not after, so applicants who need them should start the paperwork before choosing a test date, and should confirm that the approved accommodation is honored identically in at-home delivery if that is the preferred mode.</w:t>
      </w:r>
    </w:p>
    <w:p>
      <w:pPr>
        <w:pStyle w:val="Heading2"/>
        <w:keepNext/>
        <w:spacing w:after="120" w:before="260" w:line="340" w:lineRule="atLeast"/>
      </w:pPr>
      <w:bookmarkStart w:id="100039" w:name="_Toc100039"/>
      <w:r>
        <w:rPr>
          <w:rFonts w:ascii="Times New Roman" w:eastAsia="SimHei" w:hAnsi="Times New Roman"/>
          <w:b/>
          <w:bCs/>
          <w:color w:val="1A5276"/>
          <w:sz w:val="28"/>
          <w:szCs w:val="28"/>
        </w:rPr>
        <w:t xml:space="preserve">7.3 Common Mistakes and How to Avoid Them</w:t>
      </w:r>
      <w:bookmarkEnd w:id="100039"/>
    </w:p>
    <w:p>
      <w:pPr>
        <w:keepNext w:val="false"/>
        <w:spacing w:after="140" w:line="312"/>
        <w:jc w:val="both"/>
      </w:pPr>
      <w:r>
        <w:rPr>
          <w:rFonts w:ascii="Times New Roman" w:eastAsia="SimSun" w:hAnsi="Times New Roman"/>
          <w:b w:val="false"/>
          <w:bCs w:val="false"/>
          <w:color w:val="000000"/>
          <w:sz w:val="24"/>
          <w:szCs w:val="24"/>
        </w:rPr>
        <w:t xml:space="preserve">The following failures appear so regularly in candidate forums and advising centers that they deserve explicit listing. Each is entirely preventable with attention at registration or planning time.</w:t>
      </w:r>
    </w:p>
    <w:p>
      <w:pPr>
        <w:pStyle w:val="ListParagraph"/>
        <w:numPr>
          <w:ilvl w:val="0"/>
          <w:numId w:val="1"/>
        </w:numPr>
        <w:spacing w:after="80" w:line="312"/>
        <w:jc w:val="left"/>
      </w:pPr>
      <w:r>
        <w:rPr>
          <w:rFonts w:ascii="Times New Roman" w:eastAsia="SimSun" w:hAnsi="Times New Roman"/>
          <w:b/>
          <w:bCs/>
          <w:color w:val="000000"/>
          <w:sz w:val="24"/>
          <w:szCs w:val="24"/>
        </w:rPr>
        <w:t xml:space="preserve">Name mismatches</w:t>
      </w:r>
      <w:r>
        <w:rPr>
          <w:rFonts w:ascii="Times New Roman" w:eastAsia="SimSun" w:hAnsi="Times New Roman"/>
          <w:b w:val="false"/>
          <w:bCs w:val="false"/>
          <w:color w:val="000000"/>
          <w:sz w:val="24"/>
          <w:szCs w:val="24"/>
        </w:rPr>
        <w:t xml:space="preserve">: the account name, ID document and score report must match exactly; even a transposed name order can invalidate a test result or block score delivery.</w:t>
      </w:r>
    </w:p>
    <w:p>
      <w:pPr>
        <w:pStyle w:val="ListParagraph"/>
        <w:numPr>
          <w:ilvl w:val="0"/>
          <w:numId w:val="1"/>
        </w:numPr>
        <w:spacing w:after="80" w:line="312"/>
        <w:jc w:val="left"/>
      </w:pPr>
      <w:r>
        <w:rPr>
          <w:rFonts w:ascii="Times New Roman" w:eastAsia="SimSun" w:hAnsi="Times New Roman"/>
          <w:b/>
          <w:bCs/>
          <w:color w:val="000000"/>
          <w:sz w:val="24"/>
          <w:szCs w:val="24"/>
        </w:rPr>
        <w:t xml:space="preserve">Booking too late</w:t>
      </w:r>
      <w:r>
        <w:rPr>
          <w:rFonts w:ascii="Times New Roman" w:eastAsia="SimSun" w:hAnsi="Times New Roman"/>
          <w:b w:val="false"/>
          <w:bCs w:val="false"/>
          <w:color w:val="000000"/>
          <w:sz w:val="24"/>
          <w:szCs w:val="24"/>
        </w:rPr>
        <w:t xml:space="preserve">: seats in high-demand cities and seasons disappear weeks ahead; a missed preferred date compresses the retake window to nothing.</w:t>
      </w:r>
    </w:p>
    <w:p>
      <w:pPr>
        <w:pStyle w:val="ListParagraph"/>
        <w:numPr>
          <w:ilvl w:val="0"/>
          <w:numId w:val="1"/>
        </w:numPr>
        <w:spacing w:after="80" w:line="312"/>
        <w:jc w:val="left"/>
      </w:pPr>
      <w:r>
        <w:rPr>
          <w:rFonts w:ascii="Times New Roman" w:eastAsia="SimSun" w:hAnsi="Times New Roman"/>
          <w:b/>
          <w:bCs/>
          <w:color w:val="000000"/>
          <w:sz w:val="24"/>
          <w:szCs w:val="24"/>
        </w:rPr>
        <w:t xml:space="preserve">Ignoring section minimums</w:t>
      </w:r>
      <w:r>
        <w:rPr>
          <w:rFonts w:ascii="Times New Roman" w:eastAsia="SimSun" w:hAnsi="Times New Roman"/>
          <w:b w:val="false"/>
          <w:bCs w:val="false"/>
          <w:color w:val="000000"/>
          <w:sz w:val="24"/>
          <w:szCs w:val="24"/>
        </w:rPr>
        <w:t xml:space="preserve">: an overall 7.0 IELTS with Writing 5.5 fails programs requiring 6.0 per band, and a GRE total without the required Quantitative floor does the same.</w:t>
      </w:r>
    </w:p>
    <w:p>
      <w:pPr>
        <w:pStyle w:val="ListParagraph"/>
        <w:numPr>
          <w:ilvl w:val="0"/>
          <w:numId w:val="1"/>
        </w:numPr>
        <w:spacing w:after="80" w:line="312"/>
        <w:jc w:val="left"/>
      </w:pPr>
      <w:r>
        <w:rPr>
          <w:rFonts w:ascii="Times New Roman" w:eastAsia="SimSun" w:hAnsi="Times New Roman"/>
          <w:b/>
          <w:bCs/>
          <w:color w:val="000000"/>
          <w:sz w:val="24"/>
          <w:szCs w:val="24"/>
        </w:rPr>
        <w:t xml:space="preserve">Letting scores expire</w:t>
      </w:r>
      <w:r>
        <w:rPr>
          <w:rFonts w:ascii="Times New Roman" w:eastAsia="SimSun" w:hAnsi="Times New Roman"/>
          <w:b w:val="false"/>
          <w:bCs w:val="false"/>
          <w:color w:val="000000"/>
          <w:sz w:val="24"/>
          <w:szCs w:val="24"/>
        </w:rPr>
        <w:t xml:space="preserve">: TOEFL and IELTS validity is counted at application; a test taken 25 months before enrollment is already dead paperwork.</w:t>
      </w:r>
    </w:p>
    <w:p>
      <w:pPr>
        <w:pStyle w:val="ListParagraph"/>
        <w:numPr>
          <w:ilvl w:val="0"/>
          <w:numId w:val="1"/>
        </w:numPr>
        <w:spacing w:after="80" w:line="312"/>
        <w:jc w:val="left"/>
      </w:pPr>
      <w:r>
        <w:rPr>
          <w:rFonts w:ascii="Times New Roman" w:eastAsia="SimSun" w:hAnsi="Times New Roman"/>
          <w:b/>
          <w:bCs/>
          <w:color w:val="000000"/>
          <w:sz w:val="24"/>
          <w:szCs w:val="24"/>
        </w:rPr>
        <w:t xml:space="preserve">Preparing on the wrong format</w:t>
      </w:r>
      <w:r>
        <w:rPr>
          <w:rFonts w:ascii="Times New Roman" w:eastAsia="SimSun" w:hAnsi="Times New Roman"/>
          <w:b w:val="false"/>
          <w:bCs w:val="false"/>
          <w:color w:val="000000"/>
          <w:sz w:val="24"/>
          <w:szCs w:val="24"/>
        </w:rPr>
        <w:t xml:space="preserve">: drilling paper-based IELTS when you booked computer-delivered, or practicing without the online whiteboard you will use on an at-home GMAT, costs real points on exam day.</w:t>
      </w:r>
    </w:p>
    <w:p>
      <w:pPr>
        <w:pStyle w:val="ListParagraph"/>
        <w:numPr>
          <w:ilvl w:val="0"/>
          <w:numId w:val="1"/>
        </w:numPr>
        <w:spacing w:after="80" w:line="312"/>
        <w:jc w:val="left"/>
      </w:pPr>
      <w:r>
        <w:rPr>
          <w:rFonts w:ascii="Times New Roman" w:eastAsia="SimSun" w:hAnsi="Times New Roman"/>
          <w:b/>
          <w:bCs/>
          <w:color w:val="000000"/>
          <w:sz w:val="24"/>
          <w:szCs w:val="24"/>
        </w:rPr>
        <w:t xml:space="preserve">Skipping the free reporting</w:t>
      </w:r>
      <w:r>
        <w:rPr>
          <w:rFonts w:ascii="Times New Roman" w:eastAsia="SimSun" w:hAnsi="Times New Roman"/>
          <w:b w:val="false"/>
          <w:bCs w:val="false"/>
          <w:color w:val="000000"/>
          <w:sz w:val="24"/>
          <w:szCs w:val="24"/>
        </w:rPr>
        <w:t xml:space="preserve">: free score reports are only available at or immediately around the test; forgetting them turns every later report into a fee.</w:t>
      </w:r>
    </w:p>
    <w:p>
      <w:pPr>
        <w:pStyle w:val="Heading1"/>
        <w:keepNext/>
        <w:spacing w:after="160" w:before="360" w:line="380" w:lineRule="atLeast"/>
      </w:pPr>
      <w:bookmarkStart w:id="100040" w:name="_Toc100040"/>
      <w:r>
        <w:rPr>
          <w:rFonts w:ascii="Times New Roman" w:eastAsia="SimHei" w:hAnsi="Times New Roman"/>
          <w:b/>
          <w:bCs/>
          <w:color w:val="1A5276"/>
          <w:sz w:val="32"/>
          <w:szCs w:val="32"/>
        </w:rPr>
        <w:t xml:space="preserve">8. Building Your Personal Testing Roadmap</w:t>
      </w:r>
      <w:bookmarkEnd w:id="100040"/>
    </w:p>
    <w:p>
      <w:pPr>
        <w:pStyle w:val="Heading2"/>
        <w:keepNext/>
        <w:spacing w:after="120" w:before="260" w:line="340" w:lineRule="atLeast"/>
      </w:pPr>
      <w:bookmarkStart w:id="100041" w:name="_Toc100041"/>
      <w:r>
        <w:rPr>
          <w:rFonts w:ascii="Times New Roman" w:eastAsia="SimHei" w:hAnsi="Times New Roman"/>
          <w:b/>
          <w:bCs/>
          <w:color w:val="1A5276"/>
          <w:sz w:val="28"/>
          <w:szCs w:val="28"/>
        </w:rPr>
        <w:t xml:space="preserve">8.1 A Twelve-Month Plan Working Backwards from Deadlines</w:t>
      </w:r>
      <w:bookmarkEnd w:id="100041"/>
    </w:p>
    <w:p>
      <w:pPr>
        <w:keepNext/>
        <w:spacing w:after="140" w:line="312"/>
        <w:jc w:val="both"/>
      </w:pPr>
      <w:r>
        <w:rPr>
          <w:rFonts w:ascii="Times New Roman" w:eastAsia="SimSun" w:hAnsi="Times New Roman"/>
          <w:b w:val="false"/>
          <w:bCs w:val="false"/>
          <w:color w:val="000000"/>
          <w:sz w:val="24"/>
          <w:szCs w:val="24"/>
        </w:rPr>
        <w:t xml:space="preserve">Most scholarship deadlines cluster between September and January for enrollment the following autumn, which makes the twelve months before that window the natural testing period. The plan below assumes exactly that calendar; compress or stretch the phases proportionally if your deadlines differ. The guiding logic is fixed: English first in light preparation terms but not too early given the two-year validity, aptitude test in the middle with a retake cushion, and a fully free reporting strategy chosen before test days.</w:t>
      </w:r>
    </w:p>
    <w:p>
      <w:pPr>
        <w:keepNext/>
        <w:spacing w:after="80" w:before="160" w:line="312"/>
      </w:pPr>
      <w:r>
        <w:rPr>
          <w:rFonts w:ascii="Times New Roman" w:eastAsia="SimSun" w:hAnsi="Times New Roman"/>
          <w:b/>
          <w:bCs/>
          <w:color w:val="1A5276"/>
          <w:sz w:val="21"/>
          <w:szCs w:val="21"/>
        </w:rPr>
        <w:t xml:space="preserve">Table 10: </w:t>
      </w:r>
      <w:r>
        <w:rPr>
          <w:rFonts w:ascii="Times New Roman" w:eastAsia="SimSun" w:hAnsi="Times New Roman"/>
          <w:b/>
          <w:bCs/>
          <w:color w:val="000000"/>
          <w:sz w:val="21"/>
          <w:szCs w:val="21"/>
        </w:rPr>
        <w:t xml:space="preserve">Recommended twelve-month testing and application timeline</w:t>
      </w:r>
    </w:p>
    <w:tbl>
      <w:tblPr>
        <w:tblW w:type="pct" w:w="100%"/>
        <w:tblBorders>
          <w:top w:val="single" w:color="1A5276" w:sz="6"/>
          <w:left w:val="none" w:color="FFFFFF" w:sz="0"/>
          <w:bottom w:val="single" w:color="1A5276" w:sz="6"/>
          <w:right w:val="none" w:color="FFFFFF" w:sz="0"/>
          <w:insideH w:val="single" w:color="D0DDE8" w:sz="2"/>
          <w:insideV w:val="none" w:color="FFFFFF" w:sz="0"/>
        </w:tblBorders>
      </w:tblPr>
      <w:tblGrid>
        <w:gridCol w:w="100"/>
        <w:gridCol w:w="100"/>
        <w:gridCol w:w="100"/>
      </w:tblGrid>
      <w:tr>
        <w:trPr>
          <w:cantSplit/>
          <w:tblHeader/>
        </w:trPr>
        <w:tc>
          <w:tcPr>
            <w:tcW w:type="pct" w:w="16%"/>
            <w:shd w:fill="2E86C1" w:val="clear"/>
            <w:tcMar>
              <w:top w:type="dxa" w:w="70"/>
              <w:left w:type="dxa" w:w="110"/>
              <w:bottom w:type="dxa" w:w="70"/>
              <w:right w:type="dxa" w:w="110"/>
            </w:tcMar>
          </w:tcPr>
          <w:p>
            <w:pPr>
              <w:spacing w:line="312"/>
              <w:jc w:val="left"/>
            </w:pPr>
            <w:r>
              <w:rPr>
                <w:rFonts w:ascii="Times New Roman" w:eastAsia="SimSun" w:hAnsi="Times New Roman"/>
                <w:b/>
                <w:bCs/>
                <w:color w:val="FFFFFF"/>
                <w:sz w:val="21"/>
                <w:szCs w:val="21"/>
              </w:rPr>
              <w:t xml:space="preserve">Months before deadlines</w:t>
            </w:r>
          </w:p>
        </w:tc>
        <w:tc>
          <w:tcPr>
            <w:tcW w:type="pct" w:w="18%"/>
            <w:shd w:fill="2E86C1" w:val="clear"/>
            <w:tcMar>
              <w:top w:type="dxa" w:w="70"/>
              <w:left w:type="dxa" w:w="110"/>
              <w:bottom w:type="dxa" w:w="70"/>
              <w:right w:type="dxa" w:w="110"/>
            </w:tcMar>
          </w:tcPr>
          <w:p>
            <w:pPr>
              <w:spacing w:line="312"/>
              <w:jc w:val="left"/>
            </w:pPr>
            <w:r>
              <w:rPr>
                <w:rFonts w:ascii="Times New Roman" w:eastAsia="SimSun" w:hAnsi="Times New Roman"/>
                <w:b/>
                <w:bCs/>
                <w:color w:val="FFFFFF"/>
                <w:sz w:val="21"/>
                <w:szCs w:val="21"/>
              </w:rPr>
              <w:t xml:space="preserve">Phase</w:t>
            </w:r>
          </w:p>
        </w:tc>
        <w:tc>
          <w:tcPr>
            <w:tcW w:type="pct" w:w="66%"/>
            <w:shd w:fill="2E86C1" w:val="clear"/>
            <w:tcMar>
              <w:top w:type="dxa" w:w="70"/>
              <w:left w:type="dxa" w:w="110"/>
              <w:bottom w:type="dxa" w:w="70"/>
              <w:right w:type="dxa" w:w="110"/>
            </w:tcMar>
          </w:tcPr>
          <w:p>
            <w:pPr>
              <w:spacing w:line="312"/>
              <w:jc w:val="left"/>
            </w:pPr>
            <w:r>
              <w:rPr>
                <w:rFonts w:ascii="Times New Roman" w:eastAsia="SimSun" w:hAnsi="Times New Roman"/>
                <w:b/>
                <w:bCs/>
                <w:color w:val="FFFFFF"/>
                <w:sz w:val="21"/>
                <w:szCs w:val="21"/>
              </w:rPr>
              <w:t xml:space="preserve">Key actions</w:t>
            </w:r>
          </w:p>
        </w:tc>
      </w:tr>
      <w:tr>
        <w:trPr>
          <w:cantSplit/>
        </w:trPr>
        <w:tc>
          <w:tcPr>
            <w:tcW w:type="pct" w:w="16%"/>
            <w:shd w:fill="EDF3F8" w:val="clear"/>
            <w:tcMar>
              <w:top w:type="dxa" w:w="70"/>
              <w:left w:type="dxa" w:w="110"/>
              <w:bottom w:type="dxa" w:w="70"/>
              <w:right w:type="dxa" w:w="110"/>
            </w:tcMar>
          </w:tcPr>
          <w:p>
            <w:pPr>
              <w:spacing w:line="312"/>
              <w:jc w:val="left"/>
            </w:pPr>
            <w:r>
              <w:rPr>
                <w:rFonts w:ascii="Times New Roman" w:eastAsia="SimSun" w:hAnsi="Times New Roman"/>
                <w:b w:val="false"/>
                <w:bCs w:val="false"/>
                <w:color w:val="000000"/>
                <w:sz w:val="21"/>
                <w:szCs w:val="21"/>
              </w:rPr>
              <w:t xml:space="preserve">12-11</w:t>
            </w:r>
          </w:p>
        </w:tc>
        <w:tc>
          <w:tcPr>
            <w:tcW w:type="pct" w:w="18%"/>
            <w:shd w:fill="EDF3F8" w:val="clear"/>
            <w:tcMar>
              <w:top w:type="dxa" w:w="70"/>
              <w:left w:type="dxa" w:w="110"/>
              <w:bottom w:type="dxa" w:w="70"/>
              <w:right w:type="dxa" w:w="110"/>
            </w:tcMar>
          </w:tcPr>
          <w:p>
            <w:pPr>
              <w:spacing w:line="312"/>
              <w:jc w:val="left"/>
            </w:pPr>
            <w:r>
              <w:rPr>
                <w:rFonts w:ascii="Times New Roman" w:eastAsia="SimSun" w:hAnsi="Times New Roman"/>
                <w:b w:val="false"/>
                <w:bCs w:val="false"/>
                <w:color w:val="000000"/>
                <w:sz w:val="21"/>
                <w:szCs w:val="21"/>
              </w:rPr>
              <w:t xml:space="preserve">Research</w:t>
            </w:r>
          </w:p>
        </w:tc>
        <w:tc>
          <w:tcPr>
            <w:tcW w:type="pct" w:w="66%"/>
            <w:shd w:fill="EDF3F8" w:val="clear"/>
            <w:tcMar>
              <w:top w:type="dxa" w:w="70"/>
              <w:left w:type="dxa" w:w="110"/>
              <w:bottom w:type="dxa" w:w="70"/>
              <w:right w:type="dxa" w:w="110"/>
            </w:tcMar>
          </w:tcPr>
          <w:p>
            <w:pPr>
              <w:spacing w:line="312"/>
              <w:jc w:val="left"/>
            </w:pPr>
            <w:r>
              <w:rPr>
                <w:rFonts w:ascii="Times New Roman" w:eastAsia="SimSun" w:hAnsi="Times New Roman"/>
                <w:b w:val="false"/>
                <w:bCs w:val="false"/>
                <w:color w:val="000000"/>
                <w:sz w:val="21"/>
                <w:szCs w:val="21"/>
              </w:rPr>
              <w:t xml:space="preserve">Shortlist programs and scholarships; record every minimum, section floor and accepted test into one spreadsheet</w:t>
            </w:r>
          </w:p>
        </w:tc>
      </w:tr>
      <w:tr>
        <w:trPr>
          <w:cantSplit/>
        </w:trPr>
        <w:tc>
          <w:tcPr>
            <w:tcW w:type="pct" w:w="16%"/>
            <w:shd w:fill="FFFFFF" w:val="clear"/>
            <w:tcMar>
              <w:top w:type="dxa" w:w="70"/>
              <w:left w:type="dxa" w:w="110"/>
              <w:bottom w:type="dxa" w:w="70"/>
              <w:right w:type="dxa" w:w="110"/>
            </w:tcMar>
          </w:tcPr>
          <w:p>
            <w:pPr>
              <w:spacing w:line="312"/>
              <w:jc w:val="left"/>
            </w:pPr>
            <w:r>
              <w:rPr>
                <w:rFonts w:ascii="Times New Roman" w:eastAsia="SimSun" w:hAnsi="Times New Roman"/>
                <w:b w:val="false"/>
                <w:bCs w:val="false"/>
                <w:color w:val="000000"/>
                <w:sz w:val="21"/>
                <w:szCs w:val="21"/>
              </w:rPr>
              <w:t xml:space="preserve">11-10</w:t>
            </w:r>
          </w:p>
        </w:tc>
        <w:tc>
          <w:tcPr>
            <w:tcW w:type="pct" w:w="18%"/>
            <w:shd w:fill="FFFFFF" w:val="clear"/>
            <w:tcMar>
              <w:top w:type="dxa" w:w="70"/>
              <w:left w:type="dxa" w:w="110"/>
              <w:bottom w:type="dxa" w:w="70"/>
              <w:right w:type="dxa" w:w="110"/>
            </w:tcMar>
          </w:tcPr>
          <w:p>
            <w:pPr>
              <w:spacing w:line="312"/>
              <w:jc w:val="left"/>
            </w:pPr>
            <w:r>
              <w:rPr>
                <w:rFonts w:ascii="Times New Roman" w:eastAsia="SimSun" w:hAnsi="Times New Roman"/>
                <w:b w:val="false"/>
                <w:bCs w:val="false"/>
                <w:color w:val="000000"/>
                <w:sz w:val="21"/>
                <w:szCs w:val="21"/>
              </w:rPr>
              <w:t xml:space="preserve">Diagnostics</w:t>
            </w:r>
          </w:p>
        </w:tc>
        <w:tc>
          <w:tcPr>
            <w:tcW w:type="pct" w:w="66%"/>
            <w:shd w:fill="FFFFFF" w:val="clear"/>
            <w:tcMar>
              <w:top w:type="dxa" w:w="70"/>
              <w:left w:type="dxa" w:w="110"/>
              <w:bottom w:type="dxa" w:w="70"/>
              <w:right w:type="dxa" w:w="110"/>
            </w:tcMar>
          </w:tcPr>
          <w:p>
            <w:pPr>
              <w:spacing w:line="312"/>
              <w:jc w:val="left"/>
            </w:pPr>
            <w:r>
              <w:rPr>
                <w:rFonts w:ascii="Times New Roman" w:eastAsia="SimSun" w:hAnsi="Times New Roman"/>
                <w:b w:val="false"/>
                <w:bCs w:val="false"/>
                <w:color w:val="000000"/>
                <w:sz w:val="21"/>
                <w:szCs w:val="21"/>
              </w:rPr>
              <w:t xml:space="preserve">Take free official practice tests for your chosen exams; set target scores at or above the competitive tier</w:t>
            </w:r>
          </w:p>
        </w:tc>
      </w:tr>
      <w:tr>
        <w:trPr>
          <w:cantSplit/>
        </w:trPr>
        <w:tc>
          <w:tcPr>
            <w:tcW w:type="pct" w:w="16%"/>
            <w:shd w:fill="EDF3F8" w:val="clear"/>
            <w:tcMar>
              <w:top w:type="dxa" w:w="70"/>
              <w:left w:type="dxa" w:w="110"/>
              <w:bottom w:type="dxa" w:w="70"/>
              <w:right w:type="dxa" w:w="110"/>
            </w:tcMar>
          </w:tcPr>
          <w:p>
            <w:pPr>
              <w:spacing w:line="312"/>
              <w:jc w:val="left"/>
            </w:pPr>
            <w:r>
              <w:rPr>
                <w:rFonts w:ascii="Times New Roman" w:eastAsia="SimSun" w:hAnsi="Times New Roman"/>
                <w:b w:val="false"/>
                <w:bCs w:val="false"/>
                <w:color w:val="000000"/>
                <w:sz w:val="21"/>
                <w:szCs w:val="21"/>
              </w:rPr>
              <w:t xml:space="preserve">10-8</w:t>
            </w:r>
          </w:p>
        </w:tc>
        <w:tc>
          <w:tcPr>
            <w:tcW w:type="pct" w:w="18%"/>
            <w:shd w:fill="EDF3F8" w:val="clear"/>
            <w:tcMar>
              <w:top w:type="dxa" w:w="70"/>
              <w:left w:type="dxa" w:w="110"/>
              <w:bottom w:type="dxa" w:w="70"/>
              <w:right w:type="dxa" w:w="110"/>
            </w:tcMar>
          </w:tcPr>
          <w:p>
            <w:pPr>
              <w:spacing w:line="312"/>
              <w:jc w:val="left"/>
            </w:pPr>
            <w:r>
              <w:rPr>
                <w:rFonts w:ascii="Times New Roman" w:eastAsia="SimSun" w:hAnsi="Times New Roman"/>
                <w:b w:val="false"/>
                <w:bCs w:val="false"/>
                <w:color w:val="000000"/>
                <w:sz w:val="21"/>
                <w:szCs w:val="21"/>
              </w:rPr>
              <w:t xml:space="preserve">English test cycle</w:t>
            </w:r>
          </w:p>
        </w:tc>
        <w:tc>
          <w:tcPr>
            <w:tcW w:type="pct" w:w="66%"/>
            <w:shd w:fill="EDF3F8" w:val="clear"/>
            <w:tcMar>
              <w:top w:type="dxa" w:w="70"/>
              <w:left w:type="dxa" w:w="110"/>
              <w:bottom w:type="dxa" w:w="70"/>
              <w:right w:type="dxa" w:w="110"/>
            </w:tcMar>
          </w:tcPr>
          <w:p>
            <w:pPr>
              <w:spacing w:line="312"/>
              <w:jc w:val="left"/>
            </w:pPr>
            <w:r>
              <w:rPr>
                <w:rFonts w:ascii="Times New Roman" w:eastAsia="SimSun" w:hAnsi="Times New Roman"/>
                <w:b w:val="false"/>
                <w:bCs w:val="false"/>
                <w:color w:val="000000"/>
                <w:sz w:val="21"/>
                <w:szCs w:val="21"/>
              </w:rPr>
              <w:t xml:space="preserve">Prepare 6-8 weeks; sit TOEFL or IELTS; keep a retake slot open 4 weeks later if a band falls short</w:t>
            </w:r>
          </w:p>
        </w:tc>
      </w:tr>
      <w:tr>
        <w:trPr>
          <w:cantSplit/>
        </w:trPr>
        <w:tc>
          <w:tcPr>
            <w:tcW w:type="pct" w:w="16%"/>
            <w:shd w:fill="FFFFFF" w:val="clear"/>
            <w:tcMar>
              <w:top w:type="dxa" w:w="70"/>
              <w:left w:type="dxa" w:w="110"/>
              <w:bottom w:type="dxa" w:w="70"/>
              <w:right w:type="dxa" w:w="110"/>
            </w:tcMar>
          </w:tcPr>
          <w:p>
            <w:pPr>
              <w:spacing w:line="312"/>
              <w:jc w:val="left"/>
            </w:pPr>
            <w:r>
              <w:rPr>
                <w:rFonts w:ascii="Times New Roman" w:eastAsia="SimSun" w:hAnsi="Times New Roman"/>
                <w:b w:val="false"/>
                <w:bCs w:val="false"/>
                <w:color w:val="000000"/>
                <w:sz w:val="21"/>
                <w:szCs w:val="21"/>
              </w:rPr>
              <w:t xml:space="preserve">8-5</w:t>
            </w:r>
          </w:p>
        </w:tc>
        <w:tc>
          <w:tcPr>
            <w:tcW w:type="pct" w:w="18%"/>
            <w:shd w:fill="FFFFFF" w:val="clear"/>
            <w:tcMar>
              <w:top w:type="dxa" w:w="70"/>
              <w:left w:type="dxa" w:w="110"/>
              <w:bottom w:type="dxa" w:w="70"/>
              <w:right w:type="dxa" w:w="110"/>
            </w:tcMar>
          </w:tcPr>
          <w:p>
            <w:pPr>
              <w:spacing w:line="312"/>
              <w:jc w:val="left"/>
            </w:pPr>
            <w:r>
              <w:rPr>
                <w:rFonts w:ascii="Times New Roman" w:eastAsia="SimSun" w:hAnsi="Times New Roman"/>
                <w:b w:val="false"/>
                <w:bCs w:val="false"/>
                <w:color w:val="000000"/>
                <w:sz w:val="21"/>
                <w:szCs w:val="21"/>
              </w:rPr>
              <w:t xml:space="preserve">Aptitude test cycle</w:t>
            </w:r>
          </w:p>
        </w:tc>
        <w:tc>
          <w:tcPr>
            <w:tcW w:type="pct" w:w="66%"/>
            <w:shd w:fill="FFFFFF" w:val="clear"/>
            <w:tcMar>
              <w:top w:type="dxa" w:w="70"/>
              <w:left w:type="dxa" w:w="110"/>
              <w:bottom w:type="dxa" w:w="70"/>
              <w:right w:type="dxa" w:w="110"/>
            </w:tcMar>
          </w:tcPr>
          <w:p>
            <w:pPr>
              <w:spacing w:line="312"/>
              <w:jc w:val="left"/>
            </w:pPr>
            <w:r>
              <w:rPr>
                <w:rFonts w:ascii="Times New Roman" w:eastAsia="SimSun" w:hAnsi="Times New Roman"/>
                <w:b w:val="false"/>
                <w:bCs w:val="false"/>
                <w:color w:val="000000"/>
                <w:sz w:val="21"/>
                <w:szCs w:val="21"/>
              </w:rPr>
              <w:t xml:space="preserve">Prepare 8-12 weeks with weekly mocks; first GRE/GMAT attempt at month 6; scheduled retake at month 5 if needed</w:t>
            </w:r>
          </w:p>
        </w:tc>
      </w:tr>
      <w:tr>
        <w:trPr>
          <w:cantSplit/>
        </w:trPr>
        <w:tc>
          <w:tcPr>
            <w:tcW w:type="pct" w:w="16%"/>
            <w:shd w:fill="EDF3F8" w:val="clear"/>
            <w:tcMar>
              <w:top w:type="dxa" w:w="70"/>
              <w:left w:type="dxa" w:w="110"/>
              <w:bottom w:type="dxa" w:w="70"/>
              <w:right w:type="dxa" w:w="110"/>
            </w:tcMar>
          </w:tcPr>
          <w:p>
            <w:pPr>
              <w:spacing w:line="312"/>
              <w:jc w:val="left"/>
            </w:pPr>
            <w:r>
              <w:rPr>
                <w:rFonts w:ascii="Times New Roman" w:eastAsia="SimSun" w:hAnsi="Times New Roman"/>
                <w:b w:val="false"/>
                <w:bCs w:val="false"/>
                <w:color w:val="000000"/>
                <w:sz w:val="21"/>
                <w:szCs w:val="21"/>
              </w:rPr>
              <w:t xml:space="preserve">5-4</w:t>
            </w:r>
          </w:p>
        </w:tc>
        <w:tc>
          <w:tcPr>
            <w:tcW w:type="pct" w:w="18%"/>
            <w:shd w:fill="EDF3F8" w:val="clear"/>
            <w:tcMar>
              <w:top w:type="dxa" w:w="70"/>
              <w:left w:type="dxa" w:w="110"/>
              <w:bottom w:type="dxa" w:w="70"/>
              <w:right w:type="dxa" w:w="110"/>
            </w:tcMar>
          </w:tcPr>
          <w:p>
            <w:pPr>
              <w:spacing w:line="312"/>
              <w:jc w:val="left"/>
            </w:pPr>
            <w:r>
              <w:rPr>
                <w:rFonts w:ascii="Times New Roman" w:eastAsia="SimSun" w:hAnsi="Times New Roman"/>
                <w:b w:val="false"/>
                <w:bCs w:val="false"/>
                <w:color w:val="000000"/>
                <w:sz w:val="21"/>
                <w:szCs w:val="21"/>
              </w:rPr>
              <w:t xml:space="preserve">Reports and referees</w:t>
            </w:r>
          </w:p>
        </w:tc>
        <w:tc>
          <w:tcPr>
            <w:tcW w:type="pct" w:w="66%"/>
            <w:shd w:fill="EDF3F8" w:val="clear"/>
            <w:tcMar>
              <w:top w:type="dxa" w:w="70"/>
              <w:left w:type="dxa" w:w="110"/>
              <w:bottom w:type="dxa" w:w="70"/>
              <w:right w:type="dxa" w:w="110"/>
            </w:tcMar>
          </w:tcPr>
          <w:p>
            <w:pPr>
              <w:spacing w:line="312"/>
              <w:jc w:val="left"/>
            </w:pPr>
            <w:r>
              <w:rPr>
                <w:rFonts w:ascii="Times New Roman" w:eastAsia="SimSun" w:hAnsi="Times New Roman"/>
                <w:b w:val="false"/>
                <w:bCs w:val="false"/>
                <w:color w:val="000000"/>
                <w:sz w:val="21"/>
                <w:szCs w:val="21"/>
              </w:rPr>
              <w:t xml:space="preserve">Finalize institution list; order score reports; request recommendation letters with clear instructions</w:t>
            </w:r>
          </w:p>
        </w:tc>
      </w:tr>
      <w:tr>
        <w:trPr>
          <w:cantSplit/>
        </w:trPr>
        <w:tc>
          <w:tcPr>
            <w:tcW w:type="pct" w:w="16%"/>
            <w:shd w:fill="FFFFFF" w:val="clear"/>
            <w:tcMar>
              <w:top w:type="dxa" w:w="70"/>
              <w:left w:type="dxa" w:w="110"/>
              <w:bottom w:type="dxa" w:w="70"/>
              <w:right w:type="dxa" w:w="110"/>
            </w:tcMar>
          </w:tcPr>
          <w:p>
            <w:pPr>
              <w:spacing w:line="312"/>
              <w:jc w:val="left"/>
            </w:pPr>
            <w:r>
              <w:rPr>
                <w:rFonts w:ascii="Times New Roman" w:eastAsia="SimSun" w:hAnsi="Times New Roman"/>
                <w:b w:val="false"/>
                <w:bCs w:val="false"/>
                <w:color w:val="000000"/>
                <w:sz w:val="21"/>
                <w:szCs w:val="21"/>
              </w:rPr>
              <w:t xml:space="preserve">4-2</w:t>
            </w:r>
          </w:p>
        </w:tc>
        <w:tc>
          <w:tcPr>
            <w:tcW w:type="pct" w:w="18%"/>
            <w:shd w:fill="FFFFFF" w:val="clear"/>
            <w:tcMar>
              <w:top w:type="dxa" w:w="70"/>
              <w:left w:type="dxa" w:w="110"/>
              <w:bottom w:type="dxa" w:w="70"/>
              <w:right w:type="dxa" w:w="110"/>
            </w:tcMar>
          </w:tcPr>
          <w:p>
            <w:pPr>
              <w:spacing w:line="312"/>
              <w:jc w:val="left"/>
            </w:pPr>
            <w:r>
              <w:rPr>
                <w:rFonts w:ascii="Times New Roman" w:eastAsia="SimSun" w:hAnsi="Times New Roman"/>
                <w:b w:val="false"/>
                <w:bCs w:val="false"/>
                <w:color w:val="000000"/>
                <w:sz w:val="21"/>
                <w:szCs w:val="21"/>
              </w:rPr>
              <w:t xml:space="preserve">Applications</w:t>
            </w:r>
          </w:p>
        </w:tc>
        <w:tc>
          <w:tcPr>
            <w:tcW w:type="pct" w:w="66%"/>
            <w:shd w:fill="FFFFFF" w:val="clear"/>
            <w:tcMar>
              <w:top w:type="dxa" w:w="70"/>
              <w:left w:type="dxa" w:w="110"/>
              <w:bottom w:type="dxa" w:w="70"/>
              <w:right w:type="dxa" w:w="110"/>
            </w:tcMar>
          </w:tcPr>
          <w:p>
            <w:pPr>
              <w:spacing w:line="312"/>
              <w:jc w:val="left"/>
            </w:pPr>
            <w:r>
              <w:rPr>
                <w:rFonts w:ascii="Times New Roman" w:eastAsia="SimSun" w:hAnsi="Times New Roman"/>
                <w:b w:val="false"/>
                <w:bCs w:val="false"/>
                <w:color w:val="000000"/>
                <w:sz w:val="21"/>
                <w:szCs w:val="21"/>
              </w:rPr>
              <w:t xml:space="preserve">Draft essays and research proposals; verify each application's test line against your spreadsheet</w:t>
            </w:r>
          </w:p>
        </w:tc>
      </w:tr>
      <w:tr>
        <w:trPr>
          <w:cantSplit/>
        </w:trPr>
        <w:tc>
          <w:tcPr>
            <w:tcW w:type="pct" w:w="16%"/>
            <w:shd w:fill="EDF3F8" w:val="clear"/>
            <w:tcMar>
              <w:top w:type="dxa" w:w="70"/>
              <w:left w:type="dxa" w:w="110"/>
              <w:bottom w:type="dxa" w:w="70"/>
              <w:right w:type="dxa" w:w="110"/>
            </w:tcMar>
          </w:tcPr>
          <w:p>
            <w:pPr>
              <w:spacing w:line="312"/>
              <w:jc w:val="left"/>
            </w:pPr>
            <w:r>
              <w:rPr>
                <w:rFonts w:ascii="Times New Roman" w:eastAsia="SimSun" w:hAnsi="Times New Roman"/>
                <w:b w:val="false"/>
                <w:bCs w:val="false"/>
                <w:color w:val="000000"/>
                <w:sz w:val="21"/>
                <w:szCs w:val="21"/>
              </w:rPr>
              <w:t xml:space="preserve">2-0</w:t>
            </w:r>
          </w:p>
        </w:tc>
        <w:tc>
          <w:tcPr>
            <w:tcW w:type="pct" w:w="18%"/>
            <w:shd w:fill="EDF3F8" w:val="clear"/>
            <w:tcMar>
              <w:top w:type="dxa" w:w="70"/>
              <w:left w:type="dxa" w:w="110"/>
              <w:bottom w:type="dxa" w:w="70"/>
              <w:right w:type="dxa" w:w="110"/>
            </w:tcMar>
          </w:tcPr>
          <w:p>
            <w:pPr>
              <w:spacing w:line="312"/>
              <w:jc w:val="left"/>
            </w:pPr>
            <w:r>
              <w:rPr>
                <w:rFonts w:ascii="Times New Roman" w:eastAsia="SimSun" w:hAnsi="Times New Roman"/>
                <w:b w:val="false"/>
                <w:bCs w:val="false"/>
                <w:color w:val="000000"/>
                <w:sz w:val="21"/>
                <w:szCs w:val="21"/>
              </w:rPr>
              <w:t xml:space="preserve">Submission</w:t>
            </w:r>
          </w:p>
        </w:tc>
        <w:tc>
          <w:tcPr>
            <w:tcW w:type="pct" w:w="66%"/>
            <w:shd w:fill="EDF3F8" w:val="clear"/>
            <w:tcMar>
              <w:top w:type="dxa" w:w="70"/>
              <w:left w:type="dxa" w:w="110"/>
              <w:bottom w:type="dxa" w:w="70"/>
              <w:right w:type="dxa" w:w="110"/>
            </w:tcMar>
          </w:tcPr>
          <w:p>
            <w:pPr>
              <w:spacing w:line="312"/>
              <w:jc w:val="left"/>
            </w:pPr>
            <w:r>
              <w:rPr>
                <w:rFonts w:ascii="Times New Roman" w:eastAsia="SimSun" w:hAnsi="Times New Roman"/>
                <w:b w:val="false"/>
                <w:bCs w:val="false"/>
                <w:color w:val="000000"/>
                <w:sz w:val="21"/>
                <w:szCs w:val="21"/>
              </w:rPr>
              <w:t xml:space="preserve">Submit early rather than on deadline day; keep score PDFs and TRFs organized for upload requests</w:t>
            </w:r>
          </w:p>
        </w:tc>
      </w:tr>
    </w:tbl>
    <w:p>
      <w:pPr>
        <w:pStyle w:val="Heading2"/>
        <w:keepNext/>
        <w:spacing w:after="120" w:before="260" w:line="340" w:lineRule="atLeast"/>
      </w:pPr>
      <w:bookmarkStart w:id="100042" w:name="_Toc100042"/>
      <w:r>
        <w:rPr>
          <w:rFonts w:ascii="Times New Roman" w:eastAsia="SimHei" w:hAnsi="Times New Roman"/>
          <w:b/>
          <w:bCs/>
          <w:color w:val="1A5276"/>
          <w:sz w:val="28"/>
          <w:szCs w:val="28"/>
        </w:rPr>
        <w:t xml:space="preserve">8.2 A Decision Checklist Before You Register</w:t>
      </w:r>
      <w:bookmarkEnd w:id="100042"/>
    </w:p>
    <w:p>
      <w:pPr>
        <w:keepNext w:val="false"/>
        <w:spacing w:after="100" w:line="312"/>
        <w:jc w:val="both"/>
      </w:pPr>
      <w:r>
        <w:rPr>
          <w:rFonts w:ascii="Times New Roman" w:eastAsia="SimSun" w:hAnsi="Times New Roman"/>
          <w:b w:val="false"/>
          <w:bCs w:val="false"/>
          <w:color w:val="000000"/>
          <w:sz w:val="24"/>
          <w:szCs w:val="24"/>
        </w:rPr>
        <w:t xml:space="preserve">Before paying for anything, confirm the following decisions in writing, because each one either opens or closes options later.</w:t>
      </w:r>
    </w:p>
    <w:p>
      <w:pPr>
        <w:pStyle w:val="ListParagraph"/>
        <w:numPr>
          <w:ilvl w:val="0"/>
          <w:numId w:val="1"/>
        </w:numPr>
        <w:spacing w:after="80" w:line="312"/>
        <w:jc w:val="left"/>
      </w:pPr>
      <w:r>
        <w:rPr>
          <w:rFonts w:ascii="Times New Roman" w:eastAsia="SimSun" w:hAnsi="Times New Roman"/>
          <w:b w:val="false"/>
          <w:bCs w:val="false"/>
          <w:color w:val="000000"/>
          <w:sz w:val="24"/>
          <w:szCs w:val="24"/>
        </w:rPr>
        <w:t xml:space="preserve">Destination and field: which countries and disciplines, since these determine GRE versus GMAT and sometimes dictate a specific English test.</w:t>
      </w:r>
    </w:p>
    <w:p>
      <w:pPr>
        <w:pStyle w:val="ListParagraph"/>
        <w:numPr>
          <w:ilvl w:val="0"/>
          <w:numId w:val="1"/>
        </w:numPr>
        <w:spacing w:after="80" w:line="312"/>
        <w:jc w:val="left"/>
      </w:pPr>
      <w:r>
        <w:rPr>
          <w:rFonts w:ascii="Times New Roman" w:eastAsia="SimSun" w:hAnsi="Times New Roman"/>
          <w:b w:val="false"/>
          <w:bCs w:val="false"/>
          <w:color w:val="000000"/>
          <w:sz w:val="24"/>
          <w:szCs w:val="24"/>
        </w:rPr>
        <w:t xml:space="preserve">Requirement audit: for every target program and scholarship, the exact minimum, the competitive median, and any section floors, copied from official pages.</w:t>
      </w:r>
    </w:p>
    <w:p>
      <w:pPr>
        <w:pStyle w:val="ListParagraph"/>
        <w:numPr>
          <w:ilvl w:val="0"/>
          <w:numId w:val="1"/>
        </w:numPr>
        <w:spacing w:after="80" w:line="312"/>
        <w:jc w:val="left"/>
      </w:pPr>
      <w:r>
        <w:rPr>
          <w:rFonts w:ascii="Times New Roman" w:eastAsia="SimSun" w:hAnsi="Times New Roman"/>
          <w:b w:val="false"/>
          <w:bCs w:val="false"/>
          <w:color w:val="000000"/>
          <w:sz w:val="24"/>
          <w:szCs w:val="24"/>
        </w:rPr>
        <w:t xml:space="preserve">Exam selection: one English test (TOEFL or IELTS) and at most one aptitude test (GRE or GMAT), unless a specific program genuinely demands both.</w:t>
      </w:r>
    </w:p>
    <w:p>
      <w:pPr>
        <w:pStyle w:val="ListParagraph"/>
        <w:numPr>
          <w:ilvl w:val="0"/>
          <w:numId w:val="1"/>
        </w:numPr>
        <w:spacing w:after="80" w:line="312"/>
        <w:jc w:val="left"/>
      </w:pPr>
      <w:r>
        <w:rPr>
          <w:rFonts w:ascii="Times New Roman" w:eastAsia="SimSun" w:hAnsi="Times New Roman"/>
          <w:b w:val="false"/>
          <w:bCs w:val="false"/>
          <w:color w:val="000000"/>
          <w:sz w:val="24"/>
          <w:szCs w:val="24"/>
        </w:rPr>
        <w:t xml:space="preserve">Dates: registration date, test date, and a provisional retake date, all placed at least three weeks before the first hard deadline.</w:t>
      </w:r>
    </w:p>
    <w:p>
      <w:pPr>
        <w:pStyle w:val="ListParagraph"/>
        <w:numPr>
          <w:ilvl w:val="0"/>
          <w:numId w:val="1"/>
        </w:numPr>
        <w:spacing w:after="80" w:line="312"/>
        <w:jc w:val="left"/>
      </w:pPr>
      <w:r>
        <w:rPr>
          <w:rFonts w:ascii="Times New Roman" w:eastAsia="SimSun" w:hAnsi="Times New Roman"/>
          <w:b w:val="false"/>
          <w:bCs w:val="false"/>
          <w:color w:val="000000"/>
          <w:sz w:val="24"/>
          <w:szCs w:val="24"/>
        </w:rPr>
        <w:t xml:space="preserve">Budget: registration fees, a retake reserve, materials, travel, and extra reports, checked against the fee reductions in Chapter 5.</w:t>
      </w:r>
    </w:p>
    <w:p>
      <w:pPr>
        <w:pStyle w:val="ListParagraph"/>
        <w:numPr>
          <w:ilvl w:val="0"/>
          <w:numId w:val="1"/>
        </w:numPr>
        <w:spacing w:after="80" w:line="312"/>
        <w:jc w:val="left"/>
      </w:pPr>
      <w:r>
        <w:rPr>
          <w:rFonts w:ascii="Times New Roman" w:eastAsia="SimSun" w:hAnsi="Times New Roman"/>
          <w:b w:val="false"/>
          <w:bCs w:val="false"/>
          <w:color w:val="000000"/>
          <w:sz w:val="24"/>
          <w:szCs w:val="24"/>
        </w:rPr>
        <w:t xml:space="preserve">Reporting plan: the list of institutions to receive free reports on test day, finalized before the test, not after.</w:t>
      </w:r>
    </w:p>
    <w:p>
      <w:pPr>
        <w:pStyle w:val="Heading1"/>
        <w:keepNext/>
        <w:spacing w:after="160" w:before="360" w:line="380" w:lineRule="atLeast"/>
      </w:pPr>
      <w:bookmarkStart w:id="100043" w:name="_Toc100043"/>
      <w:r>
        <w:rPr>
          <w:rFonts w:ascii="Times New Roman" w:eastAsia="SimHei" w:hAnsi="Times New Roman"/>
          <w:b/>
          <w:bCs/>
          <w:color w:val="1A5276"/>
          <w:sz w:val="32"/>
          <w:szCs w:val="32"/>
        </w:rPr>
        <w:t xml:space="preserve">9. Frequently Asked Questions</w:t>
      </w:r>
      <w:bookmarkEnd w:id="100043"/>
    </w:p>
    <w:p>
      <w:pPr>
        <w:keepNext w:val="false"/>
        <w:spacing w:after="140" w:line="312"/>
        <w:jc w:val="both"/>
      </w:pPr>
      <w:r>
        <w:rPr>
          <w:rFonts w:ascii="Times New Roman" w:eastAsia="SimSun" w:hAnsi="Times New Roman"/>
          <w:b w:val="false"/>
          <w:bCs w:val="false"/>
          <w:color w:val="000000"/>
          <w:sz w:val="24"/>
          <w:szCs w:val="24"/>
        </w:rPr>
        <w:t xml:space="preserve">The questions below are the ones advising centers and candidate communities answer most often. The answers condense the policy details given in earlier chapters; where a rule depends on your country, the pointer to the official source is included.</w:t>
      </w:r>
    </w:p>
    <w:p>
      <w:pPr>
        <w:keepNext/>
        <w:spacing w:after="80" w:before="220" w:line="312"/>
      </w:pPr>
      <w:r>
        <w:rPr>
          <w:rFonts w:ascii="Times New Roman" w:eastAsia="SimSun" w:hAnsi="Times New Roman"/>
          <w:b/>
          <w:bCs/>
          <w:color w:val="1A5276"/>
          <w:sz w:val="24"/>
          <w:szCs w:val="24"/>
        </w:rPr>
        <w:t xml:space="preserve">Do I need both an aptitude test and an English test?</w:t>
      </w:r>
    </w:p>
    <w:p>
      <w:pPr>
        <w:keepNext w:val="false"/>
        <w:spacing w:after="140" w:line="312"/>
        <w:jc w:val="both"/>
      </w:pPr>
      <w:r>
        <w:rPr>
          <w:rFonts w:ascii="Times New Roman" w:eastAsia="SimSun" w:hAnsi="Times New Roman"/>
          <w:b w:val="false"/>
          <w:bCs w:val="false"/>
          <w:color w:val="000000"/>
          <w:sz w:val="24"/>
          <w:szCs w:val="24"/>
        </w:rPr>
        <w:t xml:space="preserve">In the overwhelming majority of cases, yes, if you are an international applicant applying to a program taught in English. The TOEFL or IELTS certifies language proficiency and the GRE or GMAT certifies academic reasoning; most universities and scholarship programs list them as separate requirements. A minority of programs waive the English test for applicants whose previous degree was taught in English, and a growing number of programs have dropped the GRE or GMAT entirely, so the requirement audit in Chapter 8 is the only reliable answer for your specific list.</w:t>
      </w:r>
    </w:p>
    <w:p>
      <w:pPr>
        <w:keepNext/>
        <w:spacing w:after="80" w:before="220" w:line="312"/>
      </w:pPr>
      <w:r>
        <w:rPr>
          <w:rFonts w:ascii="Times New Roman" w:eastAsia="SimSun" w:hAnsi="Times New Roman"/>
          <w:b/>
          <w:bCs/>
          <w:color w:val="1A5276"/>
          <w:sz w:val="24"/>
          <w:szCs w:val="24"/>
        </w:rPr>
        <w:t xml:space="preserve">Can I submit GRE scores instead of the GMAT for an MBA?</w:t>
      </w:r>
    </w:p>
    <w:p>
      <w:pPr>
        <w:keepNext w:val="false"/>
        <w:spacing w:after="140" w:line="312"/>
        <w:jc w:val="both"/>
      </w:pPr>
      <w:r>
        <w:rPr>
          <w:rFonts w:ascii="Times New Roman" w:eastAsia="SimSun" w:hAnsi="Times New Roman"/>
          <w:b w:val="false"/>
          <w:bCs w:val="false"/>
          <w:color w:val="000000"/>
          <w:sz w:val="24"/>
          <w:szCs w:val="24"/>
        </w:rPr>
        <w:t xml:space="preserve">At most business schools today, yes: the GMAT and GRE are accepted interchangeably and committees convert scores for comparison. A few specialized finance or consulting-adjacent programs still lean toward the GMAT, and some MBA scholarships implicitly expect it, so check the school's class profile and scholarship terms. If you are applying to both MBA and non-MBA programs, the GRE remains the single-test strategy.</w:t>
      </w:r>
    </w:p>
    <w:p>
      <w:pPr>
        <w:keepNext/>
        <w:spacing w:after="80" w:before="220" w:line="312"/>
      </w:pPr>
      <w:r>
        <w:rPr>
          <w:rFonts w:ascii="Times New Roman" w:eastAsia="SimSun" w:hAnsi="Times New Roman"/>
          <w:b/>
          <w:bCs/>
          <w:color w:val="1A5276"/>
          <w:sz w:val="24"/>
          <w:szCs w:val="24"/>
        </w:rPr>
        <w:t xml:space="preserve">How long should I prepare for each exam?</w:t>
      </w:r>
    </w:p>
    <w:p>
      <w:pPr>
        <w:keepNext w:val="false"/>
        <w:spacing w:after="140" w:line="312"/>
        <w:jc w:val="both"/>
      </w:pPr>
      <w:r>
        <w:rPr>
          <w:rFonts w:ascii="Times New Roman" w:eastAsia="SimSun" w:hAnsi="Times New Roman"/>
          <w:b w:val="false"/>
          <w:bCs w:val="false"/>
          <w:color w:val="000000"/>
          <w:sz w:val="24"/>
          <w:szCs w:val="24"/>
        </w:rPr>
        <w:t xml:space="preserve">Plan 100 to 200 hours for the GRE, 100 to 150 hours for the GMAT, and 40 to 100 hours for the TOEFL or IELTS, adjusted by your diagnostic results. Spread over realistic weekly commitments of 8 to 15 hours, an aptitude test needs 3 to 4 months of preparation and an English test 1 to 3 months. Intensity matters more than duration: six weeks of disciplined daily study outperforms six months of casual practice.</w:t>
      </w:r>
    </w:p>
    <w:p>
      <w:pPr>
        <w:keepNext/>
        <w:spacing w:after="80" w:before="220" w:line="312"/>
      </w:pPr>
      <w:r>
        <w:rPr>
          <w:rFonts w:ascii="Times New Roman" w:eastAsia="SimSun" w:hAnsi="Times New Roman"/>
          <w:b/>
          <w:bCs/>
          <w:color w:val="1A5276"/>
          <w:sz w:val="24"/>
          <w:szCs w:val="24"/>
        </w:rPr>
        <w:t xml:space="preserve">My score is below the minimum. Retake or change targets?</w:t>
      </w:r>
    </w:p>
    <w:p>
      <w:pPr>
        <w:keepNext w:val="false"/>
        <w:spacing w:after="140" w:line="312"/>
        <w:jc w:val="both"/>
      </w:pPr>
      <w:r>
        <w:rPr>
          <w:rFonts w:ascii="Times New Roman" w:eastAsia="SimSun" w:hAnsi="Times New Roman"/>
          <w:b w:val="false"/>
          <w:bCs w:val="false"/>
          <w:color w:val="000000"/>
          <w:sz w:val="24"/>
          <w:szCs w:val="24"/>
        </w:rPr>
        <w:t xml:space="preserve">Diagnose first: if the gap is small (a few points on the GRE, half a band on IELTS) and time allows a retake before deadlines, retake with a changed study plan, because ScoreSelect-style reporting means the weak attempt can stay hidden. If the gap is large or time is short, retarget programs whose published minimums you meet, and remember that most scholarships weigh the whole file; a slightly lower test score with strong essays and references still wins places every year.</w:t>
      </w:r>
    </w:p>
    <w:p>
      <w:pPr>
        <w:keepNext/>
        <w:spacing w:after="80" w:before="220" w:line="312"/>
      </w:pPr>
      <w:r>
        <w:rPr>
          <w:rFonts w:ascii="Times New Roman" w:eastAsia="SimSun" w:hAnsi="Times New Roman"/>
          <w:b/>
          <w:bCs/>
          <w:color w:val="1A5276"/>
          <w:sz w:val="24"/>
          <w:szCs w:val="24"/>
        </w:rPr>
        <w:t xml:space="preserve">Are at-home test scores accepted by universities and scholarships?</w:t>
      </w:r>
    </w:p>
    <w:p>
      <w:pPr>
        <w:keepNext w:val="false"/>
        <w:spacing w:after="140" w:line="312"/>
        <w:jc w:val="both"/>
      </w:pPr>
      <w:r>
        <w:rPr>
          <w:rFonts w:ascii="Times New Roman" w:eastAsia="SimSun" w:hAnsi="Times New Roman"/>
          <w:b w:val="false"/>
          <w:bCs w:val="false"/>
          <w:color w:val="000000"/>
          <w:sz w:val="24"/>
          <w:szCs w:val="24"/>
        </w:rPr>
        <w:t xml:space="preserve">Yes. At-home versions of the GRE, GMAT and TOEFL produce fully official scores that are reported identically to center scores, and they were used at enormous scale. IELTS Online is available only in some countries and a few institutions still restrict it. The only practical caveat is that a small number of highly competitive programs privately prefer center results, so if you have both options at reasonable cost, a center appointment removes any doubt.</w:t>
      </w:r>
    </w:p>
    <w:p>
      <w:pPr>
        <w:keepNext/>
        <w:spacing w:after="80" w:before="220" w:line="312"/>
      </w:pPr>
      <w:r>
        <w:rPr>
          <w:rFonts w:ascii="Times New Roman" w:eastAsia="SimSun" w:hAnsi="Times New Roman"/>
          <w:b/>
          <w:bCs/>
          <w:color w:val="1A5276"/>
          <w:sz w:val="24"/>
          <w:szCs w:val="24"/>
        </w:rPr>
        <w:t xml:space="preserve">What about the PTE Academic, Duolingo English Test or TOEFL Essentials?</w:t>
      </w:r>
    </w:p>
    <w:p>
      <w:pPr>
        <w:keepNext w:val="false"/>
        <w:spacing w:after="140" w:line="312"/>
        <w:jc w:val="both"/>
      </w:pPr>
      <w:r>
        <w:rPr>
          <w:rFonts w:ascii="Times New Roman" w:eastAsia="SimSun" w:hAnsi="Times New Roman"/>
          <w:b w:val="false"/>
          <w:bCs w:val="false"/>
          <w:color w:val="000000"/>
          <w:sz w:val="24"/>
          <w:szCs w:val="24"/>
        </w:rPr>
        <w:t xml:space="preserve">These alternatives are legitimate and increasingly accepted: PTE Academic is computer-scored with results in about two days, the Duolingo English Test costs around US$65 and runs at home, and TOEFL Essentials is a shorter, lower-cost ETS option. Acceptance is the deciding factor: universities accept them unevenly, and scholarship programs are more conservative than universities. Before choosing an alternative, confirm it appears on the accepted list of every scholarship you are targeting, not just the universities.</w:t>
      </w:r>
    </w:p>
    <w:p>
      <w:pPr>
        <w:keepNext/>
        <w:spacing w:after="80" w:before="220" w:line="312"/>
      </w:pPr>
      <w:r>
        <w:rPr>
          <w:rFonts w:ascii="Times New Roman" w:eastAsia="SimSun" w:hAnsi="Times New Roman"/>
          <w:b/>
          <w:bCs/>
          <w:color w:val="1A5276"/>
          <w:sz w:val="24"/>
          <w:szCs w:val="24"/>
        </w:rPr>
        <w:t xml:space="preserve">Do test scores expire, and when exactly?</w:t>
      </w:r>
    </w:p>
    <w:p>
      <w:pPr>
        <w:keepNext w:val="false"/>
        <w:spacing w:after="140" w:line="312"/>
        <w:jc w:val="both"/>
      </w:pPr>
      <w:r>
        <w:rPr>
          <w:rFonts w:ascii="Times New Roman" w:eastAsia="SimSun" w:hAnsi="Times New Roman"/>
          <w:b w:val="false"/>
          <w:bCs w:val="false"/>
          <w:color w:val="000000"/>
          <w:sz w:val="24"/>
          <w:szCs w:val="24"/>
        </w:rPr>
        <w:t xml:space="preserve">GRE and GMAT scores are valid for five years from the test date. TOEFL and IELTS scores are valid for two years, and the controlling date is your application deadline, not enrollment. That is why the recommended sequence takes the English test within two years of applying, and why taking it three years before any application is wasted money.</w:t>
      </w:r>
    </w:p>
    <w:p>
      <w:pPr>
        <w:keepNext/>
        <w:spacing w:after="80" w:before="220" w:line="312"/>
      </w:pPr>
      <w:r>
        <w:rPr>
          <w:rFonts w:ascii="Times New Roman" w:eastAsia="SimSun" w:hAnsi="Times New Roman"/>
          <w:b/>
          <w:bCs/>
          <w:color w:val="1A5276"/>
          <w:sz w:val="24"/>
          <w:szCs w:val="24"/>
        </w:rPr>
        <w:t xml:space="preserve">Is there an age limit or prerequisite degree for these exams?</w:t>
      </w:r>
    </w:p>
    <w:p>
      <w:pPr>
        <w:keepNext w:val="false"/>
        <w:spacing w:after="140" w:line="312"/>
        <w:jc w:val="both"/>
      </w:pPr>
      <w:r>
        <w:rPr>
          <w:rFonts w:ascii="Times New Roman" w:eastAsia="SimSun" w:hAnsi="Times New Roman"/>
          <w:b w:val="false"/>
          <w:bCs w:val="false"/>
          <w:color w:val="000000"/>
          <w:sz w:val="24"/>
          <w:szCs w:val="24"/>
        </w:rPr>
        <w:t xml:space="preserve">No. None of the four exams has an age limit, nationality restriction, or degree prerequisite; anyone can register and sit them. The practical gate is identification: a valid passport (or the locally approved ID) matching your registration name is required on exam day.</w:t>
      </w:r>
    </w:p>
    <w:p>
      <w:pPr>
        <w:keepNext/>
        <w:spacing w:after="80" w:before="220" w:line="312"/>
      </w:pPr>
      <w:r>
        <w:rPr>
          <w:rFonts w:ascii="Times New Roman" w:eastAsia="SimSun" w:hAnsi="Times New Roman"/>
          <w:b/>
          <w:bCs/>
          <w:color w:val="1A5276"/>
          <w:sz w:val="24"/>
          <w:szCs w:val="24"/>
        </w:rPr>
        <w:t xml:space="preserve">How many times should I take an exam?</w:t>
      </w:r>
    </w:p>
    <w:p>
      <w:pPr>
        <w:keepNext w:val="false"/>
        <w:spacing w:after="140" w:line="312"/>
        <w:jc w:val="both"/>
      </w:pPr>
      <w:r>
        <w:rPr>
          <w:rFonts w:ascii="Times New Roman" w:eastAsia="SimSun" w:hAnsi="Times New Roman"/>
          <w:b w:val="false"/>
          <w:bCs w:val="false"/>
          <w:color w:val="000000"/>
          <w:sz w:val="24"/>
          <w:szCs w:val="24"/>
        </w:rPr>
        <w:t xml:space="preserve">Two to three attempts per exam is the effective ceiling for most candidates: research on retake patterns shows the bulk of possible improvement arrives by the third sitting. Beyond that, additional attempts rarely change admissions outcomes and consume money and calendar time better invested in essays, recommendations and program research. A disciplined candidate books the first date and a provisional retake date together, exactly as the roadmap in Chapter 8 suggests.</w:t>
      </w:r>
    </w:p>
    <w:p>
      <w:pPr>
        <w:keepNext/>
        <w:spacing w:after="80" w:before="220" w:line="312"/>
      </w:pPr>
      <w:r>
        <w:rPr>
          <w:rFonts w:ascii="Times New Roman" w:eastAsia="SimSun" w:hAnsi="Times New Roman"/>
          <w:b/>
          <w:bCs/>
          <w:color w:val="1A5276"/>
          <w:sz w:val="24"/>
          <w:szCs w:val="24"/>
        </w:rPr>
        <w:t xml:space="preserve">Are GRE Subject Tests still required anywhere?</w:t>
      </w:r>
    </w:p>
    <w:p>
      <w:pPr>
        <w:keepNext w:val="false"/>
        <w:spacing w:after="140" w:line="312"/>
        <w:jc w:val="both"/>
      </w:pPr>
      <w:r>
        <w:rPr>
          <w:rFonts w:ascii="Times New Roman" w:eastAsia="SimSun" w:hAnsi="Times New Roman"/>
          <w:b w:val="false"/>
          <w:bCs w:val="false"/>
          <w:color w:val="000000"/>
          <w:sz w:val="24"/>
          <w:szCs w:val="24"/>
        </w:rPr>
        <w:t xml:space="preserve">Only rarely. Subject Tests in mathematics, physics and psychology continue to exist, and a small number of doctoral programs recommend or consider them, mostly in those exact fields. For master's admissions and for every scholarship program discussed in this guide, the GRE General Test is the relevant exam; check your specific PhD programs before investing in a Subject Test.</w:t>
      </w:r>
    </w:p>
    <w:p>
      <w:pPr>
        <w:pStyle w:val="Heading1"/>
        <w:keepNext/>
        <w:spacing w:after="160" w:before="360" w:line="380" w:lineRule="atLeast"/>
      </w:pPr>
      <w:bookmarkStart w:id="100044" w:name="_Toc100044"/>
      <w:r>
        <w:rPr>
          <w:rFonts w:ascii="Times New Roman" w:eastAsia="SimHei" w:hAnsi="Times New Roman"/>
          <w:b/>
          <w:bCs/>
          <w:color w:val="1A5276"/>
          <w:sz w:val="32"/>
          <w:szCs w:val="32"/>
        </w:rPr>
        <w:t xml:space="preserve">10. Final Recommendations</w:t>
      </w:r>
      <w:bookmarkEnd w:id="100044"/>
    </w:p>
    <w:p>
      <w:pPr>
        <w:keepNext w:val="false"/>
        <w:spacing w:after="140" w:line="312"/>
        <w:jc w:val="both"/>
      </w:pPr>
      <w:r>
        <w:rPr>
          <w:rFonts w:ascii="Times New Roman" w:eastAsia="SimSun" w:hAnsi="Times New Roman"/>
          <w:b w:val="false"/>
          <w:bCs w:val="false"/>
          <w:color w:val="000000"/>
          <w:sz w:val="24"/>
          <w:szCs w:val="24"/>
        </w:rPr>
        <w:t xml:space="preserve">The four exams are administrative obstacles rather than intellectual trials, and they reward planning more than brilliance. The evidence assembled in this guide supports six concrete recommendations. Take the </w:t>
      </w:r>
      <w:r>
        <w:rPr>
          <w:rFonts w:ascii="Times New Roman" w:eastAsia="SimSun" w:hAnsi="Times New Roman"/>
          <w:b/>
          <w:bCs/>
          <w:color w:val="000000"/>
          <w:sz w:val="24"/>
          <w:szCs w:val="24"/>
        </w:rPr>
        <w:t xml:space="preserve">English test first but not too early</w:t>
      </w:r>
      <w:r>
        <w:rPr>
          <w:rFonts w:ascii="Times New Roman" w:eastAsia="SimSun" w:hAnsi="Times New Roman"/>
          <w:b w:val="false"/>
          <w:bCs w:val="false"/>
          <w:color w:val="000000"/>
          <w:sz w:val="24"/>
          <w:szCs w:val="24"/>
        </w:rPr>
        <w:t xml:space="preserve">, ideally 8 to 12 months before your deadlines, so the two-year validity is preserved and a retake remains possible. Prepare with </w:t>
      </w:r>
      <w:r>
        <w:rPr>
          <w:rFonts w:ascii="Times New Roman" w:eastAsia="SimSun" w:hAnsi="Times New Roman"/>
          <w:b/>
          <w:bCs/>
          <w:color w:val="000000"/>
          <w:sz w:val="24"/>
          <w:szCs w:val="24"/>
        </w:rPr>
        <w:t xml:space="preserve">official materials as the core</w:t>
      </w:r>
      <w:r>
        <w:rPr>
          <w:rFonts w:ascii="Times New Roman" w:eastAsia="SimSun" w:hAnsi="Times New Roman"/>
          <w:b w:val="false"/>
          <w:bCs w:val="false"/>
          <w:color w:val="000000"/>
          <w:sz w:val="24"/>
          <w:szCs w:val="24"/>
        </w:rPr>
        <w:t xml:space="preserve"> and commercial courses as structure around them, and keep an error log from the first diagnostic to the last mock. Sit the </w:t>
      </w:r>
      <w:r>
        <w:rPr>
          <w:rFonts w:ascii="Times New Roman" w:eastAsia="SimSun" w:hAnsi="Times New Roman"/>
          <w:b/>
          <w:bCs/>
          <w:color w:val="000000"/>
          <w:sz w:val="24"/>
          <w:szCs w:val="24"/>
        </w:rPr>
        <w:t xml:space="preserve">GRE or GMAT in the middle of the timeline</w:t>
      </w:r>
      <w:r>
        <w:rPr>
          <w:rFonts w:ascii="Times New Roman" w:eastAsia="SimSun" w:hAnsi="Times New Roman"/>
          <w:b w:val="false"/>
          <w:bCs w:val="false"/>
          <w:color w:val="000000"/>
          <w:sz w:val="24"/>
          <w:szCs w:val="24"/>
        </w:rPr>
        <w:t xml:space="preserve"> with a booked retake window, using ScoreSelect and equivalent reporting rules so that no weak attempt ever reaches a committee.</w:t>
      </w:r>
    </w:p>
    <w:p>
      <w:pPr>
        <w:keepNext w:val="false"/>
        <w:spacing w:after="200" w:line="312"/>
        <w:jc w:val="both"/>
      </w:pPr>
      <w:r>
        <w:rPr>
          <w:rFonts w:ascii="Times New Roman" w:eastAsia="SimSun" w:hAnsi="Times New Roman"/>
          <w:b w:val="false"/>
          <w:bCs w:val="false"/>
          <w:color w:val="000000"/>
          <w:sz w:val="24"/>
          <w:szCs w:val="24"/>
        </w:rPr>
        <w:t xml:space="preserve">Target scores </w:t>
      </w:r>
      <w:r>
        <w:rPr>
          <w:rFonts w:ascii="Times New Roman" w:eastAsia="SimSun" w:hAnsi="Times New Roman"/>
          <w:b/>
          <w:bCs/>
          <w:color w:val="000000"/>
          <w:sz w:val="24"/>
          <w:szCs w:val="24"/>
        </w:rPr>
        <w:t xml:space="preserve">above the stated minimums</w:t>
      </w:r>
      <w:r>
        <w:rPr>
          <w:rFonts w:ascii="Times New Roman" w:eastAsia="SimSun" w:hAnsi="Times New Roman"/>
          <w:b w:val="false"/>
          <w:bCs w:val="false"/>
          <w:color w:val="000000"/>
          <w:sz w:val="24"/>
          <w:szCs w:val="24"/>
        </w:rPr>
        <w:t xml:space="preserve">: IELTS 7.0 or TOEFL 100, and GRE 315-320 or GMAT Focus 645+, put you inside the competitive band for the scholarship programs documented in Chapter 6, while the stated floors merely make you eligible. </w:t>
      </w:r>
      <w:r>
        <w:rPr>
          <w:rFonts w:ascii="Times New Roman" w:eastAsia="SimSun" w:hAnsi="Times New Roman"/>
          <w:b/>
          <w:bCs/>
          <w:color w:val="000000"/>
          <w:sz w:val="24"/>
          <w:szCs w:val="24"/>
        </w:rPr>
        <w:t xml:space="preserve">Budget for the whole journey</w:t>
      </w:r>
      <w:r>
        <w:rPr>
          <w:rFonts w:ascii="Times New Roman" w:eastAsia="SimSun" w:hAnsi="Times New Roman"/>
          <w:b w:val="false"/>
          <w:bCs w:val="false"/>
          <w:color w:val="000000"/>
          <w:sz w:val="24"/>
          <w:szCs w:val="24"/>
        </w:rPr>
        <w:t xml:space="preserve">, roughly US$600 to US$1,200 including a retake and materials, and investigate the fee-reduction routes before paying full price. Finally, </w:t>
      </w:r>
      <w:r>
        <w:rPr>
          <w:rFonts w:ascii="Times New Roman" w:eastAsia="SimSun" w:hAnsi="Times New Roman"/>
          <w:b/>
          <w:bCs/>
          <w:color w:val="000000"/>
          <w:sz w:val="24"/>
          <w:szCs w:val="24"/>
        </w:rPr>
        <w:t xml:space="preserve">confirm every requirement on official pages</w:t>
      </w:r>
      <w:r>
        <w:rPr>
          <w:rFonts w:ascii="Times New Roman" w:eastAsia="SimSun" w:hAnsi="Times New Roman"/>
          <w:b w:val="false"/>
          <w:bCs w:val="false"/>
          <w:color w:val="000000"/>
          <w:sz w:val="24"/>
          <w:szCs w:val="24"/>
        </w:rPr>
        <w:t xml:space="preserve"> in your application year, because programs do adjust minimums, accepted alternatives and section floors annually, and a single afternoon spent auditing requirements against a spreadsheet protects the entire investment this guide describes.</w:t>
      </w:r>
    </w:p>
    <w:sectPr>
      <w:headerReference w:type="default" r:id="rId8"/>
      <w:footerReference w:type="default" r:id="rId9"/>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240"/>
      <w:jc w:val="center"/>
    </w:pPr>
    <w:r>
      <w:rPr>
        <w:rFonts w:ascii="Times New Roman" w:eastAsia="SimSun" w:hAnsi="Times New Roman"/>
        <w:color w:val="808080"/>
        <w:sz w:val="18"/>
        <w:szCs w:val="18"/>
      </w:rPr>
      <w:fldChar w:fldCharType="begin"/>
      <w:instrText xml:space="preserve"> PAGE \* ROMAN \* MERGEFORMAT </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240"/>
      <w:jc w:val="center"/>
    </w:pPr>
    <w:r>
      <w:rPr>
        <w:rFonts w:ascii="Times New Roman" w:eastAsia="SimSun" w:hAnsi="Times New Roman"/>
        <w:color w:val="808080"/>
        <w:sz w:val="18"/>
        <w:szCs w:val="18"/>
      </w:rPr>
      <w:fldChar w:fldCharType="begin"/>
      <w:instrText xml:space="preserve"> PAGE \* arabic \* MERGEFORMAT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line="240"/>
      <w:jc w:val="center"/>
    </w:pPr>
    <w:r>
      <w:rPr>
        <w:rFonts w:ascii="Times New Roman" w:eastAsia="SimSun" w:hAnsi="Times New Roman"/>
        <w:color w:val="808080"/>
        <w:sz w:val="18"/>
        <w:szCs w:val="18"/>
      </w:rPr>
      <w:t xml:space="preserve">GRE, GMAT, TOEFL and IELTS: A Practical Reference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80"/>
      <w:outlineLvl w:val="0"/>
    </w:pPr>
    <w:rPr>
      <w:rFonts w:ascii="Times New Roman" w:eastAsia="SimHei" w:hAnsi="Times New Roman"/>
      <w:b/>
      <w:bCs/>
      <w:color w:val="1A5276"/>
      <w:sz w:val="32"/>
      <w:szCs w:val="32"/>
    </w:rPr>
  </w:style>
  <w:style w:type="paragraph" w:styleId="Heading2">
    <w:name w:val="Heading 2"/>
    <w:basedOn w:val="Normal"/>
    <w:next w:val="Normal"/>
    <w:qFormat/>
    <w:pPr>
      <w:spacing w:after="120" w:before="260" w:line="340"/>
      <w:outlineLvl w:val="1"/>
    </w:pPr>
    <w:rPr>
      <w:rFonts w:ascii="Times New Roman" w:eastAsia="SimHei" w:hAnsi="Times New Roman"/>
      <w:b/>
      <w:bCs/>
      <w:color w:val="1A5276"/>
      <w:sz w:val="28"/>
      <w:szCs w:val="28"/>
    </w:rPr>
  </w:style>
  <w:style w:type="paragraph" w:styleId="Heading3">
    <w:pPr>
      <w:outlineLvl w:val="2"/>
    </w:pPr>
    <w:name w:val="Heading 3"/>
    <w:basedOn w:val="Normal"/>
    <w:next w:val="Normal"/>
    <w:qFormat/>
    <w:rPr>
      <w:color w:val="1F4D78"/>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 GMAT, TOEFL &amp; IELTS: A Complete Practical Guide</dc:title>
  <dc:creator>Reference Guide</dc:creator>
  <cp:lastModifiedBy>Un-named</cp:lastModifiedBy>
  <cp:revision>1</cp:revision>
  <dcterms:created xsi:type="dcterms:W3CDTF">2026-09-02T00:16:19.218Z</dcterms:created>
  <dcterms:modified xsi:type="dcterms:W3CDTF">2026-09-02T00:16:19.218Z</dcterms:modified>
</cp:coreProperties>
</file>

<file path=docProps/custom.xml><?xml version="1.0" encoding="utf-8"?>
<Properties xmlns="http://schemas.openxmlformats.org/officeDocument/2006/custom-properties" xmlns:vt="http://schemas.openxmlformats.org/officeDocument/2006/docPropsVTypes"/>
</file>