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bCs/>
        </w:rPr>
      </w:pPr>
      <w:r>
        <w:rPr>
          <w:b/>
          <w:bCs/>
        </w:rPr>
        <w:t> </w:t>
      </w:r>
      <w:r>
        <w:rPr>
          <w:b/>
          <w:bCs/>
        </w:rPr>
        <w:t>Форма анкеты преподавателя</w:t>
      </w:r>
    </w:p>
    <w:p>
      <w:pPr>
        <w:pStyle w:val="Normal"/>
        <w:rPr/>
      </w:pPr>
      <w:r>
        <w:rPr>
          <w:b/>
          <w:bCs/>
        </w:rPr>
        <w:t>Форма для заполнения преподавателями, включаемыми в базовую команду Центра образовательных программ топ-уровня (проект «ТОП ИТ СТАРТ»)</w:t>
      </w:r>
    </w:p>
    <w:p>
      <w:pPr>
        <w:pStyle w:val="Normal"/>
        <w:rPr/>
      </w:pPr>
      <w:r>
        <w:rPr/>
      </w:r>
    </w:p>
    <w:p>
      <w:pPr>
        <w:pStyle w:val="Normal"/>
        <w:rPr>
          <w:b/>
          <w:b/>
          <w:bCs/>
        </w:rPr>
      </w:pPr>
      <w:r>
        <w:rPr>
          <w:b/>
          <w:bCs/>
        </w:rPr>
        <w:t>Раздел 1. Общие сведения</w:t>
      </w:r>
    </w:p>
    <w:tbl>
      <w:tblPr>
        <w:tblW w:w="10206" w:type="dxa"/>
        <w:jc w:val="left"/>
        <w:tblInd w:w="0" w:type="dxa"/>
        <w:tblLayout w:type="fixed"/>
        <w:tblCellMar>
          <w:top w:w="150" w:type="dxa"/>
          <w:left w:w="5" w:type="dxa"/>
          <w:bottom w:w="150" w:type="dxa"/>
          <w:right w:w="235" w:type="dxa"/>
        </w:tblCellMar>
        <w:tblLook w:val="04a0" w:noHBand="0" w:noVBand="1" w:firstColumn="1" w:lastRow="0" w:lastColumn="0" w:firstRow="1"/>
      </w:tblPr>
      <w:tblGrid>
        <w:gridCol w:w="4394"/>
        <w:gridCol w:w="5811"/>
      </w:tblGrid>
      <w:tr>
        <w:trPr>
          <w:tblHeader w:val="true"/>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t>Поле</w:t>
            </w:r>
          </w:p>
        </w:tc>
        <w:tc>
          <w:tcPr>
            <w:tcW w:w="581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widowControl w:val="false"/>
              <w:spacing w:before="0" w:after="0"/>
              <w:ind w:left="0" w:right="0" w:hanging="0"/>
              <w:rPr/>
            </w:pPr>
            <w:r>
              <w:rPr/>
              <w:t>Информация</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ФИО</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Дьяченко Роман Александрович</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Дата рождения</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26 апреля 1979 г.</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Должность у КубГТУ</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Профессор кафедры информатики и вычислительной техники КубГТУ</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Кафедра / подразделение</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Кафедра информатики и вычислительной техники</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Учёная степень</w:t>
            </w:r>
            <w:r>
              <w:rPr/>
              <w:t> (при наличии)</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Доктор технических наук</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Учёное звание</w:t>
            </w:r>
            <w:r>
              <w:rPr/>
              <w:t> (при наличии)</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Доцент</w:t>
            </w:r>
          </w:p>
        </w:tc>
      </w:tr>
    </w:tbl>
    <w:p>
      <w:pPr>
        <w:pStyle w:val="Normal"/>
        <w:rPr/>
      </w:pPr>
      <w:r>
        <w:rPr/>
      </w:r>
    </w:p>
    <w:p>
      <w:pPr>
        <w:pStyle w:val="Normal"/>
        <w:rPr>
          <w:b/>
          <w:b/>
          <w:bCs/>
        </w:rPr>
      </w:pPr>
      <w:r>
        <w:rPr>
          <w:b/>
          <w:bCs/>
        </w:rPr>
        <w:t>Раздел 2. Образование</w:t>
      </w:r>
    </w:p>
    <w:tbl>
      <w:tblPr>
        <w:tblW w:w="10206" w:type="dxa"/>
        <w:jc w:val="left"/>
        <w:tblInd w:w="0" w:type="dxa"/>
        <w:tblLayout w:type="fixed"/>
        <w:tblCellMar>
          <w:top w:w="150" w:type="dxa"/>
          <w:left w:w="5" w:type="dxa"/>
          <w:bottom w:w="150" w:type="dxa"/>
          <w:right w:w="235" w:type="dxa"/>
        </w:tblCellMar>
        <w:tblLook w:val="04a0" w:noHBand="0" w:noVBand="1" w:firstColumn="1" w:lastRow="0" w:lastColumn="0" w:firstRow="1"/>
      </w:tblPr>
      <w:tblGrid>
        <w:gridCol w:w="4394"/>
        <w:gridCol w:w="5811"/>
      </w:tblGrid>
      <w:tr>
        <w:trPr>
          <w:tblHeader w:val="true"/>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t>Поле</w:t>
            </w:r>
          </w:p>
        </w:tc>
        <w:tc>
          <w:tcPr>
            <w:tcW w:w="581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widowControl w:val="false"/>
              <w:spacing w:before="0" w:after="0"/>
              <w:ind w:left="0" w:right="0" w:hanging="0"/>
              <w:rPr/>
            </w:pPr>
            <w:r>
              <w:rPr/>
              <w:t>Информация</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Высшее образование</w:t>
            </w:r>
            <w:r>
              <w:rPr/>
              <w:t> (вуз, год окончания, специальность / направление подготовки)</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Армавирский государственный педагогический институт, физико-математический факультет, отделение «Математика, информатика и вычислительная техника», 2001 г.; специальность «Учитель математики, информатики и вычислительной техники».</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Наличие документов о повышении квалификации в сфере ИТ</w:t>
            </w:r>
            <w:r>
              <w:rPr/>
              <w:t> (при наличии)</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 xml:space="preserve">Июнь 2023 г.: профессиональная переподготовка по направлению «Техническая защита информации ограниченного доступа, не содержащей сведения, составляющие государственную тайну» , КубГТУ, 504 ч. </w:t>
            </w:r>
          </w:p>
          <w:p>
            <w:pPr>
              <w:pStyle w:val="Normal"/>
              <w:widowControl w:val="false"/>
              <w:spacing w:before="0" w:after="0"/>
              <w:ind w:left="0" w:right="0" w:hanging="0"/>
              <w:rPr/>
            </w:pPr>
            <w:r>
              <w:rPr/>
              <w:t xml:space="preserve">Июнь 2012 г.: курсы повышения </w:t>
            </w:r>
          </w:p>
        </w:tc>
      </w:tr>
    </w:tbl>
    <w:p>
      <w:pPr>
        <w:pStyle w:val="Normal"/>
        <w:rPr/>
      </w:pPr>
      <w:r>
        <w:rPr/>
      </w:r>
    </w:p>
    <w:p>
      <w:pPr>
        <w:pStyle w:val="Normal"/>
        <w:rPr>
          <w:b/>
          <w:b/>
          <w:bCs/>
        </w:rPr>
      </w:pPr>
      <w:r>
        <w:rPr>
          <w:b/>
          <w:bCs/>
        </w:rPr>
        <w:t>Раздел 3. Опыт преподавательской / научно-педагогической деятельности</w:t>
      </w:r>
    </w:p>
    <w:tbl>
      <w:tblPr>
        <w:tblW w:w="10206" w:type="dxa"/>
        <w:jc w:val="left"/>
        <w:tblInd w:w="0" w:type="dxa"/>
        <w:tblLayout w:type="fixed"/>
        <w:tblCellMar>
          <w:top w:w="150" w:type="dxa"/>
          <w:left w:w="5" w:type="dxa"/>
          <w:bottom w:w="150" w:type="dxa"/>
          <w:right w:w="235" w:type="dxa"/>
        </w:tblCellMar>
        <w:tblLook w:val="04a0" w:noHBand="0" w:noVBand="1" w:firstColumn="1" w:lastRow="0" w:lastColumn="0" w:firstRow="1"/>
      </w:tblPr>
      <w:tblGrid>
        <w:gridCol w:w="4394"/>
        <w:gridCol w:w="5811"/>
      </w:tblGrid>
      <w:tr>
        <w:trPr>
          <w:tblHeader w:val="true"/>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t>Поле</w:t>
            </w:r>
          </w:p>
        </w:tc>
        <w:tc>
          <w:tcPr>
            <w:tcW w:w="581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widowControl w:val="false"/>
              <w:spacing w:before="0" w:after="0"/>
              <w:ind w:left="0" w:right="0" w:hanging="0"/>
              <w:rPr/>
            </w:pPr>
            <w:r>
              <w:rPr/>
              <w:t>Информация</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Общий стаж научно-педагогической деятельности</w:t>
            </w:r>
            <w:r>
              <w:rPr/>
              <w:t> (лет)</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20 лет по выписке кафедры 2025 г.; с сентября 2005 года по настоящее время (более 20 лет).</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Опыт преподавания профильных дисциплин в сфере информационных технологий</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С сентября 2005 по август 2008 года — старший преподаватель кафедры информатики и информационных технологий обучения Армавирского государственного педагогического университета. С сентября 2008 года — доцент кафедры информатики КубГТУ по совместительству, с января 2010 года — доцент кафедры информатики КубГТУ, с сентября 2015 года — профессор кафедры информатики и вычислительной техники КубГТУ. В 2020-2025 гг. проводил лекционные занятия по дисциплинам «Программирование мобильных устройств», «Низкоуровневые языки программирования», «Аппаратные средства вычислительной техники», «Операционные системы», «Основы научных исследований». В 2010-2015 гг. преподавал дисциплины «Информатика», «Объектно-ориентированное программирование», «Вычислительные системы», «Операционные системы», «Операционные системы и протоколы вычислительных сетей».</w:t>
            </w:r>
          </w:p>
        </w:tc>
      </w:tr>
      <w:tr>
        <w:trPr/>
        <w:tc>
          <w:tcPr>
            <w:tcW w:w="4394"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Перечень профильных дисциплин, планируемых к преподаванию в Центре</w:t>
            </w:r>
          </w:p>
        </w:tc>
        <w:tc>
          <w:tcPr>
            <w:tcW w:w="5811"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 xml:space="preserve">На основании подтвержденного опыта преподавания может вести дисциплины: программирование мобильных устройств, низкоуровневые языки программирования, аппаратные средства вычислительной техники, операционные системы, основы научных исследований, информатика, объектно-ориентированное программирование, вычислительные системы. </w:t>
            </w:r>
          </w:p>
        </w:tc>
      </w:tr>
    </w:tbl>
    <w:p>
      <w:pPr>
        <w:pStyle w:val="Normal"/>
        <w:rPr/>
      </w:pPr>
      <w:r>
        <w:rPr/>
      </w:r>
    </w:p>
    <w:p>
      <w:pPr>
        <w:pStyle w:val="Normal"/>
        <w:rPr>
          <w:b/>
          <w:b/>
          <w:bCs/>
        </w:rPr>
      </w:pPr>
      <w:r>
        <w:rPr>
          <w:b/>
          <w:bCs/>
        </w:rPr>
        <w:t>Раздел 4. Опыт работы в индустрии (для преподавателей-практиков)</w:t>
      </w:r>
    </w:p>
    <w:tbl>
      <w:tblPr>
        <w:tblW w:w="10348" w:type="dxa"/>
        <w:jc w:val="left"/>
        <w:tblInd w:w="0" w:type="dxa"/>
        <w:tblLayout w:type="fixed"/>
        <w:tblCellMar>
          <w:top w:w="150" w:type="dxa"/>
          <w:left w:w="5" w:type="dxa"/>
          <w:bottom w:w="150" w:type="dxa"/>
          <w:right w:w="235" w:type="dxa"/>
        </w:tblCellMar>
        <w:tblLook w:val="04a0" w:noHBand="0" w:noVBand="1" w:firstColumn="1" w:lastRow="0" w:lastColumn="0" w:firstRow="1"/>
      </w:tblPr>
      <w:tblGrid>
        <w:gridCol w:w="5648"/>
        <w:gridCol w:w="4699"/>
      </w:tblGrid>
      <w:tr>
        <w:trPr>
          <w:tblHeader w:val="true"/>
        </w:trPr>
        <w:tc>
          <w:tcPr>
            <w:tcW w:w="564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t>Поле</w:t>
            </w:r>
          </w:p>
        </w:tc>
        <w:tc>
          <w:tcPr>
            <w:tcW w:w="469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widowControl w:val="false"/>
              <w:spacing w:before="0" w:after="0"/>
              <w:ind w:left="0" w:right="0" w:hanging="0"/>
              <w:rPr/>
            </w:pPr>
            <w:r>
              <w:rPr/>
              <w:t>Информация</w:t>
            </w:r>
          </w:p>
        </w:tc>
      </w:tr>
      <w:tr>
        <w:trPr/>
        <w:tc>
          <w:tcPr>
            <w:tcW w:w="564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Опыт практической работы в организациях, осуществляющих деятельность в сфере информационных технологий</w:t>
            </w:r>
            <w:r>
              <w:rPr/>
              <w:t> (если есть)</w:t>
            </w:r>
          </w:p>
        </w:tc>
        <w:tc>
          <w:tcPr>
            <w:tcW w:w="469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 xml:space="preserve">С 2018 г. по настоящее время в составе КубГТУ выполнял хозяйственные научно-технические работы с предприятиями и организациями: предприятие «Каскад» (г. Краснодар) — разработка и программирование контроллера устройства контроля качества электроснабжения; Кубанский государственный медицинский университет — система диагностики болезней центральной нервной системы на основе моделей машинного обучения. В составе коллектива КубГТУ совместно с кафедрой геоинженерии и кадастра участвовал в хоздоговорах и грантах в качестве ведущего специалиста по искусственному интеллекту и машинному обучению. </w:t>
            </w:r>
          </w:p>
        </w:tc>
      </w:tr>
      <w:tr>
        <w:trPr/>
        <w:tc>
          <w:tcPr>
            <w:tcW w:w="564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Общий стаж работы в ИТ-индустрии</w:t>
            </w:r>
            <w:r>
              <w:rPr/>
              <w:t> (лет)</w:t>
            </w:r>
          </w:p>
        </w:tc>
        <w:tc>
          <w:tcPr>
            <w:tcW w:w="469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r>
          </w:p>
        </w:tc>
      </w:tr>
    </w:tbl>
    <w:p>
      <w:pPr>
        <w:pStyle w:val="Normal"/>
        <w:rPr/>
      </w:pPr>
      <w:r>
        <w:rPr/>
      </w:r>
    </w:p>
    <w:p>
      <w:pPr>
        <w:pStyle w:val="Normal"/>
        <w:rPr>
          <w:b/>
          <w:b/>
          <w:bCs/>
        </w:rPr>
      </w:pPr>
      <w:r>
        <w:rPr>
          <w:b/>
          <w:bCs/>
        </w:rPr>
        <w:t>Раздел 5. Научные и профессиональные достижения</w:t>
      </w:r>
    </w:p>
    <w:tbl>
      <w:tblPr>
        <w:tblW w:w="10348" w:type="dxa"/>
        <w:jc w:val="left"/>
        <w:tblInd w:w="0" w:type="dxa"/>
        <w:tblLayout w:type="fixed"/>
        <w:tblCellMar>
          <w:top w:w="150" w:type="dxa"/>
          <w:left w:w="5" w:type="dxa"/>
          <w:bottom w:w="150" w:type="dxa"/>
          <w:right w:w="235" w:type="dxa"/>
        </w:tblCellMar>
        <w:tblLook w:val="04a0" w:noHBand="0" w:noVBand="1" w:firstColumn="1" w:lastRow="0" w:lastColumn="0" w:firstRow="1"/>
      </w:tblPr>
      <w:tblGrid>
        <w:gridCol w:w="5823"/>
        <w:gridCol w:w="4524"/>
      </w:tblGrid>
      <w:tr>
        <w:trPr>
          <w:tblHeader w:val="true"/>
        </w:trPr>
        <w:tc>
          <w:tcPr>
            <w:tcW w:w="582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t>Поле</w:t>
            </w:r>
          </w:p>
        </w:tc>
        <w:tc>
          <w:tcPr>
            <w:tcW w:w="452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widowControl w:val="false"/>
              <w:spacing w:before="0" w:after="0"/>
              <w:ind w:left="0" w:right="0" w:hanging="0"/>
              <w:rPr/>
            </w:pPr>
            <w:r>
              <w:rPr/>
              <w:t>Информация</w:t>
            </w:r>
          </w:p>
        </w:tc>
      </w:tr>
      <w:tr>
        <w:trPr/>
        <w:tc>
          <w:tcPr>
            <w:tcW w:w="582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Публикации по тематике информационных технологий</w:t>
            </w:r>
            <w:r>
              <w:rPr/>
              <w:t> (за последние 5 лет)</w:t>
            </w:r>
          </w:p>
        </w:tc>
        <w:tc>
          <w:tcPr>
            <w:tcW w:w="452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1. Дьяченко Р.А., Ярутин С.А., Довгаль В.В., Гуляева А.П., Скворцова А.А. МАТЕМАТИЧЕСКОЕ МОДЕЛИРОВАНИЕ ЭКОНОМИЧЕСКОЙ ЭФФЕКТИВНОСТИ ВЕРИФИЦИРУЕМЫХ ОБЛАЧНЫХ ВЫЧИСЛЕНИЙ В РАСПРЕДЕЛЁННЫХ СИСТЕМАХ. Политематический сетевой электронный научный журнал Кубанского государственного аграрного университета. 2026. № 215. С. 419-430.</w:t>
              <w:br/>
              <w:t>2. Беспятчук Д.А., Дьяченко Р.А. АНАЛИЗ ПРЕДМЕТНОЙ ОБЛАСТИ И СУЩЕСТВУЮЩИХ РЕШЕНИЙ ДЛЯ ИДЕНТИФИКАЦИИ ОБЪЕКТОВ ЭЛЕКТРОСЕТЕВОГО ХОЗЯЙСТВА. В сборнике: Технические и технологические системы. Материалы XVI Международной научной конференции. В 2-х томах. Краснодар, 2025. С. 113-115.</w:t>
              <w:br/>
              <w:t>3. Беспятчук Д.А., Дьяченко Р.А. ТЕХНОЛОГИЧЕСКИЕ И ОРГАНИЗАЦИОННЫЕ АСПЕКТЫ ЦИФРОВИЗАЦИИ УЧЁТА АКТИВОВ ЭЛЕКТРОСЕТЕВОГО ХОЗЯЙСТВА. В сборнике: Технические и технологические системы. Материалы XVI Международной научной конференции. В 2-х томах. Краснодар, 2025. С. 116-119.</w:t>
              <w:br/>
              <w:t>4. Дьяченко Р.А., Угрюмов И.С., Коновал Р.А., Гармаш В.В. ОСОБЕННОСТИ СОЗДАНИЯ ДВУХПРИВОДНОГО РОБОТА НА ОСНОВЕ ESP32. В сборнике: Молодежная наука. Сборник лучших научных работ молодых ученых. Материалы LII студенческой научной конференции. Краснодар, 2025. С. 282-288.</w:t>
              <w:br/>
              <w:t>5. Гура Д.А., Дьяченко Р.А., Барышева А.М., Коломыцев А.А., Довгаль В.В. ВЫБОР ОПТИМАЛЬНОЙ МЕТОДИКИ ИДЕНТИФИКАЦИИ УГОДИЙ НА ЗЕМЛЯХ СЕЛЬСКОХОЗЯЙСТВЕННОГО НАЗНАЧЕНИЯ С ИСПОЛЬЗОВАНИЕМ НЕЙРОННЫХ СЕТЕЙ. Известия высших учебных заведений. Геодезия и аэрофотосъемка. 2025. Т. 69. № 2. С. 124-138.</w:t>
              <w:br/>
              <w:t>6. Гура Д.А., Дьяченко Р.А., Самарин С.В., Беспятчук Д.А. МЕТОДИКА ИСПОЛЬЗОВАНИЯ ВОЗДУШНОГО ЛАЗЕРНОГО СКАНИРОВАНИЯ И НЕЙРОСЕТЕВЫХ ТЕХНОЛОГИЙ ДЛЯ ОБЕСПЕЧЕНИЯ ДОСТОВЕРНЫМИ ПРОСТРАНСТВЕННЫМИ ДАННЫМИ КАДАСТРА НЕДВИЖИМОСТИ. Геодезия и картография. 2025. Т. 86. № 6. С. 54-63.</w:t>
              <w:br/>
              <w:t>7. Гура Д.А., Дьяченко Р.А., Ярутин С.А., Тихонов Т.А. МУЛЬТИКРИТЕРИАЛЬНЫЙ ПОДХОД К ВЫБОРУ ПАРАМЕТРОВ ДИСКРЕТИЗАЦИИ ДЛЯ ОПТИМАЛЬНОГО РАЗМЕЩЕНИЯ СТАНЦИЙ НАЗЕМНОГО ЛАЗЕРНОГО СКАНЕРА. Политематический сетевой электронный научный журнал Кубанского государственного аграрного университета. 2025. № 211. С. 458-474.</w:t>
              <w:br/>
              <w:t>8. Дьяченко Р.А., Саввиди К.Л., Гура Д.А. ОБОСНОВАНИЕ ВЫБОРА МОДЕЛИ ВОССТАНОВЛЕНИЯ НОРМАЛЕЙ ДЛЯ ПОСТРОЕНИЯ ТРЕХМЕРНОЙ СЕТОЧНОЙ ПОВЕРХНОСТИ. Программные продукты и системы. 2025. № 2. С. 315-324.</w:t>
              <w:br/>
              <w:t>9. Дьяченко Р.А., Гура Д.А., Ярутин С.А., Чечель П.Е. АЛГОРИТМИЧЕСКОЕ ОБЕСПЕЧЕНИЕ ЭФФЕКТИВНОГО СКАНИРОВАНИЯ ТЕРРИТОРИЙ: ПОСТРОЕНИЕ ОПТИМАЛЬНЫХ МАРШРУТОВ. Интерэкспо Гео-Сибирь. 2025. Т. 4. С. 11-16.</w:t>
              <w:br/>
              <w:t>10. Гура Д.А., Дьяченко Р.А., Тихонов Т.А. ПРИМЕНЕНИЕ АЛГОРИТМА CANUPO ДЛЯ КЛАССИФИКАЦИИ ТОЧЕК ЛАЗЕРНОГО ОТРАЖЕНИЯ. Интерэкспо Гео-Сибирь. 2025. Т. 4. С. 210-216.</w:t>
              <w:br/>
              <w:t>11. Гура Д.А., Дьяченко Р.А., Емтыль С.М., Шарифуллин С.Р., Саввиди К.Л. СИСТЕМНЫЙ АНАЛИЗ МЕТОДОВ ТРЁХМЕРНОЙ ИДЕНТИФИКАЦИИ ОБЪЕКТОВ ДЛЯ АКТУАЛИЗАЦИИ ИНФОРМАЦИОННОГО ОБЕСПЕЧЕНИЯ ГИС. Электронный сетевой политематический журнал "Научные труды КубГТУ". 2025. № 4. С. 52-65.</w:t>
              <w:br/>
              <w:t>12. Гура Д.А., Дьяченко Р.А., Ярутин С.А., Макарян А.С. МЕТОДИКА ПОСТРОЕНИЯ ОПТИМАЛЬНОГО МАРШРУТА ПРИ ПРОВЕДЕНИИ РАБОТ ПО СКАНИРОВАНИЮ ТЕРРИТОРИИ. Вестник СГУГиТ (Сибирского государственного университета геосистем и технологий). 2025. Т. 30. № 5. С. 89-100.</w:t>
              <w:br/>
              <w:t>13. Gura D., Dyachenko R., Yarutin S., Makaryan A. OPTIMAL PLACEMENT OF LASER SCANNING STATIONS FOR ORGANIZING WORK ON THREE-DIMENSIONAL IDENTIFICATION OF OBJECTS IN SPACE. В сборнике: Lecture Notes in Networks and Systems. Advances in Interdisciplinary Approaches for Complex Problem Solving. Krasnoyarsk, 2025. С. 518-527.</w:t>
              <w:br/>
              <w:t>14. Gura D., Dovgal V., Dyachenko R., Kolomytsev A., Budagov I. A COMPARATIVE RESEARCH OF THE EFFECTIVENESS OF YOLOV4 AND YOLOX ARCHITECTURES IN OBJECT RECOGNITION TASKS ON VIDEO. В сборнике: Digital and Information Technologies in Economics and Management. Proceedings of the International Scientific and Practical Conference. Cham, Switzerland, 2025. С. 13-26.</w:t>
              <w:br/>
              <w:t>15. Гура Д.А., Дьяченко Р.А., Саввиди К.Л., Дражецкий Д.А. РАЗРАБОТКА СТРУКТУРЫ ИНТЕЛЛЕКТУАЛЬНОЙ СИСТЕМЫ ДЛЯ РЕШЕНИЯ ЗАДАЧ ТЕРРИТОРИАЛЬНОГО ПЛАНИРОВАНИЯ. В сборнике: Передовые исследования Кубани. Сборник материалов Ежегодной отчетной конференции грантодержателей Кубанского научного фонда. Краснодар, 2024. С. 197-200.</w:t>
              <w:br/>
              <w:t>16. Дьяченко Р.А., Мирошников И.Д., Угрюмов И.С. ОСОБЕННОСТИ РАЗРАБОТКИ СИСТЕМЫ ДИСТАНЦИОННОГО МОНИТОРИНГА КЛИМАТИЧЕСКИХ ПОКАЗАТЕЛЕЙ И ЗАГАЗОВАННОСТИ В ПОМЕЩЕНИЯХ. В сборнике: Молодежная наука. Сборник лучших научных работ молодых ученых. Материалы LI студенческой научной конференции. Краснодар, 2024. С. 238-245.</w:t>
              <w:br/>
              <w:t>17. Дьяченко Р.А., Гура Д.А., Осенняя А.В., Самарин С.В., Беспятчук Д.А. РАЗРАБОТКА СТРУКТУРЫ ИНФОРМАЦИОННОЙ СИСТЕМЫ ГЕОПРОСТРАНСТВЕННЫХ ДАННЫХ ДЛЯ РЕШЕНИЯ ЗАДАЧ ТЕРРИТОРИАЛЬНОГО ПЛАНИРОВАНИЯ. Известия высших учебных заведений. Геодезия и аэрофотосъемка. 2024. Т. 68. № 4. С. 87-99.</w:t>
              <w:br/>
              <w:t>18. Дьяченко Р.А., Гура Д.А., Беспятчук Д.А., Самарин С.В., Белоконь И.А. ВЫБОР ТЕХНОЛОГИИ ТЕХНИЧЕСКОГО МОНИТОРИНГА ОБЪЕКТОВ СПОРТИВНОЙ ИНФРАСТРУКТУРЫ. Промышленное и гражданское строительство. 2024. № 2. С. 58-63.</w:t>
              <w:br/>
              <w:t>19. Дьяченко Р.А., Довгаль В.В., Гура Д.А. К ВОПРОСУ СРАВНЕНИЯ ЭФФЕКТИВНОСТИ НЕЙРОННЫХ СЕТЕЙ YOLOV8 И U-NET В ЗАДАЧАХ СЕГМЕНТАЦИИ ТЕРРИТОРИАЛЬНЫХ ОБЪЕКТОВ. Информационные технологии. 2024. Т. 30. № 9. С. 480-485.</w:t>
              <w:br/>
              <w:t>20. Dovgal V.V., Gura D.A., Dyachenko R.A. INVESTIGATION OF THE EFFECTIVENESS OF THE ARCHITECTURE OF CONVOLUTIONAL NEURAL NETWORKS ON SATELLITE IMAGES. В сборнике: Third International Conference on Optics, Computer Applications, and Materials Science (CMSD-III 2023). Washington, 2024. С. 1306512.</w:t>
              <w:br/>
              <w:t>21. Гура Д.А., Дьяченко Р.А., Шалая А.А. РАЗРАБОТКА МОДУЛЬНОЙ СТРУКТУРЫ ГЕОИНФОРМАЦИОННОЙ СИСТЕМЫ ПРОСТРАНСТВЕННОГО АНАЛИЗА ДАННЫХ. Землеустройство, кадастр и мониторинг земель. 2024. Т. 19. № 5 (232). С. 314-317.</w:t>
              <w:br/>
              <w:t>22. Гура Д.А., Дьяченко Р.А., Бойко Е.С., Левченко Д.А. НАСТРОЙКА ОБУЧЕНИЯ МОДЕЛЕЙ ПРИ КЛАССИФИКАЦИИ И СЕГМЕНТАЦИИ ОБЛАКОВ ТОЧЕК. Искусственный интеллект и принятие решений. 2024. № 1. С. 92-102. Версии: ON THE ISSUE OF SETTING UP MODEL TRAINING IN THE CLASSIFICATION AND SEGMENTATION OF POINT CLOUDS Gura D.A., Dyachenko R.A., Boyko E.S., Levchenko D.A. Scientific and Technical Information Processing. 2025. Т. 52. № 5. С. 454-461. 3</w:t>
              <w:br/>
              <w:t>23. Дьяченко Р.А., Гура Д.А., Самарин С.В., Беспятчук Д.А., Тотухов К.Е. К ВОПРОСУ О СТРУКТУРИЗАЦИИ ИНФОРМАЦИИ ДЛЯ ХРАНЕНИЯ ДАННЫХ ЛАЗЕРНОГО СКАНИРОВАНИЯ. Электронный сетевой политематический журнал "Научные труды КубГТУ". 2024. № 2. С. 102-110.</w:t>
              <w:br/>
              <w:t>24. Дьяченко Р.А., Гура Д.А., Беспятчук Д.А., Самарин С.В. ПОДБОР ПАРАМЕТРОВ ОБУЧЕНИЯ НЕЙРОННОЙ СЕТИ POINTNEXT ПРИ СЕГМЕНТАЦИИ ТОЧЕК ЛАЗЕРНОГО ОТРАЖЕНИЯ ДЛЯ ГОСУДАРСТВЕННОГО МОНИТОРИНГА ЗЕМЕЛЬ. Вестник СГУГиТ (Сибирского государственного университета геосистем и технологий). 2024. Т. 29. № 4. С. 135-144.</w:t>
              <w:br/>
              <w:t>25. Поморцев А.В., Редько А.Н., Барсукова Е.А., Матосян М.А., Дьяченко Ю.Ю., Дьяченко Р.А., Белоглядова И.А., Янаева М.В., Бабаян В.Т. ПРИМЕНЕНИЕ ИСКУССТВЕННОГО ИНТЕЛЛЕКТА В УЛЬТРАЗВУКОВОЙ ДИАГНОСТИКЕ ПОРОКОВ ЦНС ПЛОДА В СРОКАХ ГЕСТАЦИИ С 19 ПО 22 НЕДЕЛЮ БЕРЕМЕННОСТИ. Инновационная медицина Кубани. 2024. Т. 9. № 2. С. 42-47.</w:t>
              <w:br/>
              <w:t>26. Stepanenko V., Dovgal V., Gura D., Dyachenko R., Lipilin D. ANALYSIS OF THE CURRENT STATE OF THE ISSUE OF GREENHOUSE GAS EMISSION MONITORING. В сборнике: E3S Web of Conferences. Ural Environmental Science Forum “Sustainable Development of Industrial Region” (UESF-2024). EDP Sciences, 2024. С. 04004.</w:t>
              <w:br/>
              <w:t>27. Беркова Е.Д., Панютищева А.А., Гура Д.А., Дьяченко Р.А. АНАЛИЗ ЗЕМЕЛЬНОГО И ГРАДОСТРОИТЕЛЬНОГО ЗАКОНОДАТЕЛЬСТВА ДЛЯ РЕШЕНИЯ ЗАДАЧ КОМПЛЕКСНОГО РАЗВИТИЯ ТЕРРИТОРИЙ. Регулирование земельно-имущественных отношений в России: правовое и геопространственное обеспечение, оценка недвижимости, экология, технологические решения. 2024. № 1. С. 47-53.</w:t>
            </w:r>
          </w:p>
        </w:tc>
      </w:tr>
      <w:tr>
        <w:trPr/>
        <w:tc>
          <w:tcPr>
            <w:tcW w:w="582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Участие в НИОКР в сфере информационных технологий</w:t>
            </w:r>
            <w:r>
              <w:rPr/>
              <w:t> (за последние 5 лет)</w:t>
            </w:r>
          </w:p>
        </w:tc>
        <w:tc>
          <w:tcPr>
            <w:tcW w:w="452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 xml:space="preserve">Грант Кубанского научного фонда, проект № НИП-20.1/22.16 «Повышение эффективности идентификации объектов на основе пространственного анализа данных и методов машинного обучения»; роль по резюме — ведущий специалист по искусственному интеллекту и машинному обучению. </w:t>
              <w:br/>
              <w:t xml:space="preserve">Грант Российского научного фонда № 22-29-00849, грант 122011300088-0 «Разработка интеллектуальной информационной системы поддержки принятия решений для решения сложных задач территориального планирования с применением сильного искусственного интеллекта»; роль по резюме — ведущий специалист по искусственному интеллекту и машинному обучению. </w:t>
              <w:br/>
              <w:t>10.40.03.34-21, ООО «ПИИ «Севзапдорпроект»: «Аэровизуальный мониторинг объекта в г. Ялта Республика Крым» по объекту реконструкции автомобильной дороги 35 ОП РЗ 35А-002.</w:t>
              <w:br/>
              <w:t>10.40.03.36-21, ООО «ПИИ «Севзапдорпроект»: «Аэровизуальный мониторинг объекта в г. Алушта Республики Крым» по объекту реконструкции автомобильной дороги 35 ОП Р3 35А-002.</w:t>
              <w:br/>
              <w:t>10.40.03.43-22, ООО «НИИ ПГ»: научно-исследовательские, геодезические работы по созданию планово-высотного обоснования и формированию мозаики космических снимков на территорию муниципального образования г. Новороссийск.</w:t>
              <w:br/>
              <w:t>10.40.03.44-22, ООО «НИИ ПГ»: научно-исследовательские, картографические работы по созданию цифровых топографических планов для разработки проекта генерального плана городского округа город-курорт Сочи Краснодарского края.</w:t>
              <w:br/>
              <w:t>10.40.03.48-23, ООО «Центр Сервиса и Метрологии»: «Разработка методики визуализации точек лазерного отражения на основе пространственного анализа данных и методов машинного обучения».</w:t>
              <w:br/>
              <w:t>10.40.03.49-23, ООО «Центр Сервиса и Метрологии»: «Разработка методики сегментации точек лазерного отражения для целей повышения эффективности идентификации объектов».</w:t>
              <w:br/>
              <w:t>10.40.03.50-23, ООО «Центр Сервиса и Метрологии»: «Разработка методики классификации точек лазерного отражения для целей территориального планирования».</w:t>
              <w:br/>
              <w:t>10.40.03.55-23, ООО «Аэрогеоматика»: «Разработка методики идентификации объектов недвижимости для пространственного развития территорий».</w:t>
              <w:br/>
              <w:t xml:space="preserve">По выписке кафедры 2025 г. за последние 5 лет в соавторстве подготовлено 6 отчетов по НИР. </w:t>
            </w:r>
          </w:p>
        </w:tc>
      </w:tr>
      <w:tr>
        <w:trPr/>
        <w:tc>
          <w:tcPr>
            <w:tcW w:w="582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Результаты интеллектуальной деятельности в сфере ИТ</w:t>
            </w:r>
            <w:r>
              <w:rPr/>
              <w:t> (при наличии)</w:t>
            </w:r>
          </w:p>
        </w:tc>
        <w:tc>
          <w:tcPr>
            <w:tcW w:w="452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«CVSS-МАСТЕР» — свидетельство о регистрации программы для ЭВМ RU 2026617760, 20.03.2026.</w:t>
              <w:br/>
              <w:t>«Система отображения пространственных данных» — свидетельство о регистрации программы для ЭВМ RU 2026618864, 27.03.2026.</w:t>
              <w:br/>
              <w:t>База данных «Набор данных точек лазерного отражения с RGB KUBSTU_V» — свидетельство о регистрации базы данных RU 2025623369, 15.08.2025.</w:t>
              <w:br/>
              <w:t>«Онлайн-сервис для детекции объектов в пространстве на основе нейронных сетей» — свидетельство о регистрации программы для ЭВМ RU 2024665178, 27.06.2024.</w:t>
              <w:br/>
              <w:t>«Визуализатор облаков точек лазерного отражения» — свидетельство о регистрации программы для ЭВМ RU 2023663317, 21.06.2023.</w:t>
              <w:br/>
              <w:t>«Информационная система для выявления пороков центральной нервной системы у плода» — свидетельство о регистрации программы для ЭВМ RU 2023683120, 02.11.2023.</w:t>
              <w:br/>
              <w:t>«Программа определения уровня качества системы безопасности экспертным методом» — свидетельство о регистрации программы для ЭВМ RU 2022618171, 05.05.2022.</w:t>
              <w:br/>
              <w:t>«Определение оптимальных средств защиты информации в условиях неопределенности и риска» — свидетельство о регистрации программы для ЭВМ RU 2022618706, 13.05.2022.</w:t>
              <w:br/>
              <w:t>«Определение качества средств защиты информации экспертно-статистическим методом» — свидетельство о регистрации программы для ЭВМ RU 2022618919, 18.05.2022.</w:t>
            </w:r>
          </w:p>
        </w:tc>
      </w:tr>
      <w:tr>
        <w:trPr/>
        <w:tc>
          <w:tcPr>
            <w:tcW w:w="582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Руководство подготовкой победителей / призёров олимпиад, хакатонов в сфере ИТ</w:t>
            </w:r>
            <w:r>
              <w:rPr/>
              <w:t> (при наличии)</w:t>
            </w:r>
          </w:p>
        </w:tc>
        <w:tc>
          <w:tcPr>
            <w:tcW w:w="452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 xml:space="preserve">В 2012-2013 гг. был награжден дипломом и почетными грамотами за успешное руководство студентами — победителями внутривузовских, всероссийских и международных конференций; </w:t>
            </w:r>
          </w:p>
          <w:p>
            <w:pPr>
              <w:pStyle w:val="Normal"/>
              <w:widowControl w:val="false"/>
              <w:spacing w:before="0" w:after="0"/>
              <w:ind w:left="0" w:right="0" w:hanging="0"/>
              <w:rPr/>
            </w:pPr>
            <w:r>
              <w:rPr/>
              <w:t xml:space="preserve">в 2011 г. был награжден дипломом первой степени конкурса инновационных проектов «InnoTech». </w:t>
            </w:r>
          </w:p>
        </w:tc>
      </w:tr>
      <w:tr>
        <w:trPr/>
        <w:tc>
          <w:tcPr>
            <w:tcW w:w="5823"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b/>
                <w:b/>
                <w:bCs/>
              </w:rPr>
            </w:pPr>
            <w:r>
              <w:rPr>
                <w:b/>
                <w:bCs/>
              </w:rPr>
              <w:t>Профессиональные компетенции / области экспертизы в сфере ИТ</w:t>
            </w:r>
          </w:p>
        </w:tc>
        <w:tc>
          <w:tcPr>
            <w:tcW w:w="452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Разработка информационных систем различного назначения; искусственный интеллект; нейросетевые модели и технологии машинного обучения; машинное зрение; машинное осязание; ультразвуковая диагностика с применением машинного обучения; поиск, классификация и сегментация объектов в пространстве; обработка облаков точек лазерного отражения; геоинформационные системы и пространственный анализ данных; системы поддержки принятия решений; информационная безопасность; низкоуровневое программирование; программирование микроконтроллеров; операционные системы; аппаратные средства вычислительной техники; автоматизированные системы.</w:t>
            </w:r>
          </w:p>
        </w:tc>
      </w:tr>
    </w:tbl>
    <w:p>
      <w:pPr>
        <w:pStyle w:val="Normal"/>
        <w:rPr/>
      </w:pPr>
      <w:r>
        <w:rPr/>
      </w:r>
    </w:p>
    <w:p>
      <w:pPr>
        <w:pStyle w:val="Normal"/>
        <w:rPr>
          <w:b/>
          <w:b/>
          <w:bCs/>
        </w:rPr>
      </w:pPr>
      <w:r>
        <w:rPr>
          <w:b/>
          <w:bCs/>
        </w:rPr>
        <w:t>Раздел 6. Контактная информация</w:t>
      </w:r>
    </w:p>
    <w:tbl>
      <w:tblPr>
        <w:tblW w:w="10343" w:type="dxa"/>
        <w:jc w:val="left"/>
        <w:tblInd w:w="0" w:type="dxa"/>
        <w:tblLayout w:type="fixed"/>
        <w:tblCellMar>
          <w:top w:w="150" w:type="dxa"/>
          <w:left w:w="5" w:type="dxa"/>
          <w:bottom w:w="150" w:type="dxa"/>
          <w:right w:w="235" w:type="dxa"/>
        </w:tblCellMar>
        <w:tblLook w:val="04a0" w:noHBand="0" w:noVBand="1" w:firstColumn="1" w:lastRow="0" w:lastColumn="0" w:firstRow="1"/>
      </w:tblPr>
      <w:tblGrid>
        <w:gridCol w:w="6020"/>
        <w:gridCol w:w="4322"/>
      </w:tblGrid>
      <w:tr>
        <w:trPr>
          <w:tblHeader w:val="true"/>
        </w:trPr>
        <w:tc>
          <w:tcPr>
            <w:tcW w:w="60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t>Поле</w:t>
            </w:r>
          </w:p>
        </w:tc>
        <w:tc>
          <w:tcPr>
            <w:tcW w:w="432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widowControl w:val="false"/>
              <w:spacing w:before="0" w:after="0"/>
              <w:ind w:left="0" w:right="0" w:hanging="0"/>
              <w:rPr/>
            </w:pPr>
            <w:r>
              <w:rPr/>
              <w:t>Информация</w:t>
            </w:r>
          </w:p>
        </w:tc>
      </w:tr>
      <w:tr>
        <w:trPr/>
        <w:tc>
          <w:tcPr>
            <w:tcW w:w="60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Рабочий телефон</w:t>
            </w:r>
          </w:p>
        </w:tc>
        <w:tc>
          <w:tcPr>
            <w:tcW w:w="432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+79284220661</w:t>
            </w:r>
          </w:p>
        </w:tc>
      </w:tr>
      <w:tr>
        <w:trPr/>
        <w:tc>
          <w:tcPr>
            <w:tcW w:w="6020"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spacing w:before="0" w:after="0"/>
              <w:ind w:left="0" w:right="0" w:hanging="0"/>
              <w:rPr/>
            </w:pPr>
            <w:r>
              <w:rPr>
                <w:b/>
                <w:bCs/>
              </w:rPr>
              <w:t>E-mail</w:t>
            </w:r>
          </w:p>
        </w:tc>
        <w:tc>
          <w:tcPr>
            <w:tcW w:w="432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widowControl w:val="false"/>
              <w:spacing w:before="0" w:after="0"/>
              <w:ind w:left="0" w:right="0" w:hanging="0"/>
              <w:rPr/>
            </w:pPr>
            <w:r>
              <w:rPr/>
              <w:t>emessage@rambler.ru</w:t>
            </w:r>
          </w:p>
        </w:tc>
      </w:tr>
    </w:tbl>
    <w:p>
      <w:pPr>
        <w:pStyle w:val="Normal"/>
        <w:rPr/>
      </w:pPr>
      <w:r>
        <w:rPr/>
        <mc:AlternateContent>
          <mc:Choice Requires="wps">
            <w:drawing>
              <wp:inline distT="0" distB="0" distL="0" distR="0">
                <wp:extent cx="635" cy="9525"/>
                <wp:effectExtent l="0" t="0" r="0" b="0"/>
                <wp:docPr id="1" name="Фигура1"/>
                <a:graphic xmlns:a="http://schemas.openxmlformats.org/drawingml/2006/main">
                  <a:graphicData uri="http://schemas.microsoft.com/office/word/2010/wordprocessingShape">
                    <wps:wsp>
                      <wps:cNvSpPr/>
                      <wps:spPr>
                        <a:xfrm>
                          <a:off x="0" y="0"/>
                          <a:ext cx="720" cy="936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Фигура1" path="m0,0l-2147483645,0l-2147483645,-2147483646l0,-2147483646xe" fillcolor="#a0a0a0" stroked="f" o:allowincell="f" style="position:absolute;margin-left:0pt;margin-top:-0.8pt;width:0pt;height:0.7pt;mso-wrap-style:none;v-text-anchor:middle;mso-position-vertical:top">
                <v:fill o:detectmouseclick="t" type="solid" color2="#5f5f5f"/>
                <v:stroke color="#3465a4" joinstyle="round" endcap="flat"/>
                <w10:wrap type="square"/>
              </v:rect>
            </w:pict>
          </mc:Fallback>
        </mc:AlternateContent>
      </w:r>
    </w:p>
    <w:p>
      <w:pPr>
        <w:pStyle w:val="Normal"/>
        <w:rPr>
          <w:b/>
          <w:b/>
          <w:bCs/>
        </w:rPr>
      </w:pPr>
      <w:r>
        <w:rPr>
          <w:b/>
          <w:bCs/>
        </w:rPr>
        <w:t>Примечание для преподавателя</w:t>
      </w:r>
    </w:p>
    <w:p>
      <w:pPr>
        <w:pStyle w:val="Normal"/>
        <w:rPr/>
      </w:pPr>
      <w:r>
        <w:rPr>
          <w:b/>
          <w:bCs/>
        </w:rPr>
        <w:t>Категория преподавателя</w:t>
      </w:r>
      <w:r>
        <w:rPr/>
        <w:t> (нужное отметить / заполнить):</w:t>
      </w:r>
    </w:p>
    <w:p>
      <w:pPr>
        <w:pStyle w:val="Normal"/>
        <w:numPr>
          <w:ilvl w:val="0"/>
          <w:numId w:val="1"/>
        </w:numPr>
        <w:rPr/>
      </w:pPr>
      <w:r>
        <w:rPr/>
        <w:t xml:space="preserve">☒ </w:t>
      </w:r>
      <w:r>
        <w:rPr/>
        <w:t>Академический преподаватель (имеет учёную степень или стаж научно-педагогической деятельности, публикации / участие в НИОКР)</w:t>
      </w:r>
    </w:p>
    <w:p>
      <w:pPr>
        <w:pStyle w:val="Normal"/>
        <w:numPr>
          <w:ilvl w:val="0"/>
          <w:numId w:val="1"/>
        </w:numPr>
        <w:rPr/>
      </w:pPr>
      <w:r>
        <w:rPr/>
        <w:t xml:space="preserve">☐ </w:t>
      </w:r>
      <w:r>
        <w:rPr/>
        <w:t>Преподаватель-практик (имеет опыт практической работы в ИТ-компании не менее 3 лет)</w:t>
      </w:r>
    </w:p>
    <w:p>
      <w:pPr>
        <w:pStyle w:val="Normal"/>
        <w:rPr/>
      </w:pPr>
      <w:r>
        <w:rPr/>
      </w:r>
    </w:p>
    <w:p>
      <w:pPr>
        <w:pStyle w:val="Normal"/>
        <w:rPr/>
      </w:pPr>
      <w:r>
        <w:rPr/>
        <w:t>Дата заполнения: «26» мая 2026 г.</w:t>
      </w:r>
    </w:p>
    <w:p>
      <w:pPr>
        <w:pStyle w:val="Normal"/>
        <w:rPr/>
      </w:pPr>
      <w:r>
        <w:rPr>
          <w:b/>
          <w:bCs/>
        </w:rPr>
        <w:t>Подпись преподавателя:</w:t>
      </w:r>
      <w:r>
        <w:rPr/>
        <w:t> __________________</w:t>
      </w:r>
    </w:p>
    <w:p>
      <w:pPr>
        <w:pStyle w:val="Normal"/>
        <w:rPr/>
      </w:pPr>
      <w:r>
        <w:rPr/>
      </w:r>
    </w:p>
    <w:sectPr>
      <w:type w:val="nextPage"/>
      <w:pgSz w:w="11906" w:h="16838"/>
      <w:pgMar w:left="567" w:right="992" w:gutter="0" w:header="0" w:top="1134" w:footer="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Times New Roman Полужирный">
    <w:charset w:val="01"/>
    <w:family w:val="roman"/>
    <w:pitch w:val="variable"/>
  </w:font>
  <w:font w:name="Aptos Display">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37408"/>
    <w:pPr>
      <w:widowControl/>
      <w:suppressAutoHyphens w:val="true"/>
      <w:bidi w:val="0"/>
      <w:spacing w:lineRule="auto" w:line="240" w:before="0" w:after="0"/>
      <w:ind w:firstLine="709"/>
      <w:jc w:val="left"/>
    </w:pPr>
    <w:rPr>
      <w:rFonts w:ascii="Times New Roman" w:hAnsi="Times New Roman" w:eastAsia="Aptos" w:cs=""/>
      <w:color w:val="auto"/>
      <w:kern w:val="0"/>
      <w:sz w:val="28"/>
      <w:szCs w:val="22"/>
      <w:lang w:val="ru-RU" w:eastAsia="en-US" w:bidi="ar-SA"/>
      <w14:ligatures w14:val="none"/>
    </w:rPr>
  </w:style>
  <w:style w:type="paragraph" w:styleId="1">
    <w:name w:val="Heading 1"/>
    <w:basedOn w:val="Normal"/>
    <w:next w:val="Normal"/>
    <w:link w:val="11"/>
    <w:autoRedefine/>
    <w:uiPriority w:val="9"/>
    <w:qFormat/>
    <w:rsid w:val="00ec3d66"/>
    <w:pPr>
      <w:keepNext w:val="true"/>
      <w:keepLines/>
      <w:spacing w:before="120" w:after="0"/>
      <w:jc w:val="both"/>
      <w:outlineLvl w:val="0"/>
    </w:pPr>
    <w:rPr>
      <w:rFonts w:ascii="Times New Roman Полужирный" w:hAnsi="Times New Roman Полужирный" w:eastAsia="" w:cs="" w:cstheme="majorBidi" w:eastAsiaTheme="majorEastAsia"/>
      <w:b/>
      <w:bCs/>
      <w:caps/>
      <w:kern w:val="2"/>
      <w:szCs w:val="28"/>
      <w14:ligatures w14:val="standardContextual"/>
    </w:rPr>
  </w:style>
  <w:style w:type="paragraph" w:styleId="2">
    <w:name w:val="Heading 2"/>
    <w:basedOn w:val="Normal"/>
    <w:next w:val="Normal"/>
    <w:link w:val="21"/>
    <w:uiPriority w:val="9"/>
    <w:unhideWhenUsed/>
    <w:qFormat/>
    <w:rsid w:val="004e3984"/>
    <w:pPr>
      <w:keepNext w:val="true"/>
      <w:keepLines/>
      <w:spacing w:before="40" w:after="0"/>
      <w:outlineLvl w:val="1"/>
    </w:pPr>
    <w:rPr>
      <w:rFonts w:eastAsia="" w:cs="" w:cstheme="majorBidi" w:eastAsiaTheme="majorEastAsia"/>
      <w:b/>
      <w:szCs w:val="26"/>
    </w:rPr>
  </w:style>
  <w:style w:type="paragraph" w:styleId="3">
    <w:name w:val="Heading 3"/>
    <w:basedOn w:val="Normal"/>
    <w:next w:val="Normal"/>
    <w:link w:val="31"/>
    <w:autoRedefine/>
    <w:uiPriority w:val="9"/>
    <w:semiHidden/>
    <w:unhideWhenUsed/>
    <w:qFormat/>
    <w:rsid w:val="001b01f0"/>
    <w:pPr>
      <w:keepNext w:val="true"/>
      <w:keepLines/>
      <w:spacing w:before="40" w:after="0"/>
      <w:jc w:val="center"/>
      <w:outlineLvl w:val="2"/>
    </w:pPr>
    <w:rPr>
      <w:rFonts w:eastAsia="" w:cs="" w:cstheme="majorBidi" w:eastAsiaTheme="majorEastAsia"/>
    </w:rPr>
  </w:style>
  <w:style w:type="paragraph" w:styleId="4">
    <w:name w:val="Heading 4"/>
    <w:basedOn w:val="Normal"/>
    <w:next w:val="Normal"/>
    <w:link w:val="41"/>
    <w:uiPriority w:val="9"/>
    <w:semiHidden/>
    <w:unhideWhenUsed/>
    <w:qFormat/>
    <w:rsid w:val="00ae0d76"/>
    <w:pPr>
      <w:keepNext w:val="true"/>
      <w:keepLines/>
      <w:spacing w:before="80" w:after="40"/>
      <w:outlineLvl w:val="3"/>
    </w:pPr>
    <w:rPr>
      <w:rFonts w:ascii="Aptos" w:hAnsi="Aptos" w:eastAsia="" w:cs="" w:asciiTheme="minorHAnsi" w:cstheme="majorBidi" w:eastAsiaTheme="majorEastAsia" w:hAnsiTheme="minorHAnsi"/>
      <w:i/>
      <w:iCs/>
      <w:color w:val="0F4761" w:themeColor="accent1" w:themeShade="bf"/>
    </w:rPr>
  </w:style>
  <w:style w:type="paragraph" w:styleId="5">
    <w:name w:val="Heading 5"/>
    <w:basedOn w:val="Normal"/>
    <w:next w:val="Normal"/>
    <w:link w:val="51"/>
    <w:uiPriority w:val="9"/>
    <w:semiHidden/>
    <w:unhideWhenUsed/>
    <w:qFormat/>
    <w:rsid w:val="00ae0d76"/>
    <w:pPr>
      <w:keepNext w:val="true"/>
      <w:keepLines/>
      <w:spacing w:before="80" w:after="40"/>
      <w:outlineLvl w:val="4"/>
    </w:pPr>
    <w:rPr>
      <w:rFonts w:ascii="Aptos" w:hAnsi="Aptos" w:eastAsia="" w:cs="" w:asciiTheme="minorHAnsi" w:cstheme="majorBidi" w:eastAsiaTheme="majorEastAsia" w:hAnsiTheme="minorHAnsi"/>
      <w:color w:val="0F4761" w:themeColor="accent1" w:themeShade="bf"/>
    </w:rPr>
  </w:style>
  <w:style w:type="paragraph" w:styleId="6">
    <w:name w:val="Heading 6"/>
    <w:basedOn w:val="Normal"/>
    <w:next w:val="Normal"/>
    <w:link w:val="61"/>
    <w:uiPriority w:val="9"/>
    <w:semiHidden/>
    <w:unhideWhenUsed/>
    <w:qFormat/>
    <w:rsid w:val="00ae0d76"/>
    <w:pPr>
      <w:keepNext w:val="true"/>
      <w:keepLines/>
      <w:spacing w:before="40" w:after="0"/>
      <w:outlineLvl w:val="5"/>
    </w:pPr>
    <w:rPr>
      <w:rFonts w:ascii="Aptos" w:hAnsi="Aptos" w:eastAsia="" w:cs="" w:asciiTheme="minorHAnsi" w:cstheme="majorBidi" w:eastAsiaTheme="majorEastAsia" w:hAnsiTheme="minorHAnsi"/>
      <w:i/>
      <w:iCs/>
      <w:color w:val="595959" w:themeColor="text1" w:themeTint="a6"/>
    </w:rPr>
  </w:style>
  <w:style w:type="paragraph" w:styleId="7">
    <w:name w:val="Heading 7"/>
    <w:basedOn w:val="Normal"/>
    <w:next w:val="Normal"/>
    <w:link w:val="71"/>
    <w:uiPriority w:val="9"/>
    <w:semiHidden/>
    <w:unhideWhenUsed/>
    <w:qFormat/>
    <w:rsid w:val="00ae0d76"/>
    <w:pPr>
      <w:keepNext w:val="true"/>
      <w:keepLines/>
      <w:spacing w:before="40" w:after="0"/>
      <w:outlineLvl w:val="6"/>
    </w:pPr>
    <w:rPr>
      <w:rFonts w:ascii="Aptos" w:hAnsi="Aptos" w:eastAsia="" w:cs="" w:asciiTheme="minorHAnsi" w:cstheme="majorBidi" w:eastAsiaTheme="majorEastAsia" w:hAnsiTheme="minorHAnsi"/>
      <w:color w:val="595959" w:themeColor="text1" w:themeTint="a6"/>
    </w:rPr>
  </w:style>
  <w:style w:type="paragraph" w:styleId="8">
    <w:name w:val="Heading 8"/>
    <w:basedOn w:val="Normal"/>
    <w:next w:val="Normal"/>
    <w:link w:val="81"/>
    <w:uiPriority w:val="9"/>
    <w:semiHidden/>
    <w:unhideWhenUsed/>
    <w:qFormat/>
    <w:rsid w:val="00ae0d76"/>
    <w:pPr>
      <w:keepNext w:val="true"/>
      <w:keepLines/>
      <w:outlineLvl w:val="7"/>
    </w:pPr>
    <w:rPr>
      <w:rFonts w:ascii="Aptos" w:hAnsi="Aptos" w:eastAsia="" w:cs="" w:asciiTheme="minorHAnsi" w:cstheme="majorBidi" w:eastAsiaTheme="majorEastAsia" w:hAnsiTheme="minorHAnsi"/>
      <w:i/>
      <w:iCs/>
      <w:color w:val="272727" w:themeColor="text1" w:themeTint="d8"/>
    </w:rPr>
  </w:style>
  <w:style w:type="paragraph" w:styleId="9">
    <w:name w:val="Heading 9"/>
    <w:basedOn w:val="Normal"/>
    <w:next w:val="Normal"/>
    <w:link w:val="91"/>
    <w:uiPriority w:val="9"/>
    <w:semiHidden/>
    <w:unhideWhenUsed/>
    <w:qFormat/>
    <w:rsid w:val="00ae0d76"/>
    <w:pPr>
      <w:keepNext w:val="true"/>
      <w:keepLines/>
      <w:outlineLvl w:val="8"/>
    </w:pPr>
    <w:rPr>
      <w:rFonts w:ascii="Aptos" w:hAnsi="Aptos" w:eastAsia="" w:cs="" w:asciiTheme="minorHAnsi" w:cstheme="majorBidi" w:eastAsiaTheme="majorEastAsia" w:hAnsiTheme="minorHAnsi"/>
      <w:color w:val="272727" w:themeColor="text1" w:themeTint="d8"/>
    </w:rPr>
  </w:style>
  <w:style w:type="character" w:styleId="DefaultParagraphFont" w:default="1">
    <w:name w:val="Default Paragraph Font"/>
    <w:uiPriority w:val="1"/>
    <w:unhideWhenUsed/>
    <w:qFormat/>
    <w:rPr/>
  </w:style>
  <w:style w:type="character" w:styleId="21" w:customStyle="1">
    <w:name w:val="Заголовок 2 Знак"/>
    <w:basedOn w:val="DefaultParagraphFont"/>
    <w:uiPriority w:val="9"/>
    <w:qFormat/>
    <w:rsid w:val="004e3984"/>
    <w:rPr>
      <w:rFonts w:ascii="Times New Roman" w:hAnsi="Times New Roman" w:eastAsia="" w:cs="" w:cstheme="majorBidi" w:eastAsiaTheme="majorEastAsia"/>
      <w:b/>
      <w:sz w:val="28"/>
      <w:szCs w:val="26"/>
    </w:rPr>
  </w:style>
  <w:style w:type="character" w:styleId="11" w:customStyle="1">
    <w:name w:val="Заголовок 1 Знак"/>
    <w:basedOn w:val="DefaultParagraphFont"/>
    <w:uiPriority w:val="9"/>
    <w:qFormat/>
    <w:rsid w:val="00ec3d66"/>
    <w:rPr>
      <w:rFonts w:ascii="Times New Roman Полужирный" w:hAnsi="Times New Roman Полужирный" w:eastAsia="" w:cs="" w:cstheme="majorBidi" w:eastAsiaTheme="majorEastAsia"/>
      <w:b/>
      <w:bCs/>
      <w:caps/>
      <w:sz w:val="28"/>
      <w:szCs w:val="28"/>
    </w:rPr>
  </w:style>
  <w:style w:type="character" w:styleId="31" w:customStyle="1">
    <w:name w:val="Заголовок 3 Знак"/>
    <w:basedOn w:val="DefaultParagraphFont"/>
    <w:uiPriority w:val="9"/>
    <w:semiHidden/>
    <w:qFormat/>
    <w:rsid w:val="001b01f0"/>
    <w:rPr>
      <w:rFonts w:ascii="Times New Roman" w:hAnsi="Times New Roman" w:eastAsia="" w:cs="" w:cstheme="majorBidi" w:eastAsiaTheme="majorEastAsia"/>
      <w:sz w:val="28"/>
      <w:szCs w:val="24"/>
    </w:rPr>
  </w:style>
  <w:style w:type="character" w:styleId="Style5" w:customStyle="1">
    <w:name w:val="Основной текст Знак"/>
    <w:basedOn w:val="DefaultParagraphFont"/>
    <w:uiPriority w:val="1"/>
    <w:qFormat/>
    <w:rsid w:val="00620a37"/>
    <w:rPr>
      <w:rFonts w:ascii="Times New Roman" w:hAnsi="Times New Roman" w:eastAsia="Times New Roman" w:cs="Times New Roman"/>
      <w:sz w:val="28"/>
      <w:szCs w:val="28"/>
    </w:rPr>
  </w:style>
  <w:style w:type="character" w:styleId="Style6" w:customStyle="1">
    <w:name w:val="КР подзаголовок Знак"/>
    <w:link w:val="Style15"/>
    <w:qFormat/>
    <w:rsid w:val="00c122d9"/>
    <w:rPr>
      <w:rFonts w:ascii="Times New Roman" w:hAnsi="Times New Roman" w:cs="Times New Roman"/>
      <w:b/>
      <w:sz w:val="28"/>
      <w:szCs w:val="28"/>
      <w:u w:val="single"/>
    </w:rPr>
  </w:style>
  <w:style w:type="character" w:styleId="41" w:customStyle="1">
    <w:name w:val="Заголовок 4 Знак"/>
    <w:basedOn w:val="DefaultParagraphFont"/>
    <w:uiPriority w:val="9"/>
    <w:semiHidden/>
    <w:qFormat/>
    <w:rsid w:val="00ae0d76"/>
    <w:rPr>
      <w:rFonts w:eastAsia="" w:cs="" w:cstheme="majorBidi" w:eastAsiaTheme="majorEastAsia"/>
      <w:i/>
      <w:iCs/>
      <w:color w:val="0F4761" w:themeColor="accent1" w:themeShade="bf"/>
      <w:kern w:val="0"/>
      <w:sz w:val="28"/>
      <w14:ligatures w14:val="none"/>
    </w:rPr>
  </w:style>
  <w:style w:type="character" w:styleId="51" w:customStyle="1">
    <w:name w:val="Заголовок 5 Знак"/>
    <w:basedOn w:val="DefaultParagraphFont"/>
    <w:uiPriority w:val="9"/>
    <w:semiHidden/>
    <w:qFormat/>
    <w:rsid w:val="00ae0d76"/>
    <w:rPr>
      <w:rFonts w:eastAsia="" w:cs="" w:cstheme="majorBidi" w:eastAsiaTheme="majorEastAsia"/>
      <w:color w:val="0F4761" w:themeColor="accent1" w:themeShade="bf"/>
      <w:kern w:val="0"/>
      <w:sz w:val="28"/>
      <w14:ligatures w14:val="none"/>
    </w:rPr>
  </w:style>
  <w:style w:type="character" w:styleId="61" w:customStyle="1">
    <w:name w:val="Заголовок 6 Знак"/>
    <w:basedOn w:val="DefaultParagraphFont"/>
    <w:uiPriority w:val="9"/>
    <w:semiHidden/>
    <w:qFormat/>
    <w:rsid w:val="00ae0d76"/>
    <w:rPr>
      <w:rFonts w:eastAsia="" w:cs="" w:cstheme="majorBidi" w:eastAsiaTheme="majorEastAsia"/>
      <w:i/>
      <w:iCs/>
      <w:color w:val="595959" w:themeColor="text1" w:themeTint="a6"/>
      <w:kern w:val="0"/>
      <w:sz w:val="28"/>
      <w14:ligatures w14:val="none"/>
    </w:rPr>
  </w:style>
  <w:style w:type="character" w:styleId="71" w:customStyle="1">
    <w:name w:val="Заголовок 7 Знак"/>
    <w:basedOn w:val="DefaultParagraphFont"/>
    <w:uiPriority w:val="9"/>
    <w:semiHidden/>
    <w:qFormat/>
    <w:rsid w:val="00ae0d76"/>
    <w:rPr>
      <w:rFonts w:eastAsia="" w:cs="" w:cstheme="majorBidi" w:eastAsiaTheme="majorEastAsia"/>
      <w:color w:val="595959" w:themeColor="text1" w:themeTint="a6"/>
      <w:kern w:val="0"/>
      <w:sz w:val="28"/>
      <w14:ligatures w14:val="none"/>
    </w:rPr>
  </w:style>
  <w:style w:type="character" w:styleId="81" w:customStyle="1">
    <w:name w:val="Заголовок 8 Знак"/>
    <w:basedOn w:val="DefaultParagraphFont"/>
    <w:uiPriority w:val="9"/>
    <w:semiHidden/>
    <w:qFormat/>
    <w:rsid w:val="00ae0d76"/>
    <w:rPr>
      <w:rFonts w:eastAsia="" w:cs="" w:cstheme="majorBidi" w:eastAsiaTheme="majorEastAsia"/>
      <w:i/>
      <w:iCs/>
      <w:color w:val="272727" w:themeColor="text1" w:themeTint="d8"/>
      <w:kern w:val="0"/>
      <w:sz w:val="28"/>
      <w14:ligatures w14:val="none"/>
    </w:rPr>
  </w:style>
  <w:style w:type="character" w:styleId="91" w:customStyle="1">
    <w:name w:val="Заголовок 9 Знак"/>
    <w:basedOn w:val="DefaultParagraphFont"/>
    <w:uiPriority w:val="9"/>
    <w:semiHidden/>
    <w:qFormat/>
    <w:rsid w:val="00ae0d76"/>
    <w:rPr>
      <w:rFonts w:eastAsia="" w:cs="" w:cstheme="majorBidi" w:eastAsiaTheme="majorEastAsia"/>
      <w:color w:val="272727" w:themeColor="text1" w:themeTint="d8"/>
      <w:kern w:val="0"/>
      <w:sz w:val="28"/>
      <w14:ligatures w14:val="none"/>
    </w:rPr>
  </w:style>
  <w:style w:type="character" w:styleId="Style7" w:customStyle="1">
    <w:name w:val="Заголовок Знак"/>
    <w:basedOn w:val="DefaultParagraphFont"/>
    <w:uiPriority w:val="10"/>
    <w:qFormat/>
    <w:rsid w:val="00ae0d76"/>
    <w:rPr>
      <w:rFonts w:ascii="Aptos Display" w:hAnsi="Aptos Display" w:eastAsia="" w:cs="" w:asciiTheme="majorHAnsi" w:cstheme="majorBidi" w:eastAsiaTheme="majorEastAsia" w:hAnsiTheme="majorHAnsi"/>
      <w:spacing w:val="-10"/>
      <w:kern w:val="2"/>
      <w:sz w:val="56"/>
      <w:szCs w:val="56"/>
      <w14:ligatures w14:val="none"/>
    </w:rPr>
  </w:style>
  <w:style w:type="character" w:styleId="Style8" w:customStyle="1">
    <w:name w:val="Подзаголовок Знак"/>
    <w:basedOn w:val="DefaultParagraphFont"/>
    <w:uiPriority w:val="11"/>
    <w:qFormat/>
    <w:rsid w:val="00ae0d76"/>
    <w:rPr>
      <w:rFonts w:eastAsia="" w:cs="" w:cstheme="majorBidi" w:eastAsiaTheme="majorEastAsia"/>
      <w:color w:val="595959" w:themeColor="text1" w:themeTint="a6"/>
      <w:spacing w:val="15"/>
      <w:kern w:val="0"/>
      <w:sz w:val="28"/>
      <w:szCs w:val="28"/>
      <w14:ligatures w14:val="none"/>
    </w:rPr>
  </w:style>
  <w:style w:type="character" w:styleId="22" w:customStyle="1">
    <w:name w:val="Цитата 2 Знак"/>
    <w:basedOn w:val="DefaultParagraphFont"/>
    <w:link w:val="Quote"/>
    <w:uiPriority w:val="29"/>
    <w:qFormat/>
    <w:rsid w:val="00ae0d76"/>
    <w:rPr>
      <w:rFonts w:ascii="Times New Roman" w:hAnsi="Times New Roman"/>
      <w:i/>
      <w:iCs/>
      <w:color w:val="404040" w:themeColor="text1" w:themeTint="bf"/>
      <w:kern w:val="0"/>
      <w:sz w:val="28"/>
      <w14:ligatures w14:val="none"/>
    </w:rPr>
  </w:style>
  <w:style w:type="character" w:styleId="IntenseEmphasis">
    <w:name w:val="Intense Emphasis"/>
    <w:basedOn w:val="DefaultParagraphFont"/>
    <w:uiPriority w:val="21"/>
    <w:qFormat/>
    <w:rsid w:val="00ae0d76"/>
    <w:rPr>
      <w:i/>
      <w:iCs/>
      <w:color w:val="0F4761" w:themeColor="accent1" w:themeShade="bf"/>
    </w:rPr>
  </w:style>
  <w:style w:type="character" w:styleId="Style9" w:customStyle="1">
    <w:name w:val="Выделенная цитата Знак"/>
    <w:basedOn w:val="DefaultParagraphFont"/>
    <w:link w:val="IntenseQuote"/>
    <w:uiPriority w:val="30"/>
    <w:qFormat/>
    <w:rsid w:val="00ae0d76"/>
    <w:rPr>
      <w:rFonts w:ascii="Times New Roman" w:hAnsi="Times New Roman"/>
      <w:i/>
      <w:iCs/>
      <w:color w:val="0F4761" w:themeColor="accent1" w:themeShade="bf"/>
      <w:kern w:val="0"/>
      <w:sz w:val="28"/>
      <w14:ligatures w14:val="none"/>
    </w:rPr>
  </w:style>
  <w:style w:type="character" w:styleId="IntenseReference">
    <w:name w:val="Intense Reference"/>
    <w:basedOn w:val="DefaultParagraphFont"/>
    <w:uiPriority w:val="32"/>
    <w:qFormat/>
    <w:rsid w:val="00ae0d76"/>
    <w:rPr>
      <w:b/>
      <w:bCs/>
      <w:smallCaps/>
      <w:color w:val="0F4761" w:themeColor="accent1" w:themeShade="bf"/>
      <w:spacing w:val="5"/>
    </w:rPr>
  </w:style>
  <w:style w:type="paragraph" w:styleId="Style10">
    <w:name w:val="Заголовок"/>
    <w:basedOn w:val="Normal"/>
    <w:next w:val="Style11"/>
    <w:qFormat/>
    <w:pPr>
      <w:keepNext w:val="true"/>
      <w:spacing w:before="240" w:after="120"/>
    </w:pPr>
    <w:rPr>
      <w:rFonts w:ascii="Liberation Sans" w:hAnsi="Liberation Sans" w:eastAsia="Noto Sans CJK SC" w:cs="Lohit Devanagari"/>
      <w:sz w:val="28"/>
      <w:szCs w:val="28"/>
    </w:rPr>
  </w:style>
  <w:style w:type="paragraph" w:styleId="Style11">
    <w:name w:val="Body Text"/>
    <w:basedOn w:val="Normal"/>
    <w:link w:val="Style5"/>
    <w:uiPriority w:val="1"/>
    <w:qFormat/>
    <w:rsid w:val="00620a37"/>
    <w:pPr>
      <w:widowControl w:val="false"/>
      <w:spacing w:before="240" w:after="0"/>
    </w:pPr>
    <w:rPr>
      <w:rFonts w:eastAsia="Times New Roman" w:cs="Times New Roman"/>
      <w:kern w:val="2"/>
      <w:szCs w:val="28"/>
      <w14:ligatures w14:val="standardContextual"/>
    </w:rPr>
  </w:style>
  <w:style w:type="paragraph" w:styleId="Style12">
    <w:name w:val="List"/>
    <w:basedOn w:val="Style11"/>
    <w:pPr/>
    <w:rPr>
      <w:rFonts w:cs="Lohit Devanagari"/>
    </w:rPr>
  </w:style>
  <w:style w:type="paragraph" w:styleId="Style13">
    <w:name w:val="Caption"/>
    <w:basedOn w:val="Normal"/>
    <w:qFormat/>
    <w:pPr>
      <w:suppressLineNumbers/>
      <w:spacing w:before="120" w:after="120"/>
    </w:pPr>
    <w:rPr>
      <w:rFonts w:cs="Lohit Devanagari"/>
      <w:i/>
      <w:iCs/>
      <w:sz w:val="24"/>
      <w:szCs w:val="24"/>
    </w:rPr>
  </w:style>
  <w:style w:type="paragraph" w:styleId="Style14">
    <w:name w:val="Указатель"/>
    <w:basedOn w:val="Normal"/>
    <w:qFormat/>
    <w:pPr>
      <w:suppressLineNumbers/>
    </w:pPr>
    <w:rPr>
      <w:rFonts w:cs="Lohit Devanagari"/>
    </w:rPr>
  </w:style>
  <w:style w:type="paragraph" w:styleId="TableParagraph" w:customStyle="1">
    <w:name w:val="Table Paragraph"/>
    <w:basedOn w:val="Normal"/>
    <w:autoRedefine/>
    <w:uiPriority w:val="1"/>
    <w:qFormat/>
    <w:rsid w:val="00b441db"/>
    <w:pPr>
      <w:widowControl w:val="false"/>
    </w:pPr>
    <w:rPr/>
  </w:style>
  <w:style w:type="paragraph" w:styleId="12" w:customStyle="1">
    <w:name w:val="Обычный1"/>
    <w:autoRedefine/>
    <w:qFormat/>
    <w:rsid w:val="00037408"/>
    <w:pPr>
      <w:widowControl/>
      <w:suppressAutoHyphens w:val="true"/>
      <w:bidi w:val="0"/>
      <w:spacing w:lineRule="auto" w:line="240" w:before="0" w:after="0"/>
      <w:ind w:firstLine="709"/>
      <w:jc w:val="both"/>
    </w:pPr>
    <w:rPr>
      <w:rFonts w:ascii="Times New Roman" w:hAnsi="Times New Roman" w:eastAsia="Times New Roman" w:cs="Times New Roman"/>
      <w:color w:val="auto"/>
      <w:kern w:val="0"/>
      <w:sz w:val="28"/>
      <w:szCs w:val="20"/>
      <w:lang w:val="ru-RU" w:eastAsia="ru-RU" w:bidi="ar-SA"/>
      <w14:ligatures w14:val="none"/>
    </w:rPr>
  </w:style>
  <w:style w:type="paragraph" w:styleId="Style15" w:customStyle="1">
    <w:name w:val="КР подзаголовок"/>
    <w:basedOn w:val="Normal"/>
    <w:next w:val="Normal"/>
    <w:link w:val="Style6"/>
    <w:autoRedefine/>
    <w:qFormat/>
    <w:rsid w:val="00c122d9"/>
    <w:pPr>
      <w:keepNext w:val="true"/>
      <w:keepLines/>
      <w:suppressAutoHyphens w:val="true"/>
      <w:spacing w:before="240" w:after="120"/>
      <w:jc w:val="center"/>
      <w:outlineLvl w:val="2"/>
    </w:pPr>
    <w:rPr>
      <w:rFonts w:cs="Times New Roman"/>
      <w:b/>
      <w:kern w:val="2"/>
      <w:szCs w:val="28"/>
      <w:u w:val="single"/>
      <w14:ligatures w14:val="standardContextual"/>
    </w:rPr>
  </w:style>
  <w:style w:type="paragraph" w:styleId="Style16" w:customStyle="1">
    <w:name w:val="КР обычный текст"/>
    <w:basedOn w:val="Normal"/>
    <w:autoRedefine/>
    <w:qFormat/>
    <w:rsid w:val="00796d4c"/>
    <w:pPr>
      <w:jc w:val="both"/>
    </w:pPr>
    <w:rPr/>
  </w:style>
  <w:style w:type="paragraph" w:styleId="Style17">
    <w:name w:val="Title"/>
    <w:basedOn w:val="Normal"/>
    <w:next w:val="Normal"/>
    <w:link w:val="Style7"/>
    <w:uiPriority w:val="10"/>
    <w:qFormat/>
    <w:rsid w:val="00ae0d76"/>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tyle18">
    <w:name w:val="Subtitle"/>
    <w:basedOn w:val="Normal"/>
    <w:next w:val="Normal"/>
    <w:link w:val="Style8"/>
    <w:uiPriority w:val="11"/>
    <w:qFormat/>
    <w:rsid w:val="00ae0d76"/>
    <w:pPr>
      <w:spacing w:before="0" w:after="160"/>
      <w:ind w:firstLine="709"/>
    </w:pPr>
    <w:rPr>
      <w:rFonts w:ascii="Aptos" w:hAnsi="Aptos" w:eastAsia="" w:cs="" w:asciiTheme="minorHAnsi" w:cstheme="majorBidi" w:eastAsiaTheme="majorEastAsia" w:hAnsiTheme="minorHAnsi"/>
      <w:color w:val="595959" w:themeColor="text1" w:themeTint="a6"/>
      <w:spacing w:val="15"/>
      <w:szCs w:val="28"/>
    </w:rPr>
  </w:style>
  <w:style w:type="paragraph" w:styleId="Quote">
    <w:name w:val="Quote"/>
    <w:basedOn w:val="Normal"/>
    <w:next w:val="Normal"/>
    <w:link w:val="22"/>
    <w:uiPriority w:val="29"/>
    <w:qFormat/>
    <w:rsid w:val="00ae0d76"/>
    <w:pPr>
      <w:spacing w:before="160" w:after="160"/>
      <w:jc w:val="center"/>
    </w:pPr>
    <w:rPr>
      <w:i/>
      <w:iCs/>
      <w:color w:val="404040" w:themeColor="text1" w:themeTint="bf"/>
    </w:rPr>
  </w:style>
  <w:style w:type="paragraph" w:styleId="ListParagraph">
    <w:name w:val="List Paragraph"/>
    <w:basedOn w:val="Normal"/>
    <w:uiPriority w:val="34"/>
    <w:qFormat/>
    <w:rsid w:val="00ae0d76"/>
    <w:pPr>
      <w:spacing w:before="0" w:after="0"/>
      <w:ind w:left="720" w:firstLine="709"/>
      <w:contextualSpacing/>
    </w:pPr>
    <w:rPr/>
  </w:style>
  <w:style w:type="paragraph" w:styleId="IntenseQuote">
    <w:name w:val="Intense Quote"/>
    <w:basedOn w:val="Normal"/>
    <w:next w:val="Normal"/>
    <w:link w:val="Style9"/>
    <w:uiPriority w:val="30"/>
    <w:qFormat/>
    <w:rsid w:val="00ae0d76"/>
    <w:pPr>
      <w:pBdr>
        <w:top w:val="single" w:sz="4" w:space="10" w:color="0F4761"/>
        <w:bottom w:val="single" w:sz="4" w:space="10" w:color="0F4761"/>
      </w:pBdr>
      <w:spacing w:before="360" w:after="360"/>
      <w:ind w:left="864" w:right="864" w:firstLine="709"/>
      <w:jc w:val="center"/>
    </w:pPr>
    <w:rPr>
      <w:i/>
      <w:iCs/>
      <w:color w:val="0F4761" w:themeColor="accent1" w:themeShade="bf"/>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Application>LibreOffice/7.3.7.2$Linux_X86_64 LibreOffice_project/30$Build-2</Application>
  <AppVersion>15.0000</AppVersion>
  <Pages>15</Pages>
  <Words>1968</Words>
  <Characters>14312</Characters>
  <CharactersWithSpaces>16239</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2026-05-24T18:39:00Z</dcterms:created>
  <dc:creator>О.С. Безнос</dc:creator>
  <dc:description/>
  <dc:language>ru-RU</dc:language>
  <cp:lastModifiedBy/>
  <dcterms:modified xsi:type="dcterms:W3CDTF">2026-05-26T22:47:51Z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