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13e0860e3788777c7cc6a7bbdfaef931c990841"/>
    <w:p>
      <w:pPr>
        <w:pStyle w:val="Heading1"/>
      </w:pPr>
      <w:r>
        <w:t xml:space="preserve">Cover Letter — Senior Secured Term Loan (Discussion Draft)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2026-07-06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GrnBit (Cayman) Holdings · Miracle Lake TX Phase 1</w:t>
      </w:r>
      <w:r>
        <w:br/>
      </w:r>
      <w:r>
        <w:rPr>
          <w:b/>
          <w:bCs/>
        </w:rPr>
        <w:t xml:space="preserve">To:</w:t>
      </w:r>
      <w:r>
        <w:t xml:space="preserve"> </w:t>
      </w:r>
      <w:r>
        <w:t xml:space="preserve">Prospective senior lender / participation syndicate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Indicative $3,000,000 senior secured term loan facility — balloon structure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Non-binding · for discussion with counsel only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Dear Lender,</w:t>
      </w:r>
    </w:p>
    <w:p>
      <w:pPr>
        <w:pStyle w:val="BodyText"/>
      </w:pPr>
      <w:r>
        <w:t xml:space="preserve">GrnBit (Cayman) Holdings (</w:t>
      </w:r>
      <w:r>
        <w:t xml:space="preserve">“</w:t>
      </w:r>
      <w:r>
        <w:rPr>
          <w:b/>
          <w:bCs/>
        </w:rPr>
        <w:t xml:space="preserve">Borrower</w:t>
      </w:r>
      <w:r>
        <w:t xml:space="preserve">”</w:t>
      </w:r>
      <w:r>
        <w:t xml:space="preserve">) requests your consideration of a senior secured term loan to fund energisation and OCTO AI validation at</w:t>
      </w:r>
      <w:r>
        <w:t xml:space="preserve"> </w:t>
      </w:r>
      <w:r>
        <w:rPr>
          <w:b/>
          <w:bCs/>
        </w:rPr>
        <w:t xml:space="preserve">Miracle Lake, Karnes County, Texas — Phase 1</w:t>
      </w:r>
      <w:r>
        <w:t xml:space="preserve">.</w:t>
      </w:r>
    </w:p>
    <w:bookmarkStart w:id="9" w:name="why-this-letter"/>
    <w:p>
      <w:pPr>
        <w:pStyle w:val="Heading3"/>
      </w:pPr>
      <w:r>
        <w:t xml:space="preserve">Why this letter</w:t>
      </w:r>
    </w:p>
    <w:p>
      <w:pPr>
        <w:pStyle w:val="FirstParagraph"/>
      </w:pPr>
      <w:r>
        <w:t xml:space="preserve">We are not asking you to rely on a static deck. Coverage metrics in the enclosed term sheet are sized from the</w:t>
      </w:r>
      <w:r>
        <w:t xml:space="preserve"> </w:t>
      </w:r>
      <w:r>
        <w:rPr>
          <w:b/>
          <w:bCs/>
        </w:rPr>
        <w:t xml:space="preserve">live OCTO AI dashboard simulation</w:t>
      </w:r>
      <w:r>
        <w:t xml:space="preserve"> </w:t>
      </w:r>
      <w:r>
        <w:t xml:space="preserve">pulled 2026-07-06T19:59:10.334Z:</w:t>
      </w:r>
    </w:p>
    <w:p>
      <w:pPr>
        <w:pStyle w:val="Compact"/>
        <w:numPr>
          <w:ilvl w:val="0"/>
          <w:numId w:val="1001"/>
        </w:numPr>
      </w:pPr>
      <w:r>
        <w:t xml:space="preserve">OCTO daily profit (optimized twin):</w:t>
      </w:r>
      <w:r>
        <w:t xml:space="preserve"> </w:t>
      </w:r>
      <w:r>
        <w:rPr>
          <w:b/>
          <w:bCs/>
        </w:rPr>
        <w:t xml:space="preserve">$2,387/day</w:t>
      </w:r>
    </w:p>
    <w:p>
      <w:pPr>
        <w:pStyle w:val="Compact"/>
        <w:numPr>
          <w:ilvl w:val="0"/>
          <w:numId w:val="1001"/>
        </w:numPr>
      </w:pPr>
      <w:r>
        <w:t xml:space="preserve">OCTO edge vs industry-typical baseline:</w:t>
      </w:r>
      <w:r>
        <w:t xml:space="preserve"> </w:t>
      </w:r>
      <w:r>
        <w:rPr>
          <w:b/>
          <w:bCs/>
        </w:rPr>
        <w:t xml:space="preserve">+22.6%</w:t>
      </w:r>
    </w:p>
    <w:p>
      <w:pPr>
        <w:pStyle w:val="Compact"/>
        <w:numPr>
          <w:ilvl w:val="0"/>
          <w:numId w:val="1001"/>
        </w:numPr>
      </w:pPr>
      <w:r>
        <w:t xml:space="preserve">BTC price in model:</w:t>
      </w:r>
      <w:r>
        <w:t xml:space="preserve"> </w:t>
      </w:r>
      <w:r>
        <w:rPr>
          <w:b/>
          <w:bCs/>
        </w:rPr>
        <w:t xml:space="preserve">$63,581</w:t>
      </w:r>
    </w:p>
    <w:p>
      <w:pPr>
        <w:pStyle w:val="Compact"/>
        <w:numPr>
          <w:ilvl w:val="0"/>
          <w:numId w:val="1001"/>
        </w:numPr>
      </w:pPr>
      <w:r>
        <w:t xml:space="preserve">Validation status:</w:t>
      </w:r>
      <w:r>
        <w:t xml:space="preserve"> </w:t>
      </w:r>
      <w:r>
        <w:rPr>
          <w:b/>
          <w:bCs/>
        </w:rPr>
        <w:t xml:space="preserve">simulation-validated</w:t>
      </w:r>
    </w:p>
    <w:p>
      <w:pPr>
        <w:pStyle w:val="FirstParagraph"/>
      </w:pPr>
      <w:r>
        <w:t xml:space="preserve">The dashboard is the same surface we use for investor diligence:</w:t>
      </w:r>
      <w:r>
        <w:br/>
      </w:r>
      <w:r>
        <w:t xml:space="preserve">https://octo-dashboard-rikj.onrender.com/</w:t>
      </w:r>
    </w:p>
    <w:bookmarkEnd w:id="9"/>
    <w:bookmarkStart w:id="10" w:name="Xc214dbb8b0f1fe11498d9b447af4d9fea91292f"/>
    <w:p>
      <w:pPr>
        <w:pStyle w:val="Heading3"/>
      </w:pPr>
      <w:r>
        <w:t xml:space="preserve">Why balloon — not full 48-month amortization</w:t>
      </w:r>
    </w:p>
    <w:p>
      <w:pPr>
        <w:pStyle w:val="FirstParagraph"/>
      </w:pPr>
      <w:r>
        <w:t xml:space="preserve">At the fixed commercial terms under discussion (</w:t>
      </w:r>
      <w:r>
        <w:rPr>
          <w:b/>
          <w:bCs/>
        </w:rPr>
        <w:t xml:space="preserve">48 months · 12% fixed</w:t>
      </w:r>
      <w:r>
        <w:t xml:space="preserve">), a fully amortizing schedule requires approximately</w:t>
      </w:r>
      <w:r>
        <w:t xml:space="preserve"> </w:t>
      </w:r>
      <w:r>
        <w:rPr>
          <w:b/>
          <w:bCs/>
        </w:rPr>
        <w:t xml:space="preserve">35%/yr</w:t>
      </w:r>
      <w:r>
        <w:t xml:space="preserve"> </w:t>
      </w:r>
      <w:r>
        <w:t xml:space="preserve">debt-service yield on principal. The simulation-derived profit yield on funded capex at Phase 1 scale is approximately</w:t>
      </w:r>
      <w:r>
        <w:t xml:space="preserve"> </w:t>
      </w:r>
      <w:r>
        <w:rPr>
          <w:b/>
          <w:bCs/>
        </w:rPr>
        <w:t xml:space="preserve">29%/yr</w:t>
      </w:r>
      <w:r>
        <w:t xml:space="preserve">. Under full amortization, natural DSCR tops out near</w:t>
      </w:r>
      <w:r>
        <w:t xml:space="preserve"> </w:t>
      </w:r>
      <w:r>
        <w:rPr>
          <w:b/>
          <w:bCs/>
        </w:rPr>
        <w:t xml:space="preserve">0.82x</w:t>
      </w:r>
      <w:r>
        <w:t xml:space="preserve"> </w:t>
      </w:r>
      <w:r>
        <w:t xml:space="preserve">even at a</w:t>
      </w:r>
      <w:r>
        <w:t xml:space="preserve"> </w:t>
      </w:r>
      <w:r>
        <w:rPr>
          <w:b/>
          <w:bCs/>
        </w:rPr>
        <w:t xml:space="preserve">$3,000,000</w:t>
      </w:r>
      <w:r>
        <w:t xml:space="preserve"> </w:t>
      </w:r>
      <w:r>
        <w:t xml:space="preserve">draw — below any defensible</w:t>
      </w:r>
      <w:r>
        <w:t xml:space="preserve"> </w:t>
      </w:r>
      <w:r>
        <w:rPr>
          <w:b/>
          <w:bCs/>
        </w:rPr>
        <w:t xml:space="preserve">1.3x–1.5x</w:t>
      </w:r>
      <w:r>
        <w:t xml:space="preserve"> </w:t>
      </w:r>
      <w:r>
        <w:t xml:space="preserve">lender floor.</w:t>
      </w:r>
    </w:p>
    <w:p>
      <w:pPr>
        <w:pStyle w:val="BodyText"/>
      </w:pPr>
      <w:r>
        <w:t xml:space="preserve">This is a</w:t>
      </w:r>
      <w:r>
        <w:t xml:space="preserve"> </w:t>
      </w:r>
      <w:r>
        <w:rPr>
          <w:b/>
          <w:bCs/>
        </w:rPr>
        <w:t xml:space="preserve">structural</w:t>
      </w:r>
      <w:r>
        <w:t xml:space="preserve"> </w:t>
      </w:r>
      <w:r>
        <w:t xml:space="preserve">constraint, not a negotiating position. The financeable alternative — standard in project finance — is to</w:t>
      </w:r>
      <w:r>
        <w:t xml:space="preserve"> </w:t>
      </w:r>
      <w:r>
        <w:rPr>
          <w:b/>
          <w:bCs/>
        </w:rPr>
        <w:t xml:space="preserve">size post–interest-only payments to a target DSCR</w:t>
      </w:r>
      <w:r>
        <w:t xml:space="preserve"> </w:t>
      </w:r>
      <w:r>
        <w:t xml:space="preserve">and accept a</w:t>
      </w:r>
      <w:r>
        <w:t xml:space="preserve"> </w:t>
      </w:r>
      <w:r>
        <w:rPr>
          <w:b/>
          <w:bCs/>
        </w:rPr>
        <w:t xml:space="preserve">balloon / refinance balance at maturity</w:t>
      </w:r>
      <w:r>
        <w:t xml:space="preserve"> </w:t>
      </w:r>
      <w:r>
        <w:t xml:space="preserve">rather than pretend the loan self-liquidates in 48 months.</w:t>
      </w:r>
    </w:p>
    <w:bookmarkEnd w:id="10"/>
    <w:bookmarkStart w:id="11" w:name="facility-sizes-offered"/>
    <w:p>
      <w:pPr>
        <w:pStyle w:val="Heading3"/>
      </w:pPr>
      <w:r>
        <w:t xml:space="preserve">Facility sizes offered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92"/>
        <w:gridCol w:w="37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Tranche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$1,000,000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offered</w:t>
            </w:r>
            <w:r>
              <w:t xml:space="preserve"> </w:t>
            </w:r>
            <w:r>
              <w:t xml:space="preserve">— does not fund a viable build-out after site and container fixed costs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$2,000,000</w:t>
            </w:r>
          </w:p>
        </w:tc>
        <w:tc>
          <w:tcPr/>
          <w:p>
            <w:pPr>
              <w:pStyle w:val="Compact"/>
            </w:pPr>
            <w:r>
              <w:t xml:space="preserve">Offered — see term sheet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$3,000,000</w:t>
            </w:r>
          </w:p>
        </w:tc>
        <w:tc>
          <w:tcPr/>
          <w:p>
            <w:pPr>
              <w:pStyle w:val="Compact"/>
            </w:pPr>
            <w:r>
              <w:t xml:space="preserve">Offered — full Phase 1 scale (preferred)</w:t>
            </w:r>
          </w:p>
        </w:tc>
      </w:tr>
    </w:tbl>
    <w:p>
      <w:pPr>
        <w:pStyle w:val="BodyText"/>
      </w:pPr>
      <w:r>
        <w:t xml:space="preserve">Minimum lender participation:</w:t>
      </w:r>
      <w:r>
        <w:t xml:space="preserve"> </w:t>
      </w:r>
      <w:r>
        <w:rPr>
          <w:b/>
          <w:bCs/>
        </w:rPr>
        <w:t xml:space="preserve">$250,000</w:t>
      </w:r>
      <w:r>
        <w:t xml:space="preserve">. Multiple lenders may participate pro-rata in a single facility up to</w:t>
      </w:r>
      <w:r>
        <w:t xml:space="preserve"> </w:t>
      </w:r>
      <w:r>
        <w:rPr>
          <w:b/>
          <w:bCs/>
        </w:rPr>
        <w:t xml:space="preserve">$3,000,000</w:t>
      </w:r>
      <w:r>
        <w:t xml:space="preserve">.</w:t>
      </w:r>
    </w:p>
    <w:bookmarkEnd w:id="11"/>
    <w:bookmarkStart w:id="12" w:name="enclosures"/>
    <w:p>
      <w:pPr>
        <w:pStyle w:val="Heading3"/>
      </w:pPr>
      <w:r>
        <w:t xml:space="preserve">Enclosures</w:t>
      </w:r>
    </w:p>
    <w:p>
      <w:pPr>
        <w:pStyle w:val="Compact"/>
        <w:numPr>
          <w:ilvl w:val="0"/>
          <w:numId w:val="1002"/>
        </w:numPr>
      </w:pPr>
      <w:r>
        <w:t xml:space="preserve">Indicative Term Sheet (balloon structure)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Form Loan Agreement (discussion draft — counsel to finalize)</w:t>
      </w:r>
    </w:p>
    <w:bookmarkEnd w:id="12"/>
    <w:bookmarkStart w:id="13" w:name="important-disclosures"/>
    <w:p>
      <w:pPr>
        <w:pStyle w:val="Heading3"/>
      </w:pPr>
      <w:r>
        <w:t xml:space="preserve">Important disclosures</w:t>
      </w:r>
    </w:p>
    <w:p>
      <w:pPr>
        <w:pStyle w:val="Compact"/>
        <w:numPr>
          <w:ilvl w:val="0"/>
          <w:numId w:val="1003"/>
        </w:numPr>
      </w:pPr>
      <w:r>
        <w:t xml:space="preserve">OCTO AI performance is</w:t>
      </w:r>
      <w:r>
        <w:t xml:space="preserve"> </w:t>
      </w:r>
      <w:r>
        <w:rPr>
          <w:b/>
          <w:bCs/>
        </w:rPr>
        <w:t xml:space="preserve">simulation-validated</w:t>
      </w:r>
      <w:r>
        <w:t xml:space="preserve"> </w:t>
      </w:r>
      <w:r>
        <w:t xml:space="preserve">pending Phase 1 energisation.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CAPEX build-out sizing uses</w:t>
      </w:r>
      <w:r>
        <w:t xml:space="preserve"> </w:t>
      </w:r>
      <w:r>
        <w:rPr>
          <w:b/>
          <w:bCs/>
        </w:rPr>
        <w:t xml:space="preserve">locked vendor quotes</w:t>
      </w:r>
      <w:r>
        <w:t xml:space="preserve"> </w:t>
      </w:r>
      <w:r>
        <w:t xml:space="preserve">(AntSpace/Bitmain hardware + Xplor interconnect) in</w:t>
      </w:r>
      <w:r>
        <w:t xml:space="preserve"> </w:t>
      </w:r>
      <w:r>
        <w:rPr>
          <w:rStyle w:val="VerbatimChar"/>
        </w:rPr>
        <w:t xml:space="preserve">capex-quotes.json</w:t>
      </w:r>
      <w:r>
        <w:t xml:space="preserve">, reconciled to</w:t>
      </w:r>
      <w:r>
        <w:t xml:space="preserve"> </w:t>
      </w:r>
      <w:r>
        <w:rPr>
          <w:b/>
          <w:bCs/>
        </w:rPr>
        <w:t xml:space="preserve">$3.02M</w:t>
      </w:r>
      <w:r>
        <w:t xml:space="preserve"> </w:t>
      </w:r>
      <w:r>
        <w:t xml:space="preserve">Phase 1 total.</w:t>
      </w:r>
    </w:p>
    <w:p>
      <w:pPr>
        <w:pStyle w:val="Compact"/>
        <w:numPr>
          <w:ilvl w:val="0"/>
          <w:numId w:val="1003"/>
        </w:numPr>
      </w:pPr>
      <w:r>
        <w:t xml:space="preserve">This package is</w:t>
      </w:r>
      <w:r>
        <w:t xml:space="preserve"> </w:t>
      </w:r>
      <w:r>
        <w:rPr>
          <w:b/>
          <w:bCs/>
        </w:rPr>
        <w:t xml:space="preserve">not an offer of securities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not legal or tax advice</w:t>
      </w:r>
      <w:r>
        <w:t xml:space="preserve">.</w:t>
      </w:r>
    </w:p>
    <w:p>
      <w:pPr>
        <w:pStyle w:val="FirstParagraph"/>
      </w:pPr>
      <w:r>
        <w:t xml:space="preserve">We welcome a diligence call and site scoping session. Contact:</w:t>
      </w:r>
      <w:r>
        <w:t xml:space="preserve"> </w:t>
      </w:r>
      <w:r>
        <w:rPr>
          <w:b/>
          <w:bCs/>
        </w:rPr>
        <w:t xml:space="preserve">info@grnbit.digital</w:t>
      </w:r>
      <w:r>
        <w:t xml:space="preserve">.</w:t>
      </w:r>
    </w:p>
    <w:p>
      <w:pPr>
        <w:pStyle w:val="BodyText"/>
      </w:pPr>
      <w:r>
        <w:t xml:space="preserve">Respectfully,</w:t>
      </w:r>
    </w:p>
    <w:p>
      <w:pPr>
        <w:pStyle w:val="BodyText"/>
      </w:pPr>
      <w:r>
        <w:rPr>
          <w:b/>
          <w:bCs/>
        </w:rPr>
        <w:t xml:space="preserve">GrnBit (Cayman) Holdings</w:t>
      </w:r>
      <w:r>
        <w:br/>
      </w:r>
      <w:r>
        <w:t xml:space="preserve">Miracle Lake TX Phase 1 · OCTO AI Validation Site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2026-07-06T19:59:10Z</dcterms:created>
  <dcterms:modified xsi:type="dcterms:W3CDTF">2026-07-06T19:59:10Z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