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X7e331646239d768b01c50f789b86ed6ca05b8f1"/>
    <w:p>
      <w:pPr>
        <w:pStyle w:val="Heading1"/>
      </w:pPr>
      <w:r>
        <w:t xml:space="preserve">Form Loan Agreement — Senior Secured Term Loan (Discussion Draft)</w:t>
      </w:r>
    </w:p>
    <w:p>
      <w:pPr>
        <w:pStyle w:val="FirstParagraph"/>
      </w:pPr>
      <w:r>
        <w:rPr>
          <w:b/>
          <w:bCs/>
        </w:rPr>
        <w:t xml:space="preserve">WARNING:</w:t>
      </w:r>
      <w:r>
        <w:t xml:space="preserve"> </w:t>
      </w:r>
      <w:r>
        <w:t xml:space="preserve">Form only. GrnBit counsel must review before execution. Non-binding template.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2026-07-06</w:t>
      </w:r>
      <w:r>
        <w:br/>
      </w:r>
      <w:r>
        <w:rPr>
          <w:b/>
          <w:bCs/>
        </w:rPr>
        <w:t xml:space="preserve">Parties:</w:t>
      </w:r>
      <w:r>
        <w:t xml:space="preserve"> </w:t>
      </w:r>
      <w:r>
        <w:t xml:space="preserve">GrnBit (Cayman) Holdings (</w:t>
      </w:r>
      <w:r>
        <w:t xml:space="preserve">“Borrower”</w:t>
      </w:r>
      <w:r>
        <w:t xml:space="preserve">) · [Lender Name] (</w:t>
      </w:r>
      <w:r>
        <w:t xml:space="preserve">“Lender”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Start w:id="9" w:name="article-1-definitions"/>
    <w:p>
      <w:pPr>
        <w:pStyle w:val="Heading2"/>
      </w:pPr>
      <w:r>
        <w:t xml:space="preserve">Article 1 — Definitions</w:t>
      </w:r>
    </w:p>
    <w:p>
      <w:pPr>
        <w:pStyle w:val="FirstParagraph"/>
      </w:pPr>
      <w:r>
        <w:t xml:space="preserve">Key definitions include:</w:t>
      </w:r>
      <w:r>
        <w:t xml:space="preserve"> </w:t>
      </w:r>
      <w:r>
        <w:rPr>
          <w:b/>
          <w:bCs/>
        </w:rPr>
        <w:t xml:space="preserve">Business Day</w:t>
      </w:r>
      <w:r>
        <w:t xml:space="preserve">,</w:t>
      </w:r>
      <w:r>
        <w:t xml:space="preserve"> </w:t>
      </w:r>
      <w:r>
        <w:rPr>
          <w:b/>
          <w:bCs/>
        </w:rPr>
        <w:t xml:space="preserve">DSCR</w:t>
      </w:r>
      <w:r>
        <w:t xml:space="preserve">,</w:t>
      </w:r>
      <w:r>
        <w:t xml:space="preserve"> </w:t>
      </w:r>
      <w:r>
        <w:rPr>
          <w:b/>
          <w:bCs/>
        </w:rPr>
        <w:t xml:space="preserve">Drawdown Date</w:t>
      </w:r>
      <w:r>
        <w:t xml:space="preserve">,</w:t>
      </w:r>
      <w:r>
        <w:t xml:space="preserve"> </w:t>
      </w:r>
      <w:r>
        <w:rPr>
          <w:b/>
          <w:bCs/>
        </w:rPr>
        <w:t xml:space="preserve">Facility Amount</w:t>
      </w:r>
      <w:r>
        <w:t xml:space="preserve">,</w:t>
      </w:r>
      <w:r>
        <w:t xml:space="preserve"> </w:t>
      </w:r>
      <w:r>
        <w:rPr>
          <w:b/>
          <w:bCs/>
        </w:rPr>
        <w:t xml:space="preserve">Interest Period</w:t>
      </w:r>
      <w:r>
        <w:t xml:space="preserve">,</w:t>
      </w:r>
      <w:r>
        <w:t xml:space="preserve"> </w:t>
      </w:r>
      <w:r>
        <w:rPr>
          <w:b/>
          <w:bCs/>
        </w:rPr>
        <w:t xml:space="preserve">Maturity Date</w:t>
      </w:r>
      <w:r>
        <w:t xml:space="preserve">,</w:t>
      </w:r>
      <w:r>
        <w:t xml:space="preserve"> </w:t>
      </w:r>
      <w:r>
        <w:rPr>
          <w:b/>
          <w:bCs/>
        </w:rPr>
        <w:t xml:space="preserve">OCTO Validation Milestone</w:t>
      </w:r>
      <w:r>
        <w:t xml:space="preserve">,</w:t>
      </w:r>
      <w:r>
        <w:t xml:space="preserve"> </w:t>
      </w:r>
      <w:r>
        <w:rPr>
          <w:b/>
          <w:bCs/>
        </w:rPr>
        <w:t xml:space="preserve">Project Assets</w:t>
      </w:r>
      <w:r>
        <w:t xml:space="preserve">,</w:t>
      </w:r>
      <w:r>
        <w:t xml:space="preserve"> </w:t>
      </w:r>
      <w:r>
        <w:rPr>
          <w:b/>
          <w:bCs/>
        </w:rPr>
        <w:t xml:space="preserve">Scheduled Payment</w:t>
      </w:r>
      <w:r>
        <w:t xml:space="preserve">,</w:t>
      </w:r>
      <w:r>
        <w:t xml:space="preserve"> </w:t>
      </w:r>
      <w:r>
        <w:rPr>
          <w:b/>
          <w:bCs/>
        </w:rPr>
        <w:t xml:space="preserve">Balloon Payment</w:t>
      </w:r>
      <w:r>
        <w:t xml:space="preserve">.</w:t>
      </w:r>
    </w:p>
    <w:bookmarkEnd w:id="9"/>
    <w:bookmarkStart w:id="10" w:name="article-2-facility"/>
    <w:p>
      <w:pPr>
        <w:pStyle w:val="Heading2"/>
      </w:pPr>
      <w:r>
        <w:t xml:space="preserve">Article 2 — Facility</w:t>
      </w:r>
    </w:p>
    <w:p>
      <w:pPr>
        <w:pStyle w:val="FirstParagraph"/>
      </w:pPr>
      <w:r>
        <w:t xml:space="preserve">2.1</w:t>
      </w:r>
      <w:r>
        <w:t xml:space="preserve"> </w:t>
      </w:r>
      <w:r>
        <w:rPr>
          <w:b/>
          <w:bCs/>
        </w:rPr>
        <w:t xml:space="preserve">Commitment.</w:t>
      </w:r>
      <w:r>
        <w:t xml:space="preserve"> </w:t>
      </w:r>
      <w:r>
        <w:t xml:space="preserve">Lender commits</w:t>
      </w:r>
      <w:r>
        <w:t xml:space="preserve"> </w:t>
      </w:r>
      <w:r>
        <w:rPr>
          <w:b/>
          <w:bCs/>
        </w:rPr>
        <w:t xml:space="preserve">${Lender Commitment Amount}</w:t>
      </w:r>
      <w:r>
        <w:t xml:space="preserve"> </w:t>
      </w:r>
      <w:r>
        <w:t xml:space="preserve">as part of an aggregate facility up to</w:t>
      </w:r>
      <w:r>
        <w:t xml:space="preserve"> </w:t>
      </w:r>
      <w:r>
        <w:rPr>
          <w:b/>
          <w:bCs/>
        </w:rPr>
        <w:t xml:space="preserve">$3,000,000</w:t>
      </w:r>
      <w:r>
        <w:t xml:space="preserve">.</w:t>
      </w:r>
    </w:p>
    <w:p>
      <w:pPr>
        <w:pStyle w:val="BodyText"/>
      </w:pPr>
      <w:r>
        <w:t xml:space="preserve">2.2</w:t>
      </w:r>
      <w:r>
        <w:t xml:space="preserve"> </w:t>
      </w:r>
      <w:r>
        <w:rPr>
          <w:b/>
          <w:bCs/>
        </w:rPr>
        <w:t xml:space="preserve">Tranche election.</w:t>
      </w:r>
      <w:r>
        <w:t xml:space="preserve"> </w:t>
      </w:r>
      <w:r>
        <w:t xml:space="preserve">Borrower elects at First Draw:</w:t>
      </w:r>
      <w:r>
        <w:t xml:space="preserve"> </w:t>
      </w:r>
      <w:r>
        <w:rPr>
          <w:b/>
          <w:bCs/>
        </w:rPr>
        <w:t xml:space="preserve">$2,000,000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$3,000,000</w:t>
      </w:r>
      <w:r>
        <w:t xml:space="preserve"> </w:t>
      </w:r>
      <w:r>
        <w:t xml:space="preserve">structure per Schedule A.</w:t>
      </w:r>
    </w:p>
    <w:p>
      <w:pPr>
        <w:pStyle w:val="BodyText"/>
      </w:pPr>
      <w:r>
        <w:t xml:space="preserve">2.3</w:t>
      </w:r>
      <w:r>
        <w:t xml:space="preserve"> </w:t>
      </w:r>
      <w:r>
        <w:rPr>
          <w:b/>
          <w:bCs/>
        </w:rPr>
        <w:t xml:space="preserve">Excluded tranche.</w:t>
      </w:r>
      <w:r>
        <w:t xml:space="preserve"> </w:t>
      </w:r>
      <w:r>
        <w:t xml:space="preserve">No</w:t>
      </w:r>
      <w:r>
        <w:t xml:space="preserve"> </w:t>
      </w:r>
      <w:r>
        <w:rPr>
          <w:b/>
          <w:bCs/>
        </w:rPr>
        <w:t xml:space="preserve">$1,000,000</w:t>
      </w:r>
      <w:r>
        <w:t xml:space="preserve"> </w:t>
      </w:r>
      <w:r>
        <w:t xml:space="preserve">loans — insufficient build-out coverage.</w:t>
      </w:r>
    </w:p>
    <w:p>
      <w:pPr>
        <w:pStyle w:val="BodyText"/>
      </w:pPr>
      <w:r>
        <w:t xml:space="preserve">2.4</w:t>
      </w:r>
      <w:r>
        <w:t xml:space="preserve"> </w:t>
      </w:r>
      <w:r>
        <w:rPr>
          <w:b/>
          <w:bCs/>
        </w:rPr>
        <w:t xml:space="preserve">Use of proceeds.</w:t>
      </w:r>
      <w:r>
        <w:t xml:space="preserve"> </w:t>
      </w:r>
      <w:r>
        <w:t xml:space="preserve">Phase 1 Miracle Lake TX: site work, containers, miners, interconnect, OCTO deployment, reserves.</w:t>
      </w:r>
    </w:p>
    <w:bookmarkEnd w:id="10"/>
    <w:bookmarkStart w:id="11" w:name="article-3-interest-and-fees"/>
    <w:p>
      <w:pPr>
        <w:pStyle w:val="Heading2"/>
      </w:pPr>
      <w:r>
        <w:t xml:space="preserve">Article 3 — Interest and fees</w:t>
      </w:r>
    </w:p>
    <w:p>
      <w:pPr>
        <w:pStyle w:val="FirstParagraph"/>
      </w:pPr>
      <w:r>
        <w:t xml:space="preserve">3.1</w:t>
      </w:r>
      <w:r>
        <w:t xml:space="preserve"> </w:t>
      </w:r>
      <w:r>
        <w:rPr>
          <w:b/>
          <w:bCs/>
        </w:rPr>
        <w:t xml:space="preserve">Rate.</w:t>
      </w:r>
      <w:r>
        <w:t xml:space="preserve"> </w:t>
      </w:r>
      <w:r>
        <w:t xml:space="preserve">12% per annum, fixed, actual/360 or 30/360 (counsel to elect).</w:t>
      </w:r>
    </w:p>
    <w:p>
      <w:pPr>
        <w:pStyle w:val="BodyText"/>
      </w:pPr>
      <w:r>
        <w:t xml:space="preserve">3.2</w:t>
      </w:r>
      <w:r>
        <w:t xml:space="preserve"> </w:t>
      </w:r>
      <w:r>
        <w:rPr>
          <w:b/>
          <w:bCs/>
        </w:rPr>
        <w:t xml:space="preserve">Default rate.</w:t>
      </w:r>
      <w:r>
        <w:t xml:space="preserve"> </w:t>
      </w:r>
      <w:r>
        <w:t xml:space="preserve">Rate + 4% per annum on overdue amounts.</w:t>
      </w:r>
    </w:p>
    <w:p>
      <w:pPr>
        <w:pStyle w:val="BodyText"/>
      </w:pPr>
      <w:r>
        <w:t xml:space="preserve">3.3</w:t>
      </w:r>
      <w:r>
        <w:t xml:space="preserve"> </w:t>
      </w:r>
      <w:r>
        <w:rPr>
          <w:b/>
          <w:bCs/>
        </w:rPr>
        <w:t xml:space="preserve">Upfront fee.</w:t>
      </w:r>
      <w:r>
        <w:t xml:space="preserve"> </w:t>
      </w:r>
      <w:r>
        <w:t xml:space="preserve">[●]% of commitment (negotiable).</w:t>
      </w:r>
      <w:r>
        <w:br/>
      </w:r>
      <w:r>
        <w:t xml:space="preserve">3.4</w:t>
      </w:r>
      <w:r>
        <w:t xml:space="preserve"> </w:t>
      </w:r>
      <w:r>
        <w:rPr>
          <w:b/>
          <w:bCs/>
        </w:rPr>
        <w:t xml:space="preserve">Exit / balloon fee.</w:t>
      </w:r>
      <w:r>
        <w:t xml:space="preserve"> </w:t>
      </w:r>
      <w:r>
        <w:t xml:space="preserve">[●]% of Balloon Payment if refinanced with third party (negotiable).</w:t>
      </w:r>
    </w:p>
    <w:bookmarkEnd w:id="11"/>
    <w:bookmarkStart w:id="14" w:name="article-4-payment-schedule-schedule-a"/>
    <w:p>
      <w:pPr>
        <w:pStyle w:val="Heading2"/>
      </w:pPr>
      <w:r>
        <w:t xml:space="preserve">Article 4 — Payment schedule (Schedule A)</w:t>
      </w:r>
    </w:p>
    <w:p>
      <w:pPr>
        <w:pStyle w:val="FirstParagraph"/>
      </w:pPr>
      <w:r>
        <w:rPr>
          <w:b/>
          <w:bCs/>
        </w:rPr>
        <w:t xml:space="preserve">Phase A — Interest-only (months 1–6):</w:t>
      </w:r>
      <w:r>
        <w:t xml:space="preserve"> </w:t>
      </w:r>
      <w:r>
        <w:t xml:space="preserve">interest on outstanding principal only.</w:t>
      </w:r>
    </w:p>
    <w:p>
      <w:pPr>
        <w:pStyle w:val="BodyText"/>
      </w:pPr>
      <w:r>
        <w:rPr>
          <w:b/>
          <w:bCs/>
        </w:rPr>
        <w:t xml:space="preserve">Phase B — Target-DSCR payments (months 7–48):</w:t>
      </w:r>
      <w:r>
        <w:t xml:space="preserve"> </w:t>
      </w:r>
      <w:r>
        <w:t xml:space="preserve">equal monthly Scheduled Payments sized so that</w:t>
      </w:r>
      <w:r>
        <w:t xml:space="preserve"> </w:t>
      </w:r>
      <w:r>
        <w:rPr>
          <w:b/>
          <w:bCs/>
        </w:rPr>
        <w:t xml:space="preserve">DSCR ≥ 1.3x</w:t>
      </w:r>
      <w:r>
        <w:t xml:space="preserve"> </w:t>
      </w:r>
      <w:r>
        <w:t xml:space="preserve">based on trailing 3-month project EBITDA (post-energisation) or lender-approved pro forma (pre-energisation).</w:t>
      </w:r>
    </w:p>
    <w:p>
      <w:pPr>
        <w:pStyle w:val="BodyText"/>
      </w:pPr>
      <w:r>
        <w:rPr>
          <w:b/>
          <w:bCs/>
        </w:rPr>
        <w:t xml:space="preserve">Maturity (month 48):</w:t>
      </w:r>
      <w:r>
        <w:t xml:space="preserve"> </w:t>
      </w:r>
      <w:r>
        <w:t xml:space="preserve">payment in full of</w:t>
      </w:r>
      <w:r>
        <w:t xml:space="preserve"> </w:t>
      </w:r>
      <w:r>
        <w:rPr>
          <w:b/>
          <w:bCs/>
        </w:rPr>
        <w:t xml:space="preserve">Balloon Payment</w:t>
      </w:r>
      <w:r>
        <w:t xml:space="preserve"> </w:t>
      </w:r>
      <w:r>
        <w:t xml:space="preserve">(remaining principal).</w:t>
      </w:r>
    </w:p>
    <w:p>
      <w:pPr>
        <w:pStyle w:val="BodyText"/>
      </w:pPr>
      <w:r>
        <w:t xml:space="preserve">See Schedule A for tranche-specific dollar amounts derived from simulation as of 2026-07-06T19:57:10.914Z.</w:t>
      </w:r>
    </w:p>
    <w:bookmarkStart w:id="12" w:name="tranche"/>
    <w:p>
      <w:pPr>
        <w:pStyle w:val="Heading3"/>
      </w:pPr>
      <w:r>
        <w:t xml:space="preserve">$2,000,000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129 miners / 210 (61%) · 2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$44,600/mo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$20,000/mo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2.23x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$34,308/mo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$1,257,733 (62.9% of principal)</w:t>
            </w:r>
          </w:p>
        </w:tc>
      </w:tr>
    </w:tbl>
    <w:bookmarkEnd w:id="12"/>
    <w:bookmarkStart w:id="13" w:name="tranche-1"/>
    <w:p>
      <w:pPr>
        <w:pStyle w:val="Heading3"/>
      </w:pPr>
      <w:r>
        <w:t xml:space="preserve">$3,000,000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208 miners / 210 (99%) · 3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$71,913/mo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$30,000/mo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$55,318/mo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$1,686,539 (56.2% of principal)</w:t>
            </w:r>
          </w:p>
        </w:tc>
      </w:tr>
    </w:tbl>
    <w:bookmarkEnd w:id="13"/>
    <w:bookmarkEnd w:id="14"/>
    <w:bookmarkStart w:id="15" w:name="article-5-representations"/>
    <w:p>
      <w:pPr>
        <w:pStyle w:val="Heading2"/>
      </w:pPr>
      <w:r>
        <w:t xml:space="preserve">Article 5 — Representations</w:t>
      </w:r>
    </w:p>
    <w:p>
      <w:pPr>
        <w:pStyle w:val="FirstParagraph"/>
      </w:pPr>
      <w:r>
        <w:t xml:space="preserve">Borrower represents: organization validly existing; power to borrow; no default under material contracts; Project Assets free of liens except Permitted Liens; simulation disclosures in Schedule B are accurate in substance; OCTO performance claims limited to simulation-validated status pending energisation.</w:t>
      </w:r>
    </w:p>
    <w:bookmarkEnd w:id="15"/>
    <w:bookmarkStart w:id="16" w:name="article-6-covenants"/>
    <w:p>
      <w:pPr>
        <w:pStyle w:val="Heading2"/>
      </w:pPr>
      <w:r>
        <w:t xml:space="preserve">Article 6 — Covenants</w:t>
      </w:r>
    </w:p>
    <w:p>
      <w:pPr>
        <w:pStyle w:val="FirstParagraph"/>
      </w:pPr>
      <w:r>
        <w:t xml:space="preserve">Affirmative: maintain insurance; furnish quarterly compliance certificates with DSCR calculation; permit inspections; complete OCTO Validation Milestone by [●] months post-First Draw.</w:t>
      </w:r>
    </w:p>
    <w:p>
      <w:pPr>
        <w:pStyle w:val="BodyText"/>
      </w:pPr>
      <w:r>
        <w:t xml:space="preserve">Negative: no additional senior debt; no asset sales outside ordinary course; no change of control without consent.</w:t>
      </w:r>
    </w:p>
    <w:p>
      <w:pPr>
        <w:pStyle w:val="BodyText"/>
      </w:pPr>
      <w:r>
        <w:t xml:space="preserve">Financial:</w:t>
      </w:r>
      <w:r>
        <w:t xml:space="preserve"> </w:t>
      </w:r>
      <w:r>
        <w:rPr>
          <w:b/>
          <w:bCs/>
        </w:rPr>
        <w:t xml:space="preserve">Minimum DSCR 1.3x</w:t>
      </w:r>
      <w:r>
        <w:t xml:space="preserve"> </w:t>
      </w:r>
      <w:r>
        <w:t xml:space="preserve">(post-IO, quarterly); debt service reserve account.</w:t>
      </w:r>
    </w:p>
    <w:bookmarkEnd w:id="16"/>
    <w:bookmarkStart w:id="17" w:name="article-7-security"/>
    <w:p>
      <w:pPr>
        <w:pStyle w:val="Heading2"/>
      </w:pPr>
      <w:r>
        <w:t xml:space="preserve">Article 7 — Security</w:t>
      </w:r>
    </w:p>
    <w:p>
      <w:pPr>
        <w:pStyle w:val="FirstParagraph"/>
      </w:pPr>
      <w:r>
        <w:t xml:space="preserve">Grant of security interest in Project Assets; fixture filing in Karnes County, TX; account control agreements; assignment of material project contracts.</w:t>
      </w:r>
    </w:p>
    <w:bookmarkEnd w:id="17"/>
    <w:bookmarkStart w:id="18" w:name="article-8-events-of-default"/>
    <w:p>
      <w:pPr>
        <w:pStyle w:val="Heading2"/>
      </w:pPr>
      <w:r>
        <w:t xml:space="preserve">Article 8 — Events of default</w:t>
      </w:r>
    </w:p>
    <w:p>
      <w:pPr>
        <w:pStyle w:val="FirstParagraph"/>
      </w:pPr>
      <w:r>
        <w:t xml:space="preserve">Includes: failure to pay; covenant breach; incorrect representation; insolvency; failure to pay Balloon within grace period; loss of power supply contract.</w:t>
      </w:r>
    </w:p>
    <w:p>
      <w:pPr>
        <w:pStyle w:val="BodyText"/>
      </w:pPr>
      <w:r>
        <w:t xml:space="preserve">Remedies: acceleration, foreclosure on collateral, appointment of receiver (if permitted).</w:t>
      </w:r>
    </w:p>
    <w:bookmarkEnd w:id="18"/>
    <w:bookmarkStart w:id="19" w:name="article-9-miscellaneous"/>
    <w:p>
      <w:pPr>
        <w:pStyle w:val="Heading2"/>
      </w:pPr>
      <w:r>
        <w:t xml:space="preserve">Article 9 — Miscellaneous</w:t>
      </w:r>
    </w:p>
    <w:p>
      <w:pPr>
        <w:pStyle w:val="FirstParagraph"/>
      </w:pPr>
      <w:r>
        <w:t xml:space="preserve">Governing law: [Cayman / Texas — counsel to confirm]. Forum: [●]. Notices. Amendments in writing. counterparts / e-sign.</w:t>
      </w:r>
    </w:p>
    <w:p>
      <w:r>
        <w:pict>
          <v:rect style="width:0;height:1.5pt" o:hralign="center" o:hrstd="t" o:hr="t"/>
        </w:pict>
      </w:r>
    </w:p>
    <w:bookmarkEnd w:id="19"/>
    <w:bookmarkStart w:id="22" w:name="Xf2fd09597c47e467217ff704ede7bbb60d2d6ec"/>
    <w:p>
      <w:pPr>
        <w:pStyle w:val="Heading2"/>
      </w:pPr>
      <w:r>
        <w:t xml:space="preserve">Schedule A — Payment amounts (simulation-sized · 2026-07-06T19:57:10.914Z)</w:t>
      </w:r>
    </w:p>
    <w:bookmarkStart w:id="20" w:name="tranche-2"/>
    <w:p>
      <w:pPr>
        <w:pStyle w:val="Heading3"/>
      </w:pPr>
      <w:r>
        <w:t xml:space="preserve">$2,000,000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129 miners / 210 (61%) · 2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$44,600/mo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$20,000/mo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2.23x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$34,308/mo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$1,257,733 (62.9% of principal)</w:t>
            </w:r>
          </w:p>
        </w:tc>
      </w:tr>
    </w:tbl>
    <w:bookmarkEnd w:id="20"/>
    <w:bookmarkStart w:id="21" w:name="tranche-3"/>
    <w:p>
      <w:pPr>
        <w:pStyle w:val="Heading3"/>
      </w:pPr>
      <w:r>
        <w:t xml:space="preserve">$3,000,000 tranche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Build-out funded</w:t>
            </w:r>
          </w:p>
        </w:tc>
        <w:tc>
          <w:tcPr/>
          <w:p>
            <w:pPr>
              <w:pStyle w:val="Compact"/>
            </w:pPr>
            <w:r>
              <w:t xml:space="preserve">208 miners / 210 (99%) · 3 container(s)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Tier monthly profit (sim)</w:t>
            </w:r>
          </w:p>
        </w:tc>
        <w:tc>
          <w:tcPr/>
          <w:p>
            <w:pPr>
              <w:pStyle w:val="Compact"/>
            </w:pPr>
            <w:r>
              <w:t xml:space="preserve">$71,913/mo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 period</w:t>
            </w:r>
          </w:p>
        </w:tc>
        <w:tc>
          <w:tcPr/>
          <w:p>
            <w:pPr>
              <w:pStyle w:val="Compact"/>
            </w:pPr>
            <w:r>
              <w:t xml:space="preserve">Months 1–6 · $30,000/mo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IO-period DSCR</w:t>
            </w:r>
          </w:p>
        </w:tc>
        <w:tc>
          <w:tcPr/>
          <w:p>
            <w:pPr>
              <w:pStyle w:val="Compact"/>
            </w:pPr>
            <w:r>
              <w:t xml:space="preserve">2.4x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Post-IO payment (target 1.3x DSCR)</w:t>
            </w:r>
          </w:p>
        </w:tc>
        <w:tc>
          <w:tcPr/>
          <w:p>
            <w:pPr>
              <w:pStyle w:val="Compact"/>
            </w:pPr>
            <w:r>
              <w:t xml:space="preserve">$55,318/mo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Balloon due month 48</w:t>
            </w:r>
          </w:p>
        </w:tc>
        <w:tc>
          <w:tcPr/>
          <w:p>
            <w:pPr>
              <w:pStyle w:val="Compact"/>
            </w:pPr>
            <w:r>
              <w:t xml:space="preserve">$1,686,539 (56.2% of principal)</w:t>
            </w:r>
          </w:p>
        </w:tc>
      </w:tr>
    </w:tbl>
    <w:bookmarkEnd w:id="21"/>
    <w:bookmarkEnd w:id="22"/>
    <w:bookmarkStart w:id="23" w:name="schedule-b-simulation-disclosure"/>
    <w:p>
      <w:pPr>
        <w:pStyle w:val="Heading2"/>
      </w:pPr>
      <w:r>
        <w:t xml:space="preserve">Schedule B — Simulation disclosure</w:t>
      </w:r>
    </w:p>
    <w:p>
      <w:pPr>
        <w:pStyle w:val="Compact"/>
        <w:numPr>
          <w:ilvl w:val="0"/>
          <w:numId w:val="1001"/>
        </w:numPr>
      </w:pPr>
      <w:r>
        <w:t xml:space="preserve">Dashboard source: https://octo-dashboard-rikj.onrender.com/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OCTO daily profit at pull: $2,387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BTC: $63,581 · Edge: +22.6%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Validation: simulation-validated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CAPEX: locked vendor quotes per Schedule C (</w:t>
      </w:r>
      <w:r>
        <w:rPr>
          <w:rStyle w:val="VerbatimChar"/>
        </w:rPr>
        <w:t xml:space="preserve">capex-quotes.json</w:t>
      </w:r>
      <w:r>
        <w:t xml:space="preserve">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discussion draft.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2026-07-06T19:57:16Z</dcterms:created>
  <dcterms:modified xsi:type="dcterms:W3CDTF">2026-07-06T19:57:16Z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