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faf6fafc04721f4be292fb794eb7ebac334785"/>
    <w:p>
      <w:pPr>
        <w:pStyle w:val="Heading1"/>
      </w:pPr>
      <w:r>
        <w:t xml:space="preserve">Indicative Term Sheet — Senior Secured Term Loan (Balloon)</w:t>
      </w:r>
    </w:p>
    <w:p>
      <w:pPr>
        <w:pStyle w:val="FirstParagraph"/>
      </w:pPr>
      <w:r>
        <w:rPr>
          <w:b/>
          <w:bCs/>
        </w:rPr>
        <w:t xml:space="preserve">Borrower:</w:t>
      </w:r>
      <w:r>
        <w:t xml:space="preserve"> </w:t>
      </w:r>
      <w:r>
        <w:t xml:space="preserve">GrnBit (Cayman) Holdings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Miracle Lake TX Phase 1 — OCTO AI industrial optimization validation site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2026-07-06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Non-binding · discussion draft only · subject to counsel and credit approval</w:t>
      </w:r>
    </w:p>
    <w:p>
      <w:r>
        <w:pict>
          <v:rect style="width:0;height:1.5pt" o:hralign="center" o:hrstd="t" o:hr="t"/>
        </w:pict>
      </w:r>
    </w:p>
    <w:bookmarkStart w:id="9" w:name="facility"/>
    <w:p>
      <w:pPr>
        <w:pStyle w:val="Heading2"/>
      </w:pPr>
      <w:r>
        <w:t xml:space="preserve">1. Facility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size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$3,000,000</w:t>
            </w:r>
            <w:r>
              <w:t xml:space="preserve"> </w:t>
            </w:r>
            <w:r>
              <w:t xml:space="preserve">aggregate commitments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Tranches offered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$2,000,000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$3,000,000</w:t>
            </w:r>
            <w:r>
              <w:t xml:space="preserve"> </w:t>
            </w:r>
            <w:r>
              <w:t xml:space="preserve">(Borrower selects at close)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$1,000,000</w:t>
            </w:r>
            <w:r>
              <w:t xml:space="preserve"> </w:t>
            </w:r>
            <w:r>
              <w:t xml:space="preserve">— insufficient to fund site + container fixed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participation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$250,000</w:t>
            </w:r>
            <w:r>
              <w:t xml:space="preserve"> </w:t>
            </w:r>
            <w:r>
              <w:t xml:space="preserve">per lender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Phase 1 capex: containers, miners, interconnect, energisation, OCTO deployment</w:t>
            </w:r>
          </w:p>
        </w:tc>
      </w:tr>
    </w:tbl>
    <w:bookmarkEnd w:id="9"/>
    <w:bookmarkStart w:id="10" w:name="Xbdd6101696eb14a27d7a57b3dd1499543dc079e"/>
    <w:p>
      <w:pPr>
        <w:pStyle w:val="Heading2"/>
      </w:pPr>
      <w:r>
        <w:t xml:space="preserve">2. Economics (live simulation inputs — 2026-07-06T19:57:10.914Z)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OCTO daily profit (optimized)</w:t>
            </w:r>
          </w:p>
        </w:tc>
        <w:tc>
          <w:tcPr/>
          <w:p>
            <w:pPr>
              <w:pStyle w:val="Compact"/>
            </w:pPr>
            <w:r>
              <w:t xml:space="preserve">$2,387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vs baseline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 in model</w:t>
            </w:r>
          </w:p>
        </w:tc>
        <w:tc>
          <w:tcPr/>
          <w:p>
            <w:pPr>
              <w:pStyle w:val="Compact"/>
            </w:pPr>
            <w:r>
              <w:t xml:space="preserve">$63,581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validation</w:t>
            </w:r>
          </w:p>
        </w:tc>
        <w:tc>
          <w:tcPr/>
          <w:p>
            <w:pPr>
              <w:pStyle w:val="Compact"/>
            </w:pPr>
            <w:r>
              <w:t xml:space="preserve">simulation-validated</w:t>
            </w:r>
          </w:p>
        </w:tc>
      </w:tr>
    </w:tbl>
    <w:bookmarkEnd w:id="10"/>
    <w:bookmarkStart w:id="13" w:name="commercial-terms-fixed"/>
    <w:p>
      <w:pPr>
        <w:pStyle w:val="Heading2"/>
      </w:pPr>
      <w:r>
        <w:t xml:space="preserve">3. Commercial terms (fixed)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48 months from first draw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</w:t>
            </w:r>
            <w:r>
              <w:t xml:space="preserve"> </w:t>
            </w:r>
            <w:r>
              <w:t xml:space="preserve">per annum,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Interest-only 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months</w:t>
            </w:r>
            <w:r>
              <w:t xml:space="preserve"> </w:t>
            </w:r>
            <w:r>
              <w:t xml:space="preserve">from first draw (construction / energisation)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Post-IO payments</w:t>
            </w:r>
          </w:p>
        </w:tc>
        <w:tc>
          <w:tcPr/>
          <w:p>
            <w:pPr>
              <w:pStyle w:val="Compact"/>
            </w:pPr>
            <w:r>
              <w:t xml:space="preserve">Sized to</w:t>
            </w:r>
            <w:r>
              <w:t xml:space="preserve"> </w:t>
            </w:r>
            <w:r>
              <w:rPr>
                <w:b/>
                <w:bCs/>
              </w:rPr>
              <w:t xml:space="preserve">1.3x target DSCR</w:t>
            </w:r>
            <w:r>
              <w:t xml:space="preserve"> </w:t>
            </w:r>
            <w:r>
              <w:t xml:space="preserve">on tier-specific simulated monthly profit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Maturity payment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Balloon</w:t>
            </w:r>
            <w:r>
              <w:t xml:space="preserve"> </w:t>
            </w:r>
            <w:r>
              <w:t xml:space="preserve">— unpaid principal balance after scheduled payments (refinance, sale, or new money)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Amortization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full self-liquidating — see Section 8</w:t>
            </w:r>
          </w:p>
        </w:tc>
      </w:tr>
    </w:tbl>
    <w:bookmarkStart w:id="11" w:name="tranche"/>
    <w:p>
      <w:pPr>
        <w:pStyle w:val="Heading3"/>
      </w:pPr>
      <w:r>
        <w:t xml:space="preserve">$2,000,000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129 miners / 210 (61%) · 2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$44,600/mo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$20,000/mo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2.23x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$34,308/mo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$1,257,733 (62.9% of principal)</w:t>
            </w:r>
          </w:p>
        </w:tc>
      </w:tr>
    </w:tbl>
    <w:bookmarkEnd w:id="11"/>
    <w:bookmarkStart w:id="12" w:name="tranche-1"/>
    <w:p>
      <w:pPr>
        <w:pStyle w:val="Heading3"/>
      </w:pPr>
      <w:r>
        <w:t xml:space="preserve">$3,000,000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208 miners / 210 (99%) · 3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$71,913/mo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$30,000/mo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$55,318/mo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$1,686,539 (56.2% of principal)</w:t>
            </w:r>
          </w:p>
        </w:tc>
      </w:tr>
    </w:tbl>
    <w:bookmarkEnd w:id="12"/>
    <w:bookmarkEnd w:id="13"/>
    <w:bookmarkStart w:id="14" w:name="security"/>
    <w:p>
      <w:pPr>
        <w:pStyle w:val="Heading2"/>
      </w:pPr>
      <w:r>
        <w:t xml:space="preserve">4. Security</w:t>
      </w:r>
    </w:p>
    <w:p>
      <w:pPr>
        <w:pStyle w:val="Compact"/>
        <w:numPr>
          <w:ilvl w:val="0"/>
          <w:numId w:val="1001"/>
        </w:numPr>
      </w:pPr>
      <w:r>
        <w:t xml:space="preserve">First-priority security interest in Miracle Lake Phase 1 equipment (containers, miners, PDUs, cooling).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Assignment of power purchase / interconnect agreements where assignable.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OCTO field-of-use license collateral assignment (scope per definitive docs).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Corporate guarantee of GrnBit (Cayman) Holdings.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Senior to equity, SAFE, and convertible notes.</w:t>
      </w:r>
    </w:p>
    <w:bookmarkEnd w:id="14"/>
    <w:bookmarkStart w:id="15" w:name="covenants-indicative"/>
    <w:p>
      <w:pPr>
        <w:pStyle w:val="Heading2"/>
      </w:pPr>
      <w:r>
        <w:t xml:space="preserve">5. Covenants (indicative)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DSCR (post-IO):</w:t>
      </w:r>
      <w:r>
        <w:t xml:space="preserve"> </w:t>
      </w:r>
      <w:r>
        <w:t xml:space="preserve">1.3x tested quarterly on tier profit (live ops post-energisation; pre-energisation tests on lender-agreed budget).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 service reserve:</w:t>
      </w:r>
      <w:r>
        <w:t xml:space="preserve"> </w:t>
      </w:r>
      <w:r>
        <w:t xml:space="preserve">3 months post-IO payments (negotiable).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Property, business interruption, liability — lender as loss payee.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additional senior debt</w:t>
      </w:r>
      <w:r>
        <w:t xml:space="preserve"> </w:t>
      </w:r>
      <w:r>
        <w:t xml:space="preserve">without lender consent.</w:t>
      </w:r>
    </w:p>
    <w:bookmarkEnd w:id="15"/>
    <w:bookmarkStart w:id="16" w:name="events-of-default-indicative"/>
    <w:p>
      <w:pPr>
        <w:pStyle w:val="Heading2"/>
      </w:pPr>
      <w:r>
        <w:t xml:space="preserve">6. Events of default (indicative)</w:t>
      </w:r>
    </w:p>
    <w:p>
      <w:pPr>
        <w:pStyle w:val="Compact"/>
        <w:numPr>
          <w:ilvl w:val="0"/>
          <w:numId w:val="1003"/>
        </w:numPr>
      </w:pPr>
      <w:r>
        <w:t xml:space="preserve">Payment default (5-business-day cure for interest).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DSCR below</w:t>
      </w:r>
      <w:r>
        <w:t xml:space="preserve"> </w:t>
      </w:r>
      <w:r>
        <w:rPr>
          <w:b/>
          <w:bCs/>
        </w:rPr>
        <w:t xml:space="preserve">1.15x</w:t>
      </w:r>
      <w:r>
        <w:t xml:space="preserve"> </w:t>
      </w:r>
      <w:r>
        <w:t xml:space="preserve">for two consecutive quarters post-energisation.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Failure to refinance or repay balloon within 30 days of month-48 maturity.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Insolvency, material misrepresentation, loss of power contract.</w:t>
      </w:r>
    </w:p>
    <w:bookmarkEnd w:id="16"/>
    <w:bookmarkStart w:id="17" w:name="conditions-precedent-indicative"/>
    <w:p>
      <w:pPr>
        <w:pStyle w:val="Heading2"/>
      </w:pPr>
      <w:r>
        <w:t xml:space="preserve">7. Conditions precedent (indicative)</w:t>
      </w:r>
    </w:p>
    <w:p>
      <w:pPr>
        <w:pStyle w:val="Compact"/>
        <w:numPr>
          <w:ilvl w:val="0"/>
          <w:numId w:val="1004"/>
        </w:numPr>
      </w:pPr>
      <w:r>
        <w:t xml:space="preserve">Executed vendor contracts matching locked quote IDs in Schedule C (</w:t>
      </w:r>
      <w:r>
        <w:rPr>
          <w:rStyle w:val="VerbatimChar"/>
        </w:rPr>
        <w:t xml:space="preserve">capex-quotes.json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Independent engineer report on energisation timeline.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UCC-1 / fixture filings perfected.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Phase 1 interconnect and power contract in assignable form.</w:t>
      </w:r>
    </w:p>
    <w:bookmarkEnd w:id="17"/>
    <w:bookmarkStart w:id="18" w:name="structural-rationale-transparency"/>
    <w:p>
      <w:pPr>
        <w:pStyle w:val="Heading2"/>
      </w:pPr>
      <w:r>
        <w:t xml:space="preserve">8. Structural rationale (transparency)</w:t>
      </w:r>
    </w:p>
    <w:p>
      <w:pPr>
        <w:pStyle w:val="FirstParagraph"/>
      </w:pPr>
      <w:r>
        <w:t xml:space="preserve">Full 48-month amortization at 12% implies ~</w:t>
      </w:r>
      <w:r>
        <w:rPr>
          <w:b/>
          <w:bCs/>
        </w:rPr>
        <w:t xml:space="preserve">35%/yr</w:t>
      </w:r>
      <w:r>
        <w:t xml:space="preserve"> </w:t>
      </w:r>
      <w:r>
        <w:t xml:space="preserve">debt-service yield on principal. Simulation profit yield on funded capex is ~</w:t>
      </w:r>
      <w:r>
        <w:rPr>
          <w:b/>
          <w:bCs/>
        </w:rPr>
        <w:t xml:space="preserve">29%/yr</w:t>
      </w:r>
      <w:r>
        <w:t xml:space="preserve">. Natural full-amortization DSCR does not reach</w:t>
      </w:r>
      <w:r>
        <w:t xml:space="preserve"> </w:t>
      </w:r>
      <w:r>
        <w:rPr>
          <w:b/>
          <w:bCs/>
        </w:rPr>
        <w:t xml:space="preserve">1.3x</w:t>
      </w:r>
      <w:r>
        <w:t xml:space="preserve"> </w:t>
      </w:r>
      <w:r>
        <w:t xml:space="preserve">at any offered principal. The balloon structure sizes payments to the target DSCR band (</w:t>
      </w:r>
      <w:r>
        <w:rPr>
          <w:b/>
          <w:bCs/>
        </w:rPr>
        <w:t xml:space="preserve">1.3x–1.5x</w:t>
      </w:r>
      <w:r>
        <w:t xml:space="preserve">) and surfaces the remaining balance explicitly at maturity — not masked by an unfinanceable amortization schedule.</w:t>
      </w:r>
    </w:p>
    <w:bookmarkEnd w:id="18"/>
    <w:bookmarkStart w:id="19" w:name="capex-model-locked-vendor-quotes"/>
    <w:p>
      <w:pPr>
        <w:pStyle w:val="Heading2"/>
      </w:pPr>
      <w:r>
        <w:t xml:space="preserve">9. CAPEX model (locked vendor quotes)</w:t>
      </w:r>
    </w:p>
    <w:p>
      <w:pPr>
        <w:pStyle w:val="FirstParagraph"/>
      </w:pPr>
      <w:r>
        <w:t xml:space="preserve">Build-out sizing uses vendor quotes locked</w:t>
      </w:r>
      <w:r>
        <w:t xml:space="preserve"> </w:t>
      </w:r>
      <w:r>
        <w:rPr>
          <w:b/>
          <w:bCs/>
        </w:rPr>
        <w:t xml:space="preserve">2026-07-06</w:t>
      </w:r>
      <w:r>
        <w:t xml:space="preserve"> </w:t>
      </w:r>
      <w:r>
        <w:t xml:space="preserve">(see Schedule C):</w:t>
      </w:r>
    </w:p>
    <w:p>
      <w:pPr>
        <w:pStyle w:val="Compact"/>
        <w:numPr>
          <w:ilvl w:val="0"/>
          <w:numId w:val="1005"/>
        </w:numPr>
      </w:pPr>
      <w:r>
        <w:t xml:space="preserve">Site interconnect (Xplor): $302,000</w:t>
      </w:r>
    </w:p>
    <w:p>
      <w:pPr>
        <w:pStyle w:val="Compact"/>
        <w:numPr>
          <w:ilvl w:val="0"/>
          <w:numId w:val="1005"/>
        </w:numPr>
      </w:pPr>
      <w:r>
        <w:t xml:space="preserve">Per-container (AntSpace HK3): $151,000 × 3 = $453,000</w:t>
      </w:r>
    </w:p>
    <w:p>
      <w:pPr>
        <w:pStyle w:val="Compact"/>
        <w:numPr>
          <w:ilvl w:val="0"/>
          <w:numId w:val="1005"/>
        </w:numPr>
      </w:pPr>
      <w:r>
        <w:t xml:space="preserve">Per-miner variable (AntSpace): $10,786 × 210 = $2,265,000</w:t>
      </w:r>
    </w:p>
    <w:p>
      <w:pPr>
        <w:pStyle w:val="FirstParagraph"/>
      </w:pPr>
      <w:r>
        <w:t xml:space="preserve">Lender to confirm quote validity dates and executed purchase orders before closing.</w:t>
      </w:r>
    </w:p>
    <w:bookmarkEnd w:id="19"/>
    <w:bookmarkStart w:id="20" w:name="disclaimers"/>
    <w:p>
      <w:pPr>
        <w:pStyle w:val="Heading2"/>
      </w:pPr>
      <w:r>
        <w:t xml:space="preserve">10. Disclaimers</w:t>
      </w:r>
    </w:p>
    <w:p>
      <w:pPr>
        <w:pStyle w:val="FirstParagraph"/>
      </w:pPr>
      <w:r>
        <w:t xml:space="preserve">Not an offer of securities. Not legal, tax, or investment advice. OCTO metrics are simulation-validated pending live energisation. Definitive documents control over this summary.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info@grnbit.digital · https://grnbit.digital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2026-07-06T19:57:14Z</dcterms:created>
  <dcterms:modified xsi:type="dcterms:W3CDTF">2026-07-06T19:57:14Z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