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40"/>
        </w:rPr>
        <w:t>HACKATHON IA &amp; CYBERSÉCURITÉ 2026</w:t>
      </w:r>
    </w:p>
    <w:p>
      <w:pPr>
        <w:jc w:val="center"/>
      </w:pPr>
      <w:r>
        <w:rPr>
          <w:rFonts w:ascii="Calibri" w:hAnsi="Calibri"/>
          <w:color w:val="444444"/>
          <w:sz w:val="26"/>
        </w:rPr>
        <w:t>ISM Dakar — Institut Supérieur de Management</w:t>
      </w:r>
    </w:p>
    <w:p/>
    <w:p>
      <w:pPr>
        <w:jc w:val="center"/>
      </w:pPr>
      <w:r>
        <w:rPr>
          <w:rFonts w:ascii="Calibri" w:hAnsi="Calibri"/>
          <w:b/>
          <w:color w:val="1F497D"/>
          <w:sz w:val="52"/>
        </w:rPr>
        <w:t>RAPPORT TECHNIQUE</w:t>
      </w:r>
    </w:p>
    <w:p>
      <w:pPr>
        <w:jc w:val="center"/>
      </w:pPr>
      <w:r>
        <w:rPr>
          <w:rFonts w:ascii="Calibri" w:hAnsi="Calibri"/>
          <w:b/>
          <w:color w:val="2674B5"/>
          <w:sz w:val="32"/>
        </w:rPr>
        <w:t>Projet 16 — Plateforme de budgétisation et comptabilité</w:t>
        <w:br/>
        <w:t>automatisée pour les PME</w:t>
      </w:r>
    </w:p>
    <w:p/>
    <w:p/>
    <w:p>
      <w:pPr>
        <w:jc w:val="center"/>
      </w:pPr>
      <w:r>
        <w:rPr>
          <w:rFonts w:ascii="Calibri" w:hAnsi="Calibri"/>
          <w:b/>
          <w:sz w:val="28"/>
        </w:rPr>
        <w:t>GROUPE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Filière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Branham NDZIENGOMO DJAGNI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Cybersécurité L2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Chef de projet — Dev. complet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ISSEMIBA Edwine Roxane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MOSIEF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Développeuse — Support actif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sz w:val="22"/>
        </w:rPr>
        <w:t>Date : 23 June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1. Contexte et Objectifs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Dans le cadre du Hackathon IA &amp; Cybersécurité 2026 organisé par l'ISM Dakar, le Groupe 17 a été assigné au Projet 16 : la conception d'une plateforme intelligente de budgétisation et de comptabilité automatisée destinée aux Petites et Moyennes Entreprises (PME) sénégalaises.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projet a été réalisé par deux membres actifs sur les sept initialement prévus. Malgré cette contrainte, l'ensemble des quatre modules demandés a été livré et est pleinement fonctionnel.</w:t>
      </w:r>
    </w:p>
    <w:p/>
    <w:p>
      <w:pPr>
        <w:pStyle w:val="Heading2"/>
      </w:pPr>
      <w:r>
        <w:rPr>
          <w:rFonts w:ascii="Calibri" w:hAnsi="Calibri"/>
        </w:rPr>
        <w:t>1.1 Problème résolu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Les dirigeants de PME au Sénégal consacrent en moyenne 20 % de leur temps à des tâches comptables répétitives : catégorisation des dépenses, rapprochement bancaire, calcul des prévisions de trésorerie. Ces tâches sont chronophages, sujettes à l'erreur humaine, et souvent réalisées sans outil numérique sécurisé.</w:t>
      </w:r>
    </w:p>
    <w:p/>
    <w:p>
      <w:pPr>
        <w:pStyle w:val="Heading2"/>
      </w:pPr>
      <w:r>
        <w:rPr>
          <w:rFonts w:ascii="Calibri" w:hAnsi="Calibri"/>
        </w:rPr>
        <w:t>1.2 Solution apportée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Notre plateforme BudgetIA PME automatise intégralement ces tâches via quatre modules :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 xml:space="preserve">Module 1 — </w:t>
      </w:r>
      <w:r>
        <w:rPr>
          <w:rFonts w:ascii="Calibri" w:hAnsi="Calibri"/>
          <w:sz w:val="22"/>
        </w:rPr>
        <w:t>Classification automatique des transactions financières (IA)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 xml:space="preserve">Module 2 — </w:t>
      </w:r>
      <w:r>
        <w:rPr>
          <w:rFonts w:ascii="Calibri" w:hAnsi="Calibri"/>
          <w:sz w:val="22"/>
        </w:rPr>
        <w:t>Prévision budgétaire à court terme (IA)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 xml:space="preserve">Module 3 — </w:t>
      </w:r>
      <w:r>
        <w:rPr>
          <w:rFonts w:ascii="Calibri" w:hAnsi="Calibri"/>
          <w:sz w:val="22"/>
        </w:rPr>
        <w:t>Tableau de bord financier interactif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 xml:space="preserve">Module 4 — </w:t>
      </w:r>
      <w:r>
        <w:rPr>
          <w:rFonts w:ascii="Calibri" w:hAnsi="Calibri"/>
          <w:sz w:val="22"/>
        </w:rPr>
        <w:t>Sécurisation des données sensibles (Cybersécurité)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2. Architecture du Projet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projet est structuré selon une architecture modulaire en Python :</w:t>
      </w:r>
    </w:p>
    <w:p>
      <w:pPr>
        <w:ind w:left="567"/>
      </w:pPr>
      <w:r>
        <w:rPr>
          <w:rFonts w:ascii="Courier New" w:hAnsi="Courier New"/>
          <w:sz w:val="18"/>
        </w:rPr>
        <w:t>BudgetIA-PME-G17/</w:t>
      </w:r>
    </w:p>
    <w:p>
      <w:pPr>
        <w:ind w:left="567"/>
      </w:pPr>
      <w:r>
        <w:rPr>
          <w:rFonts w:ascii="Courier New" w:hAnsi="Courier New"/>
          <w:sz w:val="18"/>
        </w:rPr>
        <w:t>├── data/</w:t>
      </w:r>
    </w:p>
    <w:p>
      <w:pPr>
        <w:ind w:left="567"/>
      </w:pPr>
      <w:r>
        <w:rPr>
          <w:rFonts w:ascii="Courier New" w:hAnsi="Courier New"/>
          <w:sz w:val="18"/>
        </w:rPr>
        <w:t>│   ├── transactions_pme.csv   ← 612 transactions simulées</w:t>
      </w:r>
    </w:p>
    <w:p>
      <w:pPr>
        <w:ind w:left="567"/>
      </w:pPr>
      <w:r>
        <w:rPr>
          <w:rFonts w:ascii="Courier New" w:hAnsi="Courier New"/>
          <w:sz w:val="18"/>
        </w:rPr>
        <w:t>│   ├── budgetia.db            ← base utilisateurs (SQLite)</w:t>
      </w:r>
    </w:p>
    <w:p>
      <w:pPr>
        <w:ind w:left="567"/>
      </w:pPr>
      <w:r>
        <w:rPr>
          <w:rFonts w:ascii="Courier New" w:hAnsi="Courier New"/>
          <w:sz w:val="18"/>
        </w:rPr>
        <w:t>│   └── journal_audit.db       ← journal d'audit sécurisé</w:t>
      </w:r>
    </w:p>
    <w:p>
      <w:pPr>
        <w:ind w:left="567"/>
      </w:pPr>
      <w:r>
        <w:rPr>
          <w:rFonts w:ascii="Courier New" w:hAnsi="Courier New"/>
          <w:sz w:val="18"/>
        </w:rPr>
        <w:t>├── models/</w:t>
      </w:r>
    </w:p>
    <w:p>
      <w:pPr>
        <w:ind w:left="567"/>
      </w:pPr>
      <w:r>
        <w:rPr>
          <w:rFonts w:ascii="Courier New" w:hAnsi="Courier New"/>
          <w:sz w:val="18"/>
        </w:rPr>
        <w:t>│   ├── classifieur_categories.pkl</w:t>
      </w:r>
    </w:p>
    <w:p>
      <w:pPr>
        <w:ind w:left="567"/>
      </w:pPr>
      <w:r>
        <w:rPr>
          <w:rFonts w:ascii="Courier New" w:hAnsi="Courier New"/>
          <w:sz w:val="18"/>
        </w:rPr>
        <w:t>│   ├── isolation_forest.pkl</w:t>
      </w:r>
    </w:p>
    <w:p>
      <w:pPr>
        <w:ind w:left="567"/>
      </w:pPr>
      <w:r>
        <w:rPr>
          <w:rFonts w:ascii="Courier New" w:hAnsi="Courier New"/>
          <w:sz w:val="18"/>
        </w:rPr>
        <w:t>│   └── prophet_*.pkl</w:t>
      </w:r>
    </w:p>
    <w:p>
      <w:pPr>
        <w:ind w:left="567"/>
      </w:pPr>
      <w:r>
        <w:rPr>
          <w:rFonts w:ascii="Courier New" w:hAnsi="Courier New"/>
          <w:sz w:val="18"/>
        </w:rPr>
        <w:t>├── src/</w:t>
      </w:r>
    </w:p>
    <w:p>
      <w:pPr>
        <w:ind w:left="567"/>
      </w:pPr>
      <w:r>
        <w:rPr>
          <w:rFonts w:ascii="Courier New" w:hAnsi="Courier New"/>
          <w:sz w:val="18"/>
        </w:rPr>
        <w:t>│   ├── ia/            (generate_dataset.py, classifier.py)</w:t>
      </w:r>
    </w:p>
    <w:p>
      <w:pPr>
        <w:ind w:left="567"/>
      </w:pPr>
      <w:r>
        <w:rPr>
          <w:rFonts w:ascii="Courier New" w:hAnsi="Courier New"/>
          <w:sz w:val="18"/>
        </w:rPr>
        <w:t>│   ├── finance/       (budget_previsionnel.py)</w:t>
      </w:r>
    </w:p>
    <w:p>
      <w:pPr>
        <w:ind w:left="567"/>
      </w:pPr>
      <w:r>
        <w:rPr>
          <w:rFonts w:ascii="Courier New" w:hAnsi="Courier New"/>
          <w:sz w:val="18"/>
        </w:rPr>
        <w:t>│   ├── cyber/         (securite.py)</w:t>
      </w:r>
    </w:p>
    <w:p>
      <w:pPr>
        <w:ind w:left="567"/>
      </w:pPr>
      <w:r>
        <w:rPr>
          <w:rFonts w:ascii="Courier New" w:hAnsi="Courier New"/>
          <w:sz w:val="18"/>
        </w:rPr>
        <w:t>│   └── interface/     (app.py)</w:t>
      </w:r>
    </w:p>
    <w:p>
      <w:pPr>
        <w:ind w:left="567"/>
      </w:pPr>
      <w:r>
        <w:rPr>
          <w:rFonts w:ascii="Courier New" w:hAnsi="Courier New"/>
          <w:sz w:val="18"/>
        </w:rPr>
        <w:t>└── lancer_app.py      ← démarrage automatique</w:t>
      </w:r>
    </w:p>
    <w:p/>
    <w:p>
      <w:pPr>
        <w:pStyle w:val="Heading2"/>
      </w:pPr>
      <w:r>
        <w:rPr>
          <w:rFonts w:ascii="Calibri" w:hAnsi="Calibri"/>
        </w:rPr>
        <w:t>2.1 Technologies utilisées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Langage principal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Streamlit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1.35.0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Interface web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Scikit-learn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1.4.2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TF-IDF + Random Forest + Isolation Forest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Prophet (Meta)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1.1.5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Prévision des séries temporelles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Pandas / NumPy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2.2.2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Manipulation des données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Plotly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5.22.0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Graphiques interactifs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Cryptography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42.0.7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Chiffrement AES-128 (Fernet)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bcrypt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4.1.3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Hachage sécurisé des mots de passe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SQLite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intégré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Base de données locale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hashlib SHA-256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intégré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Journal d'audit infalsifiable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i/>
          <w:color w:val="444444"/>
          <w:sz w:val="22"/>
        </w:rPr>
        <w:t>Coût total des technologies : 0 FCFA — toutes les bibliothèques sont gratuites et open-source.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3. Module 1 — Classification Automatique des Transactions</w:t>
      </w:r>
    </w:p>
    <w:p>
      <w:pPr>
        <w:pStyle w:val="Heading2"/>
      </w:pPr>
      <w:r>
        <w:rPr>
          <w:rFonts w:ascii="Calibri" w:hAnsi="Calibri"/>
        </w:rPr>
        <w:t>3.1 Dataset simulé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Aucun dataset public de transactions PME sénégalaises n'existant, nous avons développé un générateur réaliste (src/ia/generate_dataset.py) produisant 612 transactions couvrant l'intégralité de l'année 2025.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Caractéristiques du dataset 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10 catégories OHADA (SYSCOHADA) : 601 Achats, 621 Salaires, 624 Transport, 626 Télécoms, 627 Publicité, 631 Loyer, 641 Eau/Électricité, 658 Charges diverses, 701 Ventes, 706 Prestations de services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Saisonnalité sénégalaise intégrée : Ramadan (+40%), Korité (+90%), Tabaski (+110%), Tamkharit, Rentrée scolaire (+35%), Fêtes de fin d'année (+55%)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Charges fixes le 1er de chaque mois : loyer (150 000 FCFA), salaires (~300 000 FCFA)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5 anomalies volontairement injectées pour tester la détection</w:t>
      </w:r>
    </w:p>
    <w:p/>
    <w:p>
      <w:pPr>
        <w:pStyle w:val="Heading2"/>
      </w:pPr>
      <w:r>
        <w:rPr>
          <w:rFonts w:ascii="Calibri" w:hAnsi="Calibri"/>
        </w:rPr>
        <w:t>3.2 Algorithme de classification — TF-IDF + Random Forest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classifieur repose sur un pipeline en deux étapes :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>TF-IDF</w:t>
      </w:r>
      <w:r>
        <w:rPr>
          <w:rFonts w:ascii="Calibri" w:hAnsi="Calibri"/>
          <w:sz w:val="22"/>
        </w:rPr>
        <w:t xml:space="preserve"> (Term Frequency–Inverse Document Frequency) : transforme chaque libellé textuel en vecteur numérique. Les mots discriminants (ex. : « SENELEC », « LOYER ») reçoivent un poids élevé. Les bigrammes (paires de mots consécutifs) sont inclus pour capturer des expressions comme « LOYER BOUTIQUE ».</w:t>
      </w:r>
    </w:p>
    <w:p>
      <w:pPr>
        <w:pStyle w:val="ListBullet"/>
        <w:jc w:val="both"/>
      </w:pPr>
      <w:r>
        <w:rPr>
          <w:rFonts w:ascii="Calibri" w:hAnsi="Calibri"/>
          <w:b/>
          <w:sz w:val="22"/>
        </w:rPr>
        <w:t>Random Forest (200 estimateurs)</w:t>
      </w:r>
      <w:r>
        <w:rPr>
          <w:rFonts w:ascii="Calibri" w:hAnsi="Calibri"/>
          <w:sz w:val="22"/>
        </w:rPr>
        <w:t xml:space="preserve"> : ensemble de 200 arbres de décision entraînés sur les vecteurs TF-IDF. Chaque arbre vote pour une catégorie ; la majorité l'emporte. Le paramètre class_weight='balanced' compense les déséquilibres entre catégories.</w:t>
      </w:r>
    </w:p>
    <w:p/>
    <w:p>
      <w:pPr>
        <w:pStyle w:val="Heading2"/>
      </w:pPr>
      <w:r>
        <w:rPr>
          <w:rFonts w:ascii="Calibri" w:hAnsi="Calibri"/>
        </w:rPr>
        <w:t>3.3 Résultats obtenus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Libellé de test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Catégorie prédite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Confiance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LOYER BOUTIQUE PLATEAU DAKAR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631 - Loyer local commercial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100 %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RECETTE JOURNALIERE CAISSE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701 - Ventes de marchandises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100 %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FACTURE SENELEC ELECTRICITE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641 - Eau et électricité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97 %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SALAIRES EMPLOYES FEVRIER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621 - Salaires et traitements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99 %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PUBLICITE FACEBOOK ADS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627 - Publicité et communication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95 %</w:t>
            </w:r>
          </w:p>
        </w:tc>
      </w:tr>
    </w:tbl>
    <w:p>
      <w:pPr>
        <w:jc w:val="both"/>
      </w:pPr>
      <w:r>
        <w:rPr>
          <w:rFonts w:ascii="Calibri" w:hAnsi="Calibri"/>
          <w:b/>
          <w:i w:val="0"/>
          <w:sz w:val="22"/>
        </w:rPr>
        <w:t>Précision globale sur l'ensemble de test : 98,4 %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4. Module 2 — Prévision Budgétaire (Prophet)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La prévision budgétaire est assurée par Prophet, une bibliothèque open-source développée par Meta (Facebook), spécialement conçue pour les séries temporelles avec saisonnalité multiple et irrégulière.</w:t>
      </w:r>
    </w:p>
    <w:p>
      <w:pPr>
        <w:pStyle w:val="Heading2"/>
      </w:pPr>
      <w:r>
        <w:rPr>
          <w:rFonts w:ascii="Calibri" w:hAnsi="Calibri"/>
        </w:rPr>
        <w:t>4.1 Fonctionnement de Prophet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Prophet décompose chaque série en trois composantes 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Tendance : évolution générale des revenus ou charges sur l'année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Saisonnalité annuelle : pics liés aux fêtes sénégalaises (Tabaski, Ramadan, rentrée scolaire...)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Saisonnalité hebdomadaire : variation des ventes selon les jours ouvrés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Trois modèles Prophet distincts sont entraînés et sauvegardés : un pour les produits (recettes), un pour les charges (dépenses), et un pour le solde net. L'intervalle de confiance est fixé à 90 %.</w:t>
      </w:r>
    </w:p>
    <w:p>
      <w:pPr>
        <w:pStyle w:val="Heading2"/>
      </w:pPr>
      <w:r>
        <w:rPr>
          <w:rFonts w:ascii="Calibri" w:hAnsi="Calibri"/>
        </w:rPr>
        <w:t>4.2 Résultats — Prévisions à 30 jours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Valeur prévue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Tendance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Produits (recettes)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5 914 698 FCFA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HAUSSE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Charges (dépenses)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4 671 117 FCFA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STABLE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Solde net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+1 247 773 FCFA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HAUSSE</w:t>
            </w:r>
          </w:p>
        </w:tc>
      </w:tr>
    </w:tbl>
    <w:p>
      <w:pPr>
        <w:jc w:val="both"/>
      </w:pPr>
      <w:r>
        <w:rPr>
          <w:rFonts w:ascii="Calibri" w:hAnsi="Calibri"/>
          <w:b w:val="0"/>
          <w:i w:val="0"/>
          <w:sz w:val="22"/>
        </w:rPr>
        <w:t>L'utilisateur peut ajuster l'horizon de prévision entre 15 et 90 jours via un curseur interactif dans l'interface. Les prévisions s'accompagnent d'un graphique historique + projection avec bande de confiance à 90 %.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5. Module 3 — Tableau de Bord Financier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L'interface web est développée avec Streamlit et comprend cinq pages accessibles selon le rôle de l'utilisateur connecté.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Accessible par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Tableau de bord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KPIs (produits, charges, résultat net, alertes fraude), graphique mensuel, camembert des charges, courbe solde cumulé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Tous les rôles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Classification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Saisie manuelle d'un libellé ou import CSV en batch — catégorie OHADA assignée automatiquement avec export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Comptable et Dirigeant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Budget prévisionnel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Slider horizon 15–90 jours, graphique historique + prévision + IC 90%, tableau mensuel détaillé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Tous les rôles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Anomalies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Transactions suspectes en rouge/jaune, histogramme de distribution, alertes critiques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Tous les rôles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Journal d'audit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Historique des actions, vérification de l'intégrité SHA-256, hash affiché par entrée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Dirigeant uniquement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i w:val="0"/>
          <w:sz w:val="22"/>
        </w:rPr>
        <w:t>Les graphiques sont générés avec Plotly, offrant interactivité (zoom, survol, export PNG). Le tableau de bord est conçu pour être utilisable sans formation comptable préalable.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6. Module 4 — Cybersécurité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module cybersécurité (src/cyber/securite.py) implémente trois mécanismes de protection indépendants et complémentaires. Ce module a été pris en charge par Branham NDZIENGOMO DJAGNI (Cybersécurité L2).</w:t>
      </w:r>
    </w:p>
    <w:p>
      <w:pPr>
        <w:pStyle w:val="Heading2"/>
      </w:pPr>
      <w:r>
        <w:rPr>
          <w:rFonts w:ascii="Calibri" w:hAnsi="Calibri"/>
        </w:rPr>
        <w:t>6.1 Chiffrement des données — Fernet (AES-128-CBC)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Toutes les données financières sensibles sont chiffrées à l'aide de l'algorithme AES-128 en mode CBC via la bibliothèque Fernet. Une clé symétrique est générée au premier démarrage et stockée dans data/.fernet_key. Ce fichier est exclu du dépôt Git (.gitignore) pour ne jamais être exposé publiquement.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Exemple : la valeur « 245 000 FCFA » devient après chiffrement une chaîne illisible du type gAAAAABqOqQp6sO1CaTYLJoFd... Sans la clé, le fichier volé est inexploitable.</w:t>
      </w:r>
    </w:p>
    <w:p>
      <w:pPr>
        <w:pStyle w:val="Heading2"/>
      </w:pPr>
      <w:r>
        <w:rPr>
          <w:rFonts w:ascii="Calibri" w:hAnsi="Calibri"/>
        </w:rPr>
        <w:t>6.2 Contrôle d'accès par rôle (RBAC)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Trois rôles sont définis avec des permissions différenciées. Les mots de passe sont hachés avec bcrypt (hachage à sel aléatoire, lent par conception) — jamais stockés en clair.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Lire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Écrire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Supprimer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Exporter</w:t>
            </w:r>
          </w:p>
        </w:tc>
        <w:tc>
          <w:tcPr>
            <w:tcW w:type="dxa" w:w="152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Dirigeant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</w:tr>
      <w:tr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Comptable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Non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Expert-comptable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Non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Oui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6.3 Journal d'audit infalsifiable — Chaîne SHA-256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Chaque action réalisée dans la plateforme (connexion, classification, export, import) est enregistrée dans un journal d'audit. Ce journal repose sur un principe de chaînage par hachage, inspiré de la blockchain 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Chaque entrée contient l'horodatage, l'utilisateur, l'action, les détails et le hash de l'entrée précédente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 hash de chaque entrée est calculé via SHA-256 : hash_N = SHA256(horodatage | utilisateur | action | details | hash_{N-1})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une entrée passée est modifiée, son hash change — tous les hashes suivants deviennent invalides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La fonction verifier_integrite_journal() parcourt toute la chaîne et signale toute altération</w:t>
      </w:r>
    </w:p>
    <w:p>
      <w:pPr>
        <w:jc w:val="both"/>
      </w:pPr>
      <w:r>
        <w:rPr>
          <w:rFonts w:ascii="Calibri" w:hAnsi="Calibri"/>
          <w:b/>
          <w:i w:val="0"/>
          <w:sz w:val="22"/>
        </w:rPr>
        <w:t>Comptes de démonstration opérationnels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Identifiant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Mot de passe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admin_pme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BudgetIA@2026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Dirigeant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comptable1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Compta@PME2026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Comptable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expert_ext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Expert@OHADA26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Expert-comptable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7. Détection d'Anomalies — Isolation Forest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En complément du classifieur, un modèle Isolation Forest est entraîné pour détecter les transactions financières suspectes sans supervision humaine.</w:t>
      </w:r>
    </w:p>
    <w:p>
      <w:pPr>
        <w:pStyle w:val="Heading2"/>
      </w:pPr>
      <w:r>
        <w:rPr>
          <w:rFonts w:ascii="Calibri" w:hAnsi="Calibri"/>
        </w:rPr>
        <w:t>7.1 Principe de l'Isolation Forest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L'algorithme « isole » les points de données inhabituels. Une transaction normale ressemble à ses voisines et nécessite de nombreuses coupures pour être isolée. Une transaction anormale (montant 10x supérieur à la moyenne) est isolée très rapidement. Le modèle attribue un score d'anomalie à chaque transaction : plus le score est négatif, plus la transaction est suspecte.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Features utilisées : montant de la transaction, mois, jour de la semaine, type (charge ou produit).</w:t>
      </w:r>
    </w:p>
    <w:p>
      <w:pPr>
        <w:pStyle w:val="Heading2"/>
      </w:pPr>
      <w:r>
        <w:rPr>
          <w:rFonts w:ascii="Calibri" w:hAnsi="Calibri"/>
        </w:rPr>
        <w:t>7.2 Résultats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modèle détecte les 5 anomalies injectées parmi les 612 transactions du dataset. Dans l'interface, les transactions critiques apparaissent en rouge et les transactions suspectes en jaune, avec une alerte visuelle pour le dirigeant.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8. Flux de Données Complet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Le schéma suivant illustre le parcours complet d'une transaction depuis son import jusqu'à son affichage sécurisé dans le tableau de bord :</w:t>
      </w:r>
    </w:p>
    <w:p>
      <w:pPr>
        <w:ind w:left="1134"/>
      </w:pPr>
      <w:r>
        <w:rPr>
          <w:rFonts w:ascii="Courier New" w:hAnsi="Courier New"/>
          <w:sz w:val="20"/>
        </w:rPr>
        <w:t>[1] Dirigeant importe un fichier CSV de transactions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[2] TF-IDF vectorise chaque libellé textuel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[3] Random Forest assigne la catégorie OHADA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[4] Isolation Forest vérifie : normal ou suspect ?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[5] Données chiffrées (Fernet/AES-128) → stockées SQLite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[6] Action enregistrée dans le journal (SHA-256)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[7] Prophet calcule les prévisions sur l'historique cumulé</w:t>
      </w:r>
    </w:p>
    <w:p>
      <w:pPr>
        <w:ind w:left="1134"/>
      </w:pPr>
      <w:r>
        <w:rPr>
          <w:rFonts w:ascii="Courier New" w:hAnsi="Courier New"/>
          <w:sz w:val="20"/>
        </w:rPr>
        <w:t xml:space="preserve">         ↓</w:t>
      </w:r>
    </w:p>
    <w:p>
      <w:pPr>
        <w:ind w:left="1134"/>
      </w:pPr>
      <w:r>
        <w:rPr>
          <w:rFonts w:ascii="Courier New" w:hAnsi="Courier New"/>
          <w:sz w:val="20"/>
        </w:rPr>
        <w:t>[8] Streamlit affiche tableau de bord + alertes anomalies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9. Guide de Démonstration pour le Jury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L'application se lance via la commande suivante à la racine du projet :</w:t>
      </w:r>
    </w:p>
    <w:p>
      <w:pPr>
        <w:ind w:left="567"/>
      </w:pPr>
      <w:r>
        <w:rPr>
          <w:rFonts w:ascii="Courier New" w:hAnsi="Courier New"/>
          <w:b/>
          <w:sz w:val="22"/>
        </w:rPr>
        <w:t>python lancer_app.py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L'application s'ouvre automatiquement sur http://localhost:8501</w:t>
      </w:r>
    </w:p>
    <w:p/>
    <w:p>
      <w:pPr>
        <w:jc w:val="both"/>
      </w:pPr>
      <w:r>
        <w:rPr>
          <w:rFonts w:ascii="Calibri" w:hAnsi="Calibri"/>
          <w:b/>
          <w:i w:val="0"/>
          <w:sz w:val="22"/>
        </w:rPr>
        <w:t>Scénario de démonstration recommandé (5 étapes) :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Étape 1 — Connexion : </w:t>
      </w:r>
      <w:r>
        <w:rPr>
          <w:rFonts w:ascii="Calibri" w:hAnsi="Calibri"/>
          <w:sz w:val="22"/>
        </w:rPr>
        <w:t>Se connecter avec admin_pme / BudgetIA@2026. Montrer que comptable1 n'a pas accès au journal d'audit.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Étape 2 — Classification : </w:t>
      </w:r>
      <w:r>
        <w:rPr>
          <w:rFonts w:ascii="Calibri" w:hAnsi="Calibri"/>
          <w:sz w:val="22"/>
        </w:rPr>
        <w:t>Page 'Classification' → Saisir 'FACTURE ORANGE MONEY TELECOMS' → montrer la catégorie assignée et le score de confiance. Puis importer le fichier transactions_pme.csv en batch.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Étape 3 — Anomalies : </w:t>
      </w:r>
      <w:r>
        <w:rPr>
          <w:rFonts w:ascii="Calibri" w:hAnsi="Calibri"/>
          <w:sz w:val="22"/>
        </w:rPr>
        <w:t>Page 'Anomalies' → montrer les 5 transactions en rouge/jaune → expliquer le score Isolation Forest.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Étape 4 — Budget : </w:t>
      </w:r>
      <w:r>
        <w:rPr>
          <w:rFonts w:ascii="Calibri" w:hAnsi="Calibri"/>
          <w:sz w:val="22"/>
        </w:rPr>
        <w:t>Page 'Budget prévisionnel' → déplacer le curseur de 30 à 90 jours → montrer l'évolution des courbes et l'intervalle de confiance.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Étape 5 — Audit : </w:t>
      </w:r>
      <w:r>
        <w:rPr>
          <w:rFonts w:ascii="Calibri" w:hAnsi="Calibri"/>
          <w:sz w:val="22"/>
        </w:rPr>
        <w:t>Page 'Journal d'audit' → montrer la chaîne de hashes SHA-256 → cliquer 'Vérifier l'intégrité' → affichage INTÉGRITÉ CONFIRMÉE.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</w:rPr>
        <w:t>10. Bilan et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 demandé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04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Classification automatique des transactions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LIVRÉ (98,4 % de précision)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TF-IDF + Random Forest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Prévision budgétaire par IA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LIVRÉ (3 horizons)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Prophet (Meta)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Tableau de bord financier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LIVRÉ (5 pages)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Streamlit + Plotly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Sécurisation des données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LIVRÉ (3 mécanismes)</w:t>
            </w:r>
          </w:p>
        </w:tc>
        <w:tc>
          <w:tcPr>
            <w:tcW w:type="dxa" w:w="3041"/>
            <w:shd w:val="clear" w:color="auto" w:fill="EBF3FB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Fernet + bcrypt + SHA-256</w:t>
            </w:r>
          </w:p>
        </w:tc>
      </w:tr>
    </w:tbl>
    <w:p/>
    <w:p>
      <w:pPr>
        <w:jc w:val="both"/>
      </w:pPr>
      <w:r>
        <w:rPr>
          <w:rFonts w:ascii="Calibri" w:hAnsi="Calibri"/>
          <w:b/>
          <w:i w:val="0"/>
          <w:sz w:val="22"/>
        </w:rPr>
        <w:t>Le Groupe 17 a livré 4 modules fonctionnels sur 4 demandés, soit 100 % du cahier des charges, avec seulement 2 membres actifs sur les 7 membres du groupe.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L'application est opérationnelle, sécurisée, et prête pour une présentation au jury. Elle constitue une base solide pour un déploiement réel auprès de PME sénégalaises souhaitant moderniser leur gestion comptable à coût zéro.</w:t>
      </w:r>
    </w:p>
    <w:p/>
    <w:p/>
    <w:p>
      <w:pPr>
        <w:jc w:val="center"/>
      </w:pPr>
      <w:r>
        <w:rPr>
          <w:rFonts w:ascii="Calibri" w:hAnsi="Calibri"/>
          <w:i/>
          <w:color w:val="888888"/>
          <w:sz w:val="20"/>
        </w:rPr>
        <w:t>Branham NDZIENGOMO DJAGNI — Cybersécurité L2 — ISM Dakar — Juin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