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F702A45" w14:textId="39F47D25" w:rsidR="00DA6BB6" w:rsidRPr="00D1633C" w:rsidRDefault="0019376A" w:rsidP="00D1633C">
      <w:pPr>
        <w:jc w:val="center"/>
        <w:rPr>
          <w:i w:val="0"/>
          <w:iCs w:val="0"/>
          <w:sz w:val="40"/>
          <w:szCs w:val="40"/>
          <w:u w:val="none"/>
        </w:rPr>
      </w:pPr>
      <w:r w:rsidRPr="00D1633C">
        <w:rPr>
          <w:i w:val="0"/>
          <w:iCs w:val="0"/>
          <w:sz w:val="40"/>
          <w:szCs w:val="40"/>
          <w:u w:val="none"/>
        </w:rPr>
        <w:t>The Case of the Distinct Inheritors</w:t>
      </w:r>
    </w:p>
    <w:p w14:paraId="2C1EF929" w14:textId="77777777" w:rsidR="0019376A" w:rsidRPr="00D1633C" w:rsidRDefault="0019376A" w:rsidP="00D1633C">
      <w:pPr>
        <w:rPr>
          <w:i w:val="0"/>
          <w:iCs w:val="0"/>
          <w:u w:val="none"/>
        </w:rPr>
      </w:pPr>
    </w:p>
    <w:p w14:paraId="5E5B0B0B" w14:textId="79606744" w:rsidR="0019376A" w:rsidRPr="00D1633C" w:rsidRDefault="0019376A" w:rsidP="00D1633C">
      <w:pPr>
        <w:jc w:val="center"/>
        <w:rPr>
          <w:i w:val="0"/>
          <w:iCs w:val="0"/>
          <w:sz w:val="28"/>
          <w:szCs w:val="28"/>
          <w:u w:val="none"/>
        </w:rPr>
      </w:pPr>
      <w:r w:rsidRPr="00D1633C">
        <w:rPr>
          <w:i w:val="0"/>
          <w:iCs w:val="0"/>
          <w:sz w:val="28"/>
          <w:szCs w:val="28"/>
          <w:u w:val="none"/>
        </w:rPr>
        <w:t>In The Supreme Court of India, 202</w:t>
      </w:r>
      <w:r w:rsidR="00CA4533" w:rsidRPr="00D1633C">
        <w:rPr>
          <w:i w:val="0"/>
          <w:iCs w:val="0"/>
          <w:sz w:val="28"/>
          <w:szCs w:val="28"/>
          <w:u w:val="none"/>
        </w:rPr>
        <w:t>9</w:t>
      </w:r>
    </w:p>
    <w:p w14:paraId="30BE962C" w14:textId="6B23D629" w:rsidR="0019376A" w:rsidRPr="00D1633C" w:rsidRDefault="0019376A" w:rsidP="00D1633C">
      <w:pPr>
        <w:jc w:val="center"/>
        <w:rPr>
          <w:i w:val="0"/>
          <w:iCs w:val="0"/>
          <w:sz w:val="28"/>
          <w:szCs w:val="28"/>
        </w:rPr>
      </w:pPr>
      <w:r w:rsidRPr="00D1633C">
        <w:rPr>
          <w:noProof/>
        </w:rPr>
        <mc:AlternateContent>
          <mc:Choice Requires="wps">
            <w:drawing>
              <wp:anchor distT="0" distB="0" distL="114300" distR="114300" simplePos="0" relativeHeight="251659264" behindDoc="0" locked="0" layoutInCell="1" allowOverlap="1" wp14:anchorId="46C46BAC" wp14:editId="0D75E97E">
                <wp:simplePos x="0" y="0"/>
                <wp:positionH relativeFrom="column">
                  <wp:posOffset>9525</wp:posOffset>
                </wp:positionH>
                <wp:positionV relativeFrom="paragraph">
                  <wp:posOffset>154305</wp:posOffset>
                </wp:positionV>
                <wp:extent cx="419100" cy="619125"/>
                <wp:effectExtent l="0" t="0" r="0" b="0"/>
                <wp:wrapSquare wrapText="bothSides"/>
                <wp:docPr id="703441846" name="Text Box 1"/>
                <wp:cNvGraphicFramePr/>
                <a:graphic xmlns:a="http://schemas.openxmlformats.org/drawingml/2006/main">
                  <a:graphicData uri="http://schemas.microsoft.com/office/word/2010/wordprocessingShape">
                    <wps:wsp>
                      <wps:cNvSpPr txBox="1"/>
                      <wps:spPr>
                        <a:xfrm>
                          <a:off x="0" y="0"/>
                          <a:ext cx="419100" cy="619125"/>
                        </a:xfrm>
                        <a:prstGeom prst="rect">
                          <a:avLst/>
                        </a:prstGeom>
                        <a:noFill/>
                        <a:ln>
                          <a:noFill/>
                        </a:ln>
                      </wps:spPr>
                      <wps:txbx>
                        <w:txbxContent>
                          <w:p w14:paraId="529134DF" w14:textId="77777777" w:rsidR="0019376A" w:rsidRPr="0019376A" w:rsidRDefault="0019376A" w:rsidP="0019376A">
                            <w:pPr>
                              <w:jc w:val="center"/>
                              <w:rPr>
                                <w:smallCaps w:val="0"/>
                                <w:sz w:val="72"/>
                                <w:szCs w:val="7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19376A">
                              <w:rPr>
                                <w:i w:val="0"/>
                                <w:iCs w:val="0"/>
                                <w:smallCaps w:val="0"/>
                                <w:sz w:val="72"/>
                                <w:szCs w:val="72"/>
                                <w:u w:val="none"/>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46C46BAC" id="_x0000_t202" coordsize="21600,21600" o:spt="202" path="m,l,21600r21600,l21600,xe">
                <v:stroke joinstyle="miter"/>
                <v:path gradientshapeok="t" o:connecttype="rect"/>
              </v:shapetype>
              <v:shape id="Text Box 1" o:spid="_x0000_s1026" type="#_x0000_t202" style="position:absolute;left:0;text-align:left;margin-left:.75pt;margin-top:12.15pt;width:33pt;height:48.75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" filled="f" stroked="f">
                <v:textbox>
                  <w:txbxContent>
                    <w:p w14:paraId="529134DF" w14:textId="77777777" w:rsidR="0019376A" w:rsidRPr="0019376A" w:rsidRDefault="0019376A" w:rsidP="0019376A">
                      <w:pPr>
                        <w:jc w:val="center"/>
                        <w:rPr>
                          <w:smallCaps w:val="0"/>
                          <w:sz w:val="72"/>
                          <w:szCs w:val="7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19376A">
                        <w:rPr>
                          <w:i w:val="0"/>
                          <w:iCs w:val="0"/>
                          <w:smallCaps w:val="0"/>
                          <w:sz w:val="72"/>
                          <w:szCs w:val="72"/>
                          <w:u w:val="none"/>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w:t>
                      </w:r>
                    </w:p>
                  </w:txbxContent>
                </v:textbox>
                <w10:wrap type="square"/>
              </v:shape>
            </w:pict>
          </mc:Fallback>
        </mc:AlternateContent>
      </w:r>
    </w:p>
    <w:p w14:paraId="40C39E4B" w14:textId="2A3A9759" w:rsidR="0019376A" w:rsidRDefault="0019376A" w:rsidP="00D1633C">
      <w:pPr>
        <w:rPr>
          <w:i w:val="0"/>
          <w:iCs w:val="0"/>
          <w:smallCaps w:val="0"/>
          <w:u w:val="none"/>
        </w:rPr>
      </w:pPr>
      <w:r w:rsidRPr="00D1633C">
        <w:rPr>
          <w:i w:val="0"/>
          <w:iCs w:val="0"/>
          <w:smallCaps w:val="0"/>
          <w:u w:val="none"/>
        </w:rPr>
        <w:t>HE appellants, arising out of a twin references, one from the Bombay HC (Goa Bench) and one from the Madras H</w:t>
      </w:r>
      <w:r w:rsidR="00330AB6">
        <w:rPr>
          <w:i w:val="0"/>
          <w:iCs w:val="0"/>
          <w:smallCaps w:val="0"/>
          <w:u w:val="none"/>
        </w:rPr>
        <w:t>C</w:t>
      </w:r>
      <w:r w:rsidRPr="00D1633C">
        <w:rPr>
          <w:i w:val="0"/>
          <w:iCs w:val="0"/>
          <w:smallCaps w:val="0"/>
          <w:u w:val="none"/>
        </w:rPr>
        <w:t xml:space="preserve"> are consolidated before this bench on a key question of </w:t>
      </w:r>
      <w:r w:rsidR="00EC75BC">
        <w:rPr>
          <w:i w:val="0"/>
          <w:iCs w:val="0"/>
          <w:smallCaps w:val="0"/>
          <w:u w:val="none"/>
        </w:rPr>
        <w:t xml:space="preserve">inheritance </w:t>
      </w:r>
      <w:r w:rsidRPr="00D1633C">
        <w:rPr>
          <w:i w:val="0"/>
          <w:iCs w:val="0"/>
          <w:smallCaps w:val="0"/>
          <w:u w:val="none"/>
        </w:rPr>
        <w:t>law</w:t>
      </w:r>
      <w:r w:rsidR="00EC75BC">
        <w:rPr>
          <w:i w:val="0"/>
          <w:iCs w:val="0"/>
          <w:smallCaps w:val="0"/>
          <w:u w:val="none"/>
        </w:rPr>
        <w:t xml:space="preserve">, </w:t>
      </w:r>
      <w:r w:rsidRPr="00D1633C">
        <w:rPr>
          <w:i w:val="0"/>
          <w:iCs w:val="0"/>
          <w:smallCaps w:val="0"/>
          <w:u w:val="none"/>
        </w:rPr>
        <w:t>specifically the</w:t>
      </w:r>
      <w:r w:rsidR="00CA4533" w:rsidRPr="00D1633C">
        <w:rPr>
          <w:i w:val="0"/>
          <w:iCs w:val="0"/>
          <w:smallCaps w:val="0"/>
          <w:u w:val="none"/>
        </w:rPr>
        <w:t xml:space="preserve"> impact on the </w:t>
      </w:r>
      <w:r w:rsidRPr="00D1633C">
        <w:rPr>
          <w:i w:val="0"/>
          <w:iCs w:val="0"/>
          <w:smallCaps w:val="0"/>
          <w:u w:val="none"/>
        </w:rPr>
        <w:t xml:space="preserve">distinct systems influenced by the Portuguese in Goa, and the French in </w:t>
      </w:r>
      <w:r w:rsidR="00CA4533" w:rsidRPr="00D1633C">
        <w:rPr>
          <w:i w:val="0"/>
          <w:iCs w:val="0"/>
          <w:smallCaps w:val="0"/>
          <w:u w:val="none"/>
        </w:rPr>
        <w:t xml:space="preserve">Puducherry by the passing of the recent </w:t>
      </w:r>
      <w:r w:rsidR="00E51BA5" w:rsidRPr="00D1633C">
        <w:rPr>
          <w:i w:val="0"/>
          <w:iCs w:val="0"/>
          <w:smallCaps w:val="0"/>
          <w:u w:val="none"/>
        </w:rPr>
        <w:t xml:space="preserve">Uniform </w:t>
      </w:r>
      <w:r w:rsidR="00CA4533" w:rsidRPr="00D1633C">
        <w:rPr>
          <w:i w:val="0"/>
          <w:iCs w:val="0"/>
          <w:smallCaps w:val="0"/>
          <w:u w:val="none"/>
        </w:rPr>
        <w:t>C</w:t>
      </w:r>
      <w:r w:rsidR="00E51BA5" w:rsidRPr="00D1633C">
        <w:rPr>
          <w:i w:val="0"/>
          <w:iCs w:val="0"/>
          <w:smallCaps w:val="0"/>
          <w:u w:val="none"/>
        </w:rPr>
        <w:t xml:space="preserve">ivil </w:t>
      </w:r>
      <w:r w:rsidR="00CA4533" w:rsidRPr="00D1633C">
        <w:rPr>
          <w:i w:val="0"/>
          <w:iCs w:val="0"/>
          <w:smallCaps w:val="0"/>
          <w:u w:val="none"/>
        </w:rPr>
        <w:t>C</w:t>
      </w:r>
      <w:r w:rsidR="00E51BA5" w:rsidRPr="00D1633C">
        <w:rPr>
          <w:i w:val="0"/>
          <w:iCs w:val="0"/>
          <w:smallCaps w:val="0"/>
          <w:u w:val="none"/>
        </w:rPr>
        <w:t>ode Act, 2029</w:t>
      </w:r>
      <w:r w:rsidR="00CA4533" w:rsidRPr="00D1633C">
        <w:rPr>
          <w:i w:val="0"/>
          <w:iCs w:val="0"/>
          <w:smallCaps w:val="0"/>
          <w:u w:val="none"/>
        </w:rPr>
        <w:t xml:space="preserve"> </w:t>
      </w:r>
      <w:r w:rsidR="00E51BA5" w:rsidRPr="00D1633C">
        <w:rPr>
          <w:i w:val="0"/>
          <w:iCs w:val="0"/>
          <w:smallCaps w:val="0"/>
          <w:u w:val="none"/>
        </w:rPr>
        <w:t xml:space="preserve">(“UCC”) </w:t>
      </w:r>
      <w:r w:rsidR="00CA4533" w:rsidRPr="00D1633C">
        <w:rPr>
          <w:i w:val="0"/>
          <w:iCs w:val="0"/>
          <w:smallCaps w:val="0"/>
          <w:u w:val="none"/>
        </w:rPr>
        <w:t xml:space="preserve">by the Central </w:t>
      </w:r>
      <w:r w:rsidR="00E51BA5" w:rsidRPr="00D1633C">
        <w:rPr>
          <w:i w:val="0"/>
          <w:iCs w:val="0"/>
          <w:smallCaps w:val="0"/>
          <w:u w:val="none"/>
        </w:rPr>
        <w:t>government</w:t>
      </w:r>
      <w:r w:rsidR="00CA4533" w:rsidRPr="00D1633C">
        <w:rPr>
          <w:i w:val="0"/>
          <w:iCs w:val="0"/>
          <w:smallCaps w:val="0"/>
          <w:u w:val="none"/>
        </w:rPr>
        <w:t xml:space="preserve">. </w:t>
      </w:r>
    </w:p>
    <w:p w14:paraId="69C50FC1" w14:textId="77777777" w:rsidR="00CA4533" w:rsidRPr="00D1633C" w:rsidRDefault="00CA4533" w:rsidP="00D1633C">
      <w:pPr>
        <w:rPr>
          <w:i w:val="0"/>
          <w:iCs w:val="0"/>
          <w:smallCaps w:val="0"/>
          <w:u w:val="none"/>
        </w:rPr>
      </w:pPr>
    </w:p>
    <w:p w14:paraId="77711FE2" w14:textId="5BB50DD8" w:rsidR="00E51BA5" w:rsidRPr="00D1633C" w:rsidRDefault="00CA4533" w:rsidP="00D1633C">
      <w:pPr>
        <w:rPr>
          <w:bCs w:val="0"/>
          <w:i w:val="0"/>
          <w:iCs w:val="0"/>
          <w:smallCaps w:val="0"/>
          <w:u w:val="none"/>
        </w:rPr>
      </w:pPr>
      <w:r w:rsidRPr="00D1633C">
        <w:rPr>
          <w:b/>
          <w:bCs w:val="0"/>
          <w:i w:val="0"/>
          <w:iCs w:val="0"/>
          <w:smallCaps w:val="0"/>
          <w:u w:val="none"/>
        </w:rPr>
        <w:t>K</w:t>
      </w:r>
      <w:r w:rsidRPr="00D1633C">
        <w:rPr>
          <w:b/>
          <w:bCs w:val="0"/>
          <w:i w:val="0"/>
          <w:iCs w:val="0"/>
          <w:u w:val="none"/>
        </w:rPr>
        <w:t>unsh</w:t>
      </w:r>
      <w:r w:rsidRPr="00D1633C">
        <w:rPr>
          <w:b/>
          <w:bCs w:val="0"/>
          <w:i w:val="0"/>
          <w:iCs w:val="0"/>
          <w:smallCaps w:val="0"/>
          <w:u w:val="none"/>
        </w:rPr>
        <w:t>, C. J.</w:t>
      </w:r>
      <w:r w:rsidRPr="00D1633C">
        <w:rPr>
          <w:i w:val="0"/>
          <w:iCs w:val="0"/>
          <w:smallCaps w:val="0"/>
          <w:u w:val="none"/>
        </w:rPr>
        <w:t xml:space="preserve">   The references arise out of the Uniform Civil C</w:t>
      </w:r>
      <w:r w:rsidR="000C3BC5" w:rsidRPr="00D1633C">
        <w:rPr>
          <w:i w:val="0"/>
          <w:iCs w:val="0"/>
          <w:smallCaps w:val="0"/>
          <w:u w:val="none"/>
        </w:rPr>
        <w:t xml:space="preserve">ode </w:t>
      </w:r>
      <w:r w:rsidRPr="00D1633C">
        <w:rPr>
          <w:i w:val="0"/>
          <w:iCs w:val="0"/>
          <w:smallCaps w:val="0"/>
          <w:u w:val="none"/>
        </w:rPr>
        <w:t>passed</w:t>
      </w:r>
      <w:r w:rsidR="00330AB6">
        <w:rPr>
          <w:i w:val="0"/>
          <w:iCs w:val="0"/>
          <w:smallCaps w:val="0"/>
          <w:u w:val="none"/>
        </w:rPr>
        <w:t xml:space="preserve"> </w:t>
      </w:r>
      <w:r w:rsidRPr="00D1633C">
        <w:rPr>
          <w:i w:val="0"/>
          <w:iCs w:val="0"/>
          <w:smallCaps w:val="0"/>
          <w:u w:val="none"/>
        </w:rPr>
        <w:t>by the NDA coalition amidst strong anti-incumbent sentiment arising</w:t>
      </w:r>
      <w:r w:rsidR="00330AB6">
        <w:rPr>
          <w:i w:val="0"/>
          <w:iCs w:val="0"/>
          <w:smallCaps w:val="0"/>
          <w:u w:val="none"/>
        </w:rPr>
        <w:t xml:space="preserve"> </w:t>
      </w:r>
      <w:r w:rsidRPr="00D1633C">
        <w:rPr>
          <w:i w:val="0"/>
          <w:iCs w:val="0"/>
          <w:smallCaps w:val="0"/>
          <w:u w:val="none"/>
        </w:rPr>
        <w:t xml:space="preserve">before the 2029 Lok Sabha elections. </w:t>
      </w:r>
      <w:r w:rsidR="00701403" w:rsidRPr="00D1633C">
        <w:rPr>
          <w:i w:val="0"/>
          <w:iCs w:val="0"/>
          <w:smallCaps w:val="0"/>
          <w:u w:val="none"/>
        </w:rPr>
        <w:t xml:space="preserve">While a plethora of challenges have arisen in constitutional courts across the country, these references are specifically with the </w:t>
      </w:r>
      <w:r w:rsidR="000C3BC5" w:rsidRPr="00D1633C">
        <w:rPr>
          <w:i w:val="0"/>
          <w:iCs w:val="0"/>
          <w:smallCaps w:val="0"/>
          <w:u w:val="none"/>
        </w:rPr>
        <w:t>distinct systems of Goa and Puducherry</w:t>
      </w:r>
      <w:r w:rsidR="00701403" w:rsidRPr="00D1633C">
        <w:rPr>
          <w:i w:val="0"/>
          <w:iCs w:val="0"/>
          <w:smallCaps w:val="0"/>
          <w:u w:val="none"/>
        </w:rPr>
        <w:t xml:space="preserve"> that arose</w:t>
      </w:r>
      <w:r w:rsidR="000C3BC5" w:rsidRPr="00D1633C">
        <w:rPr>
          <w:i w:val="0"/>
          <w:iCs w:val="0"/>
          <w:smallCaps w:val="0"/>
          <w:u w:val="none"/>
        </w:rPr>
        <w:t xml:space="preserve"> in an</w:t>
      </w:r>
      <w:r w:rsidR="00701403" w:rsidRPr="00D1633C">
        <w:rPr>
          <w:i w:val="0"/>
          <w:iCs w:val="0"/>
          <w:smallCaps w:val="0"/>
          <w:u w:val="none"/>
        </w:rPr>
        <w:t xml:space="preserve"> </w:t>
      </w:r>
      <w:r w:rsidR="000C3BC5" w:rsidRPr="00D1633C">
        <w:rPr>
          <w:i w:val="0"/>
          <w:iCs w:val="0"/>
          <w:smallCaps w:val="0"/>
          <w:u w:val="none"/>
        </w:rPr>
        <w:t>pre-colonial</w:t>
      </w:r>
      <w:r w:rsidR="00330AB6">
        <w:rPr>
          <w:i w:val="0"/>
          <w:iCs w:val="0"/>
          <w:smallCaps w:val="0"/>
          <w:u w:val="none"/>
        </w:rPr>
        <w:t xml:space="preserve"> era</w:t>
      </w:r>
      <w:r w:rsidR="000C3BC5" w:rsidRPr="00D1633C">
        <w:rPr>
          <w:i w:val="0"/>
          <w:iCs w:val="0"/>
          <w:smallCaps w:val="0"/>
          <w:u w:val="none"/>
        </w:rPr>
        <w:t xml:space="preserve">. The Portuguese in Goa (and Daman and Diu) had an unified civil </w:t>
      </w:r>
      <w:r w:rsidR="00E51BA5" w:rsidRPr="00D1633C">
        <w:rPr>
          <w:i w:val="0"/>
          <w:iCs w:val="0"/>
          <w:smallCaps w:val="0"/>
          <w:u w:val="none"/>
        </w:rPr>
        <w:t>system</w:t>
      </w:r>
      <w:r w:rsidR="000C3BC5" w:rsidRPr="00D1633C">
        <w:rPr>
          <w:i w:val="0"/>
          <w:iCs w:val="0"/>
          <w:smallCaps w:val="0"/>
          <w:u w:val="none"/>
        </w:rPr>
        <w:t xml:space="preserve"> </w:t>
      </w:r>
      <w:r w:rsidR="00E51BA5" w:rsidRPr="00D1633C">
        <w:rPr>
          <w:i w:val="0"/>
          <w:iCs w:val="0"/>
          <w:smallCaps w:val="0"/>
          <w:u w:val="none"/>
        </w:rPr>
        <w:t xml:space="preserve">as in </w:t>
      </w:r>
      <w:r w:rsidR="00330AB6">
        <w:rPr>
          <w:i w:val="0"/>
          <w:iCs w:val="0"/>
          <w:smallCaps w:val="0"/>
          <w:u w:val="none"/>
        </w:rPr>
        <w:t>Portugal</w:t>
      </w:r>
      <w:r w:rsidR="000C3BC5" w:rsidRPr="00D1633C">
        <w:rPr>
          <w:i w:val="0"/>
          <w:iCs w:val="0"/>
          <w:smallCaps w:val="0"/>
          <w:u w:val="none"/>
        </w:rPr>
        <w:t xml:space="preserve">, as opposed to the British India’s common law system gradually supplanted by codified personal law. Upon Operation Vijay’s liberation in 1961, the territory was annexed and integrated into India’s political and social landscape. </w:t>
      </w:r>
      <w:r w:rsidR="00330AB6">
        <w:rPr>
          <w:i w:val="0"/>
          <w:iCs w:val="0"/>
          <w:smallCaps w:val="0"/>
          <w:u w:val="none"/>
        </w:rPr>
        <w:t>L</w:t>
      </w:r>
      <w:r w:rsidR="000C3BC5" w:rsidRPr="00D1633C">
        <w:rPr>
          <w:i w:val="0"/>
          <w:iCs w:val="0"/>
          <w:smallCaps w:val="0"/>
          <w:u w:val="none"/>
        </w:rPr>
        <w:t xml:space="preserve">egally, the curious constitutional artefact of the Portuguese </w:t>
      </w:r>
      <w:r w:rsidR="00E51BA5" w:rsidRPr="00D1633C">
        <w:rPr>
          <w:i w:val="0"/>
          <w:iCs w:val="0"/>
          <w:smallCaps w:val="0"/>
          <w:u w:val="none"/>
        </w:rPr>
        <w:t xml:space="preserve">Civil Code owes its the continued existence partly to the Article 372 of the Constitution which preserved all existing laws until Parliament legislated otherwise. The Parliament never did, until now. The secular and uniform succession regime </w:t>
      </w:r>
      <w:r w:rsidR="00330AB6">
        <w:rPr>
          <w:i w:val="0"/>
          <w:iCs w:val="0"/>
          <w:smallCaps w:val="0"/>
          <w:u w:val="none"/>
        </w:rPr>
        <w:t>amidst</w:t>
      </w:r>
      <w:r w:rsidR="00E51BA5" w:rsidRPr="00D1633C">
        <w:rPr>
          <w:i w:val="0"/>
          <w:iCs w:val="0"/>
          <w:smallCaps w:val="0"/>
          <w:u w:val="none"/>
        </w:rPr>
        <w:t xml:space="preserve"> a country  fragmented by religious personal laws with its distinctive features of forced heirship (</w:t>
      </w:r>
      <w:proofErr w:type="spellStart"/>
      <w:r w:rsidR="00E51BA5" w:rsidRPr="00D1633C">
        <w:rPr>
          <w:smallCaps w:val="0"/>
          <w:u w:val="none"/>
        </w:rPr>
        <w:t>legitima</w:t>
      </w:r>
      <w:proofErr w:type="spellEnd"/>
      <w:r w:rsidR="00E51BA5" w:rsidRPr="00D1633C">
        <w:rPr>
          <w:i w:val="0"/>
          <w:iCs w:val="0"/>
          <w:smallCaps w:val="0"/>
          <w:u w:val="none"/>
        </w:rPr>
        <w:t>), matrimonial communion property (</w:t>
      </w:r>
      <w:proofErr w:type="spellStart"/>
      <w:r w:rsidR="00E51BA5" w:rsidRPr="00D1633C">
        <w:rPr>
          <w:bCs w:val="0"/>
          <w:smallCaps w:val="0"/>
          <w:u w:val="none"/>
        </w:rPr>
        <w:t>Comunhão</w:t>
      </w:r>
      <w:proofErr w:type="spellEnd"/>
      <w:r w:rsidR="00E51BA5" w:rsidRPr="00D1633C">
        <w:rPr>
          <w:bCs w:val="0"/>
          <w:smallCaps w:val="0"/>
          <w:u w:val="none"/>
        </w:rPr>
        <w:t xml:space="preserve"> de bens) </w:t>
      </w:r>
      <w:r w:rsidR="00E51BA5" w:rsidRPr="00D1633C">
        <w:rPr>
          <w:bCs w:val="0"/>
          <w:i w:val="0"/>
          <w:iCs w:val="0"/>
          <w:smallCaps w:val="0"/>
          <w:u w:val="none"/>
        </w:rPr>
        <w:t xml:space="preserve">and the uniformity of application across all Goan domiciles regardless of religion now faced </w:t>
      </w:r>
      <w:r w:rsidR="00330AB6" w:rsidRPr="00D1633C">
        <w:rPr>
          <w:bCs w:val="0"/>
          <w:i w:val="0"/>
          <w:iCs w:val="0"/>
          <w:smallCaps w:val="0"/>
          <w:u w:val="none"/>
        </w:rPr>
        <w:t>extinction</w:t>
      </w:r>
      <w:r w:rsidR="00E51BA5" w:rsidRPr="00D1633C">
        <w:rPr>
          <w:bCs w:val="0"/>
          <w:i w:val="0"/>
          <w:iCs w:val="0"/>
          <w:smallCaps w:val="0"/>
          <w:u w:val="none"/>
        </w:rPr>
        <w:t xml:space="preserve"> </w:t>
      </w:r>
      <w:r w:rsidR="00330AB6">
        <w:rPr>
          <w:bCs w:val="0"/>
          <w:i w:val="0"/>
          <w:iCs w:val="0"/>
          <w:smallCaps w:val="0"/>
          <w:u w:val="none"/>
        </w:rPr>
        <w:t xml:space="preserve">with </w:t>
      </w:r>
      <w:r w:rsidR="00E51BA5" w:rsidRPr="00D1633C">
        <w:rPr>
          <w:bCs w:val="0"/>
          <w:i w:val="0"/>
          <w:iCs w:val="0"/>
          <w:smallCaps w:val="0"/>
          <w:u w:val="none"/>
        </w:rPr>
        <w:t xml:space="preserve">the UCC. While the exact provisions are sub judice in another challenge </w:t>
      </w:r>
      <w:r w:rsidR="00330AB6">
        <w:rPr>
          <w:bCs w:val="0"/>
          <w:i w:val="0"/>
          <w:iCs w:val="0"/>
          <w:smallCaps w:val="0"/>
          <w:u w:val="none"/>
        </w:rPr>
        <w:t xml:space="preserve">before </w:t>
      </w:r>
      <w:r w:rsidR="00E51BA5" w:rsidRPr="00D1633C">
        <w:rPr>
          <w:bCs w:val="0"/>
          <w:i w:val="0"/>
          <w:iCs w:val="0"/>
          <w:smallCaps w:val="0"/>
          <w:u w:val="none"/>
        </w:rPr>
        <w:t>this court, the UCC in effect does away with the aforementioned features citing the directive principle of Article 44</w:t>
      </w:r>
      <w:r w:rsidR="003A3C3F" w:rsidRPr="00D1633C">
        <w:rPr>
          <w:bCs w:val="0"/>
          <w:i w:val="0"/>
          <w:iCs w:val="0"/>
          <w:smallCaps w:val="0"/>
          <w:u w:val="none"/>
        </w:rPr>
        <w:t>.</w:t>
      </w:r>
    </w:p>
    <w:p w14:paraId="7BBE1E7D" w14:textId="77777777" w:rsidR="003A3C3F" w:rsidRPr="00D1633C" w:rsidRDefault="003A3C3F" w:rsidP="00D1633C">
      <w:pPr>
        <w:rPr>
          <w:bCs w:val="0"/>
          <w:i w:val="0"/>
          <w:iCs w:val="0"/>
          <w:smallCaps w:val="0"/>
          <w:u w:val="none"/>
        </w:rPr>
      </w:pPr>
    </w:p>
    <w:p w14:paraId="73E96A33" w14:textId="2E962C50" w:rsidR="003A3C3F" w:rsidRDefault="00330AB6" w:rsidP="00D1633C">
      <w:pPr>
        <w:rPr>
          <w:bCs w:val="0"/>
          <w:i w:val="0"/>
          <w:iCs w:val="0"/>
          <w:smallCaps w:val="0"/>
          <w:u w:val="none"/>
        </w:rPr>
      </w:pPr>
      <w:r>
        <w:rPr>
          <w:i w:val="0"/>
          <w:iCs w:val="0"/>
          <w:smallCaps w:val="0"/>
          <w:u w:val="none"/>
        </w:rPr>
        <w:t>W</w:t>
      </w:r>
      <w:r w:rsidR="003A3C3F" w:rsidRPr="00D1633C">
        <w:rPr>
          <w:i w:val="0"/>
          <w:iCs w:val="0"/>
          <w:smallCaps w:val="0"/>
          <w:u w:val="none"/>
        </w:rPr>
        <w:t xml:space="preserve">hile the erstwhile French territory of Puducherry had gone a different way with the </w:t>
      </w:r>
      <w:r w:rsidR="003A3C3F" w:rsidRPr="00D1633C">
        <w:rPr>
          <w:bCs w:val="0"/>
          <w:i w:val="0"/>
          <w:iCs w:val="0"/>
          <w:smallCaps w:val="0"/>
          <w:u w:val="none"/>
        </w:rPr>
        <w:t xml:space="preserve">Hindu Succession (Pondicherry Extension) Act, 1968 thereby integrating it with the religion-based personal law systems of India, it has since come back to its </w:t>
      </w:r>
      <w:proofErr w:type="spellStart"/>
      <w:r w:rsidR="003A3C3F" w:rsidRPr="00D1633C">
        <w:rPr>
          <w:bCs w:val="0"/>
          <w:smallCaps w:val="0"/>
          <w:u w:val="none"/>
        </w:rPr>
        <w:t>racines</w:t>
      </w:r>
      <w:proofErr w:type="spellEnd"/>
      <w:r w:rsidR="003A3C3F" w:rsidRPr="00D1633C">
        <w:rPr>
          <w:bCs w:val="0"/>
          <w:smallCaps w:val="0"/>
          <w:u w:val="none"/>
        </w:rPr>
        <w:t xml:space="preserve"> </w:t>
      </w:r>
      <w:proofErr w:type="spellStart"/>
      <w:r w:rsidR="003A3C3F" w:rsidRPr="00D1633C">
        <w:rPr>
          <w:bCs w:val="0"/>
          <w:smallCaps w:val="0"/>
          <w:u w:val="none"/>
        </w:rPr>
        <w:t>françaises</w:t>
      </w:r>
      <w:proofErr w:type="spellEnd"/>
      <w:r w:rsidR="003A3C3F" w:rsidRPr="00D1633C">
        <w:rPr>
          <w:bCs w:val="0"/>
          <w:i w:val="0"/>
          <w:iCs w:val="0"/>
          <w:smallCaps w:val="0"/>
          <w:u w:val="none"/>
        </w:rPr>
        <w:t xml:space="preserve"> (French Root</w:t>
      </w:r>
      <w:r w:rsidR="00C61DE3" w:rsidRPr="00D1633C">
        <w:rPr>
          <w:bCs w:val="0"/>
          <w:i w:val="0"/>
          <w:iCs w:val="0"/>
          <w:smallCaps w:val="0"/>
          <w:u w:val="none"/>
        </w:rPr>
        <w:t>s</w:t>
      </w:r>
      <w:r w:rsidR="003A3C3F" w:rsidRPr="00D1633C">
        <w:rPr>
          <w:bCs w:val="0"/>
          <w:i w:val="0"/>
          <w:iCs w:val="0"/>
          <w:smallCaps w:val="0"/>
          <w:u w:val="none"/>
        </w:rPr>
        <w:t xml:space="preserve">). The Pondicherry legislature </w:t>
      </w:r>
      <w:r w:rsidR="00C61DE3" w:rsidRPr="00D1633C">
        <w:rPr>
          <w:bCs w:val="0"/>
          <w:i w:val="0"/>
          <w:iCs w:val="0"/>
          <w:smallCaps w:val="0"/>
          <w:u w:val="none"/>
        </w:rPr>
        <w:t xml:space="preserve">by </w:t>
      </w:r>
      <w:r w:rsidR="003A3C3F" w:rsidRPr="00D1633C">
        <w:rPr>
          <w:bCs w:val="0"/>
          <w:i w:val="0"/>
          <w:iCs w:val="0"/>
          <w:smallCaps w:val="0"/>
          <w:u w:val="none"/>
        </w:rPr>
        <w:t xml:space="preserve">a wave of young </w:t>
      </w:r>
      <w:proofErr w:type="spellStart"/>
      <w:r w:rsidR="003A3C3F" w:rsidRPr="00D1633C">
        <w:rPr>
          <w:bCs w:val="0"/>
          <w:i w:val="0"/>
          <w:iCs w:val="0"/>
          <w:smallCaps w:val="0"/>
          <w:u w:val="none"/>
        </w:rPr>
        <w:t>Puducherrian</w:t>
      </w:r>
      <w:proofErr w:type="spellEnd"/>
      <w:r w:rsidR="00471199" w:rsidRPr="00D1633C">
        <w:rPr>
          <w:bCs w:val="0"/>
          <w:i w:val="0"/>
          <w:iCs w:val="0"/>
          <w:smallCaps w:val="0"/>
          <w:u w:val="none"/>
        </w:rPr>
        <w:t xml:space="preserve"> MLA’s from the party “</w:t>
      </w:r>
      <w:proofErr w:type="spellStart"/>
      <w:r w:rsidR="00471199" w:rsidRPr="00D1633C">
        <w:rPr>
          <w:smallCaps w:val="0"/>
          <w:u w:val="none"/>
        </w:rPr>
        <w:t>Qu'ils</w:t>
      </w:r>
      <w:proofErr w:type="spellEnd"/>
      <w:r w:rsidR="00471199" w:rsidRPr="00D1633C">
        <w:rPr>
          <w:smallCaps w:val="0"/>
          <w:u w:val="none"/>
        </w:rPr>
        <w:t xml:space="preserve"> </w:t>
      </w:r>
      <w:proofErr w:type="spellStart"/>
      <w:r w:rsidR="00471199" w:rsidRPr="00D1633C">
        <w:rPr>
          <w:smallCaps w:val="0"/>
          <w:u w:val="none"/>
        </w:rPr>
        <w:t>mangent</w:t>
      </w:r>
      <w:proofErr w:type="spellEnd"/>
      <w:r w:rsidR="00471199" w:rsidRPr="00D1633C">
        <w:rPr>
          <w:smallCaps w:val="0"/>
          <w:u w:val="none"/>
        </w:rPr>
        <w:t xml:space="preserve"> de la brioche</w:t>
      </w:r>
      <w:r w:rsidR="00471199" w:rsidRPr="00D1633C">
        <w:rPr>
          <w:bCs w:val="0"/>
          <w:i w:val="0"/>
          <w:iCs w:val="0"/>
          <w:smallCaps w:val="0"/>
          <w:u w:val="none"/>
        </w:rPr>
        <w:t>”</w:t>
      </w:r>
      <w:r w:rsidR="003A3C3F" w:rsidRPr="00D1633C">
        <w:rPr>
          <w:bCs w:val="0"/>
          <w:i w:val="0"/>
          <w:iCs w:val="0"/>
          <w:smallCaps w:val="0"/>
          <w:u w:val="none"/>
        </w:rPr>
        <w:t xml:space="preserve"> motivated to resurrect and connect to their French heritage passed the </w:t>
      </w:r>
      <w:proofErr w:type="spellStart"/>
      <w:r w:rsidR="003A3C3F" w:rsidRPr="00D1633C">
        <w:rPr>
          <w:bCs w:val="0"/>
          <w:i w:val="0"/>
          <w:iCs w:val="0"/>
          <w:smallCaps w:val="0"/>
          <w:u w:val="none"/>
        </w:rPr>
        <w:lastRenderedPageBreak/>
        <w:t>The</w:t>
      </w:r>
      <w:proofErr w:type="spellEnd"/>
      <w:r w:rsidR="003A3C3F" w:rsidRPr="00D1633C">
        <w:rPr>
          <w:bCs w:val="0"/>
          <w:i w:val="0"/>
          <w:iCs w:val="0"/>
          <w:smallCaps w:val="0"/>
          <w:u w:val="none"/>
        </w:rPr>
        <w:t xml:space="preserve"> Puducherry Hindu Succession (Repeal) Act, </w:t>
      </w:r>
      <w:r w:rsidR="00471199" w:rsidRPr="00D1633C">
        <w:rPr>
          <w:bCs w:val="0"/>
          <w:i w:val="0"/>
          <w:iCs w:val="0"/>
          <w:smallCaps w:val="0"/>
          <w:u w:val="none"/>
        </w:rPr>
        <w:t>2028</w:t>
      </w:r>
      <w:r w:rsidR="003A3C3F" w:rsidRPr="00D1633C">
        <w:rPr>
          <w:bCs w:val="0"/>
          <w:i w:val="0"/>
          <w:iCs w:val="0"/>
          <w:smallCaps w:val="0"/>
          <w:u w:val="none"/>
        </w:rPr>
        <w:t xml:space="preserve"> (“Puducherry Act”). The Puducherry Act revived succession rules drawing on French civil law traditions, including:</w:t>
      </w:r>
    </w:p>
    <w:p w14:paraId="504315F5" w14:textId="77777777" w:rsidR="00D1633C" w:rsidRPr="00D1633C" w:rsidRDefault="00D1633C" w:rsidP="00D1633C">
      <w:pPr>
        <w:rPr>
          <w:bCs w:val="0"/>
          <w:i w:val="0"/>
          <w:iCs w:val="0"/>
          <w:smallCaps w:val="0"/>
          <w:u w:val="none"/>
        </w:rPr>
      </w:pPr>
    </w:p>
    <w:p w14:paraId="3C056815" w14:textId="7BF66782" w:rsidR="003A3C3F" w:rsidRPr="00D1633C" w:rsidRDefault="003A3C3F" w:rsidP="00D1633C">
      <w:pPr>
        <w:pStyle w:val="ListParagraph"/>
        <w:numPr>
          <w:ilvl w:val="0"/>
          <w:numId w:val="1"/>
        </w:numPr>
        <w:rPr>
          <w:bCs w:val="0"/>
          <w:i w:val="0"/>
          <w:iCs w:val="0"/>
          <w:smallCaps w:val="0"/>
          <w:u w:val="none"/>
        </w:rPr>
      </w:pPr>
      <w:r w:rsidRPr="00D1633C">
        <w:rPr>
          <w:bCs w:val="0"/>
          <w:smallCaps w:val="0"/>
          <w:u w:val="none"/>
        </w:rPr>
        <w:t>Section 4:</w:t>
      </w:r>
      <w:r w:rsidRPr="00D1633C">
        <w:rPr>
          <w:bCs w:val="0"/>
          <w:i w:val="0"/>
          <w:iCs w:val="0"/>
          <w:smallCaps w:val="0"/>
          <w:u w:val="none"/>
        </w:rPr>
        <w:t xml:space="preserve"> Intestate succession </w:t>
      </w:r>
      <w:r w:rsidR="00EC75BC">
        <w:rPr>
          <w:bCs w:val="0"/>
          <w:i w:val="0"/>
          <w:iCs w:val="0"/>
          <w:smallCaps w:val="0"/>
          <w:u w:val="none"/>
        </w:rPr>
        <w:t xml:space="preserve">amongst Puducherry </w:t>
      </w:r>
      <w:r w:rsidRPr="00D1633C">
        <w:rPr>
          <w:bCs w:val="0"/>
          <w:i w:val="0"/>
          <w:iCs w:val="0"/>
          <w:smallCaps w:val="0"/>
          <w:u w:val="none"/>
        </w:rPr>
        <w:t>domicile</w:t>
      </w:r>
      <w:r w:rsidR="00EC75BC">
        <w:rPr>
          <w:bCs w:val="0"/>
          <w:i w:val="0"/>
          <w:iCs w:val="0"/>
          <w:smallCaps w:val="0"/>
          <w:u w:val="none"/>
        </w:rPr>
        <w:t>s</w:t>
      </w:r>
      <w:r w:rsidRPr="00D1633C">
        <w:rPr>
          <w:bCs w:val="0"/>
          <w:i w:val="0"/>
          <w:iCs w:val="0"/>
          <w:smallCaps w:val="0"/>
          <w:u w:val="none"/>
        </w:rPr>
        <w:t xml:space="preserve"> shall be governed by equal per stirpes distribution among all lineal descendants of the first degree, with a reserved portion (</w:t>
      </w:r>
      <w:proofErr w:type="spellStart"/>
      <w:r w:rsidRPr="00D1633C">
        <w:rPr>
          <w:bCs w:val="0"/>
          <w:smallCaps w:val="0"/>
          <w:u w:val="none"/>
        </w:rPr>
        <w:t>réserve</w:t>
      </w:r>
      <w:proofErr w:type="spellEnd"/>
      <w:r w:rsidRPr="00D1633C">
        <w:rPr>
          <w:bCs w:val="0"/>
          <w:smallCaps w:val="0"/>
          <w:u w:val="none"/>
        </w:rPr>
        <w:t xml:space="preserve"> </w:t>
      </w:r>
      <w:proofErr w:type="spellStart"/>
      <w:r w:rsidRPr="00D1633C">
        <w:rPr>
          <w:bCs w:val="0"/>
          <w:smallCaps w:val="0"/>
          <w:u w:val="none"/>
        </w:rPr>
        <w:t>héréditaire</w:t>
      </w:r>
      <w:proofErr w:type="spellEnd"/>
      <w:r w:rsidRPr="00D1633C">
        <w:rPr>
          <w:bCs w:val="0"/>
          <w:i w:val="0"/>
          <w:iCs w:val="0"/>
          <w:smallCaps w:val="0"/>
          <w:u w:val="none"/>
        </w:rPr>
        <w:t>) of two-thirds of the estate for children</w:t>
      </w:r>
    </w:p>
    <w:p w14:paraId="3676C6DF" w14:textId="68738578" w:rsidR="003A3C3F" w:rsidRPr="00D1633C" w:rsidRDefault="003A3C3F" w:rsidP="00D1633C">
      <w:pPr>
        <w:pStyle w:val="ListParagraph"/>
        <w:numPr>
          <w:ilvl w:val="0"/>
          <w:numId w:val="1"/>
        </w:numPr>
        <w:rPr>
          <w:bCs w:val="0"/>
          <w:i w:val="0"/>
          <w:iCs w:val="0"/>
          <w:smallCaps w:val="0"/>
          <w:u w:val="none"/>
        </w:rPr>
      </w:pPr>
      <w:r w:rsidRPr="00D1633C">
        <w:rPr>
          <w:bCs w:val="0"/>
          <w:smallCaps w:val="0"/>
          <w:u w:val="none"/>
        </w:rPr>
        <w:t>Section 5:</w:t>
      </w:r>
      <w:r w:rsidRPr="00D1633C">
        <w:rPr>
          <w:bCs w:val="0"/>
          <w:i w:val="0"/>
          <w:iCs w:val="0"/>
          <w:smallCaps w:val="0"/>
          <w:u w:val="none"/>
        </w:rPr>
        <w:t xml:space="preserve"> The institution of the Hindu Undivided Family (HUF) and coparcenary rights under the </w:t>
      </w:r>
      <w:proofErr w:type="spellStart"/>
      <w:r w:rsidRPr="00D1633C">
        <w:rPr>
          <w:bCs w:val="0"/>
          <w:i w:val="0"/>
          <w:iCs w:val="0"/>
          <w:smallCaps w:val="0"/>
          <w:u w:val="none"/>
        </w:rPr>
        <w:t>Mitakshara</w:t>
      </w:r>
      <w:proofErr w:type="spellEnd"/>
      <w:r w:rsidRPr="00D1633C">
        <w:rPr>
          <w:bCs w:val="0"/>
          <w:i w:val="0"/>
          <w:iCs w:val="0"/>
          <w:smallCaps w:val="0"/>
          <w:u w:val="none"/>
        </w:rPr>
        <w:t xml:space="preserve"> school shall not apply within the territory of Puducherry.</w:t>
      </w:r>
    </w:p>
    <w:p w14:paraId="05B8194E" w14:textId="42CD1640" w:rsidR="003A3C3F" w:rsidRDefault="003A3C3F" w:rsidP="00D1633C">
      <w:pPr>
        <w:pStyle w:val="ListParagraph"/>
        <w:numPr>
          <w:ilvl w:val="0"/>
          <w:numId w:val="1"/>
        </w:numPr>
        <w:rPr>
          <w:bCs w:val="0"/>
          <w:i w:val="0"/>
          <w:iCs w:val="0"/>
          <w:smallCaps w:val="0"/>
          <w:u w:val="none"/>
        </w:rPr>
      </w:pPr>
      <w:r w:rsidRPr="00D1633C">
        <w:rPr>
          <w:bCs w:val="0"/>
          <w:smallCaps w:val="0"/>
          <w:u w:val="none"/>
        </w:rPr>
        <w:t>Section 6:</w:t>
      </w:r>
      <w:r w:rsidRPr="00D1633C">
        <w:rPr>
          <w:bCs w:val="0"/>
          <w:i w:val="0"/>
          <w:iCs w:val="0"/>
          <w:smallCaps w:val="0"/>
          <w:u w:val="none"/>
        </w:rPr>
        <w:t xml:space="preserve"> All persons, regardless of religion, shall have the right to make a will disposing of up to one-third of their estate freely, with the remaining two-thirds reserved for compulsory heirs.</w:t>
      </w:r>
    </w:p>
    <w:p w14:paraId="73BF4BF0" w14:textId="77777777" w:rsidR="00D1633C" w:rsidRPr="00D1633C" w:rsidRDefault="00D1633C" w:rsidP="00D1633C">
      <w:pPr>
        <w:pStyle w:val="ListParagraph"/>
        <w:rPr>
          <w:bCs w:val="0"/>
          <w:i w:val="0"/>
          <w:iCs w:val="0"/>
          <w:smallCaps w:val="0"/>
          <w:u w:val="none"/>
        </w:rPr>
      </w:pPr>
    </w:p>
    <w:p w14:paraId="47B29228" w14:textId="3D37C261" w:rsidR="003A3C3F" w:rsidRPr="00D1633C" w:rsidRDefault="00471199" w:rsidP="00D1633C">
      <w:pPr>
        <w:rPr>
          <w:i w:val="0"/>
          <w:iCs w:val="0"/>
          <w:smallCaps w:val="0"/>
          <w:u w:val="none"/>
        </w:rPr>
      </w:pPr>
      <w:r w:rsidRPr="00D1633C">
        <w:rPr>
          <w:bCs w:val="0"/>
          <w:i w:val="0"/>
          <w:iCs w:val="0"/>
          <w:smallCaps w:val="0"/>
          <w:u w:val="none"/>
        </w:rPr>
        <w:t>The Puducherry Act was passed</w:t>
      </w:r>
      <w:r w:rsidR="00C61DE3" w:rsidRPr="00D1633C">
        <w:rPr>
          <w:bCs w:val="0"/>
          <w:i w:val="0"/>
          <w:iCs w:val="0"/>
          <w:smallCaps w:val="0"/>
          <w:u w:val="none"/>
        </w:rPr>
        <w:t xml:space="preserve"> </w:t>
      </w:r>
      <w:r w:rsidRPr="00D1633C">
        <w:rPr>
          <w:bCs w:val="0"/>
          <w:i w:val="0"/>
          <w:iCs w:val="0"/>
          <w:smallCaps w:val="0"/>
          <w:u w:val="none"/>
        </w:rPr>
        <w:t>inspired from the Puducherry Law Reform Committee (2027) argument that the</w:t>
      </w:r>
      <w:r w:rsidR="00330AB6">
        <w:rPr>
          <w:bCs w:val="0"/>
          <w:i w:val="0"/>
          <w:iCs w:val="0"/>
          <w:smallCaps w:val="0"/>
          <w:u w:val="none"/>
        </w:rPr>
        <w:t xml:space="preserve"> </w:t>
      </w:r>
      <w:r w:rsidRPr="00D1633C">
        <w:rPr>
          <w:bCs w:val="0"/>
          <w:i w:val="0"/>
          <w:iCs w:val="0"/>
          <w:smallCaps w:val="0"/>
          <w:u w:val="none"/>
        </w:rPr>
        <w:t xml:space="preserve">1968 extension of the </w:t>
      </w:r>
      <w:r w:rsidR="00330AB6">
        <w:rPr>
          <w:bCs w:val="0"/>
          <w:i w:val="0"/>
          <w:iCs w:val="0"/>
          <w:smallCaps w:val="0"/>
          <w:u w:val="none"/>
        </w:rPr>
        <w:t xml:space="preserve">HSA was </w:t>
      </w:r>
      <w:r w:rsidRPr="00D1633C">
        <w:rPr>
          <w:bCs w:val="0"/>
          <w:i w:val="0"/>
          <w:iCs w:val="0"/>
          <w:smallCaps w:val="0"/>
          <w:u w:val="none"/>
        </w:rPr>
        <w:t xml:space="preserve">an act of  “legal homogenisation” that erased a distinctive Franco-Indian legal identity without adequate consultation. Challenging </w:t>
      </w:r>
      <w:r w:rsidR="00330AB6">
        <w:rPr>
          <w:bCs w:val="0"/>
          <w:i w:val="0"/>
          <w:iCs w:val="0"/>
          <w:smallCaps w:val="0"/>
          <w:u w:val="none"/>
        </w:rPr>
        <w:t>it however</w:t>
      </w:r>
      <w:r w:rsidRPr="00D1633C">
        <w:rPr>
          <w:bCs w:val="0"/>
          <w:i w:val="0"/>
          <w:iCs w:val="0"/>
          <w:smallCaps w:val="0"/>
          <w:u w:val="none"/>
        </w:rPr>
        <w:t xml:space="preserve">, </w:t>
      </w:r>
      <w:r w:rsidRPr="00D1633C">
        <w:rPr>
          <w:i w:val="0"/>
          <w:iCs w:val="0"/>
          <w:smallCaps w:val="0"/>
          <w:u w:val="none"/>
        </w:rPr>
        <w:t>t</w:t>
      </w:r>
      <w:r w:rsidR="003A3C3F" w:rsidRPr="00D1633C">
        <w:rPr>
          <w:i w:val="0"/>
          <w:iCs w:val="0"/>
          <w:smallCaps w:val="0"/>
          <w:u w:val="none"/>
        </w:rPr>
        <w:t xml:space="preserve">he learned </w:t>
      </w:r>
      <w:r w:rsidR="00330AB6">
        <w:rPr>
          <w:i w:val="0"/>
          <w:iCs w:val="0"/>
          <w:smallCaps w:val="0"/>
          <w:u w:val="none"/>
        </w:rPr>
        <w:t xml:space="preserve">AG </w:t>
      </w:r>
      <w:r w:rsidR="003A3C3F" w:rsidRPr="00D1633C">
        <w:rPr>
          <w:i w:val="0"/>
          <w:iCs w:val="0"/>
          <w:smallCaps w:val="0"/>
          <w:u w:val="none"/>
        </w:rPr>
        <w:t>argues that the persistence of “colonial-era personal law regimes of non-British origin” in these territories was an anomaly incompatible with national integration, and th</w:t>
      </w:r>
      <w:r w:rsidR="00330AB6">
        <w:rPr>
          <w:i w:val="0"/>
          <w:iCs w:val="0"/>
          <w:smallCaps w:val="0"/>
          <w:u w:val="none"/>
        </w:rPr>
        <w:t xml:space="preserve">ese </w:t>
      </w:r>
      <w:r w:rsidR="003A3C3F" w:rsidRPr="00D1633C">
        <w:rPr>
          <w:i w:val="0"/>
          <w:iCs w:val="0"/>
          <w:smallCaps w:val="0"/>
          <w:u w:val="none"/>
        </w:rPr>
        <w:t>rules in particular “constituted an impermissible restriction on testamentary freedom and individual property rights”</w:t>
      </w:r>
      <w:r w:rsidRPr="00D1633C">
        <w:rPr>
          <w:i w:val="0"/>
          <w:iCs w:val="0"/>
          <w:smallCaps w:val="0"/>
          <w:u w:val="none"/>
        </w:rPr>
        <w:t xml:space="preserve"> and the UCC validly </w:t>
      </w:r>
      <w:r w:rsidR="00C61DE3" w:rsidRPr="00D1633C">
        <w:rPr>
          <w:i w:val="0"/>
          <w:iCs w:val="0"/>
          <w:smallCaps w:val="0"/>
          <w:u w:val="none"/>
        </w:rPr>
        <w:t>does away with them.</w:t>
      </w:r>
    </w:p>
    <w:p w14:paraId="5CC7D264" w14:textId="77777777" w:rsidR="00896225" w:rsidRDefault="00896225" w:rsidP="00D1633C">
      <w:pPr>
        <w:rPr>
          <w:i w:val="0"/>
          <w:iCs w:val="0"/>
          <w:smallCaps w:val="0"/>
          <w:u w:val="none"/>
        </w:rPr>
      </w:pPr>
    </w:p>
    <w:p w14:paraId="13E06444" w14:textId="70A95032" w:rsidR="008C31FC" w:rsidRPr="00D1633C" w:rsidRDefault="00471199" w:rsidP="00D1633C">
      <w:pPr>
        <w:rPr>
          <w:i w:val="0"/>
          <w:iCs w:val="0"/>
          <w:smallCaps w:val="0"/>
          <w:u w:val="none"/>
        </w:rPr>
      </w:pPr>
      <w:r w:rsidRPr="00D1633C">
        <w:rPr>
          <w:i w:val="0"/>
          <w:iCs w:val="0"/>
          <w:smallCaps w:val="0"/>
          <w:u w:val="none"/>
        </w:rPr>
        <w:t xml:space="preserve">Upon </w:t>
      </w:r>
      <w:r w:rsidR="00896225">
        <w:rPr>
          <w:i w:val="0"/>
          <w:iCs w:val="0"/>
          <w:smallCaps w:val="0"/>
          <w:u w:val="none"/>
        </w:rPr>
        <w:t xml:space="preserve">its </w:t>
      </w:r>
      <w:r w:rsidRPr="00D1633C">
        <w:rPr>
          <w:i w:val="0"/>
          <w:iCs w:val="0"/>
          <w:smallCaps w:val="0"/>
          <w:u w:val="none"/>
        </w:rPr>
        <w:t xml:space="preserve">passing last month, these systems in Goa and Puducherry faced sudden collapse and hence the specific extension to the these territories was stayed by an interim order passed by this court upon a prima facie consideration of the appellants claims. However, now the </w:t>
      </w:r>
      <w:r w:rsidR="00C61DE3" w:rsidRPr="00D1633C">
        <w:rPr>
          <w:i w:val="0"/>
          <w:iCs w:val="0"/>
          <w:smallCaps w:val="0"/>
          <w:u w:val="none"/>
        </w:rPr>
        <w:t xml:space="preserve">legal </w:t>
      </w:r>
      <w:r w:rsidRPr="00D1633C">
        <w:rPr>
          <w:i w:val="0"/>
          <w:iCs w:val="0"/>
          <w:smallCaps w:val="0"/>
          <w:u w:val="none"/>
        </w:rPr>
        <w:t xml:space="preserve">question that arises before </w:t>
      </w:r>
      <w:r w:rsidR="00C61DE3" w:rsidRPr="00D1633C">
        <w:rPr>
          <w:i w:val="0"/>
          <w:iCs w:val="0"/>
          <w:smallCaps w:val="0"/>
          <w:u w:val="none"/>
        </w:rPr>
        <w:t>is</w:t>
      </w:r>
      <w:r w:rsidR="008C31FC" w:rsidRPr="00D1633C">
        <w:rPr>
          <w:i w:val="0"/>
          <w:iCs w:val="0"/>
          <w:smallCaps w:val="0"/>
          <w:u w:val="none"/>
        </w:rPr>
        <w:t>:</w:t>
      </w:r>
    </w:p>
    <w:p w14:paraId="6BD7CA97" w14:textId="77777777" w:rsidR="00C61DE3" w:rsidRPr="00D1633C" w:rsidRDefault="00C61DE3" w:rsidP="00D1633C">
      <w:pPr>
        <w:rPr>
          <w:i w:val="0"/>
          <w:iCs w:val="0"/>
          <w:smallCaps w:val="0"/>
          <w:u w:val="none"/>
        </w:rPr>
      </w:pPr>
    </w:p>
    <w:p w14:paraId="15EF39B5" w14:textId="488BCB97" w:rsidR="008C31FC" w:rsidRPr="00D1633C" w:rsidRDefault="008C31FC" w:rsidP="00D1633C">
      <w:pPr>
        <w:pStyle w:val="ListParagraph"/>
        <w:numPr>
          <w:ilvl w:val="0"/>
          <w:numId w:val="2"/>
        </w:numPr>
        <w:rPr>
          <w:bCs w:val="0"/>
          <w:i w:val="0"/>
          <w:iCs w:val="0"/>
          <w:smallCaps w:val="0"/>
          <w:u w:val="none"/>
        </w:rPr>
      </w:pPr>
      <w:r w:rsidRPr="00D1633C">
        <w:rPr>
          <w:i w:val="0"/>
          <w:iCs w:val="0"/>
          <w:smallCaps w:val="0"/>
          <w:u w:val="none"/>
        </w:rPr>
        <w:t xml:space="preserve">Whether the doctrines of forced heirship and matrimonial communion of property constitute </w:t>
      </w:r>
      <w:r w:rsidR="00C61DE3" w:rsidRPr="00D1633C">
        <w:rPr>
          <w:i w:val="0"/>
          <w:iCs w:val="0"/>
          <w:smallCaps w:val="0"/>
          <w:u w:val="none"/>
        </w:rPr>
        <w:t xml:space="preserve">a distinct yet coherent </w:t>
      </w:r>
      <w:r w:rsidRPr="00D1633C">
        <w:rPr>
          <w:i w:val="0"/>
          <w:iCs w:val="0"/>
          <w:smallCaps w:val="0"/>
          <w:u w:val="none"/>
        </w:rPr>
        <w:t xml:space="preserve">system of </w:t>
      </w:r>
      <w:r w:rsidR="001B3CCC" w:rsidRPr="00D1633C">
        <w:rPr>
          <w:i w:val="0"/>
          <w:iCs w:val="0"/>
          <w:smallCaps w:val="0"/>
          <w:u w:val="none"/>
        </w:rPr>
        <w:t xml:space="preserve">inheritance </w:t>
      </w:r>
      <w:r w:rsidRPr="00D1633C">
        <w:rPr>
          <w:i w:val="0"/>
          <w:iCs w:val="0"/>
          <w:smallCaps w:val="0"/>
          <w:u w:val="none"/>
        </w:rPr>
        <w:t>law, whose community-rooted conception of the family as an economic unit is so fundamentally di</w:t>
      </w:r>
      <w:r w:rsidR="00C61DE3" w:rsidRPr="00D1633C">
        <w:rPr>
          <w:i w:val="0"/>
          <w:iCs w:val="0"/>
          <w:smallCaps w:val="0"/>
          <w:u w:val="none"/>
        </w:rPr>
        <w:t>fferent</w:t>
      </w:r>
      <w:r w:rsidRPr="00D1633C">
        <w:rPr>
          <w:i w:val="0"/>
          <w:iCs w:val="0"/>
          <w:smallCaps w:val="0"/>
          <w:u w:val="none"/>
        </w:rPr>
        <w:t xml:space="preserve"> from the individual</w:t>
      </w:r>
      <w:r w:rsidR="001B3CCC" w:rsidRPr="00D1633C">
        <w:rPr>
          <w:i w:val="0"/>
          <w:iCs w:val="0"/>
          <w:smallCaps w:val="0"/>
          <w:u w:val="none"/>
        </w:rPr>
        <w:t>-</w:t>
      </w:r>
      <w:r w:rsidRPr="00D1633C">
        <w:rPr>
          <w:i w:val="0"/>
          <w:iCs w:val="0"/>
          <w:smallCaps w:val="0"/>
          <w:u w:val="none"/>
        </w:rPr>
        <w:t>testator model of the UCC</w:t>
      </w:r>
      <w:r w:rsidR="001B3CCC" w:rsidRPr="00D1633C">
        <w:rPr>
          <w:i w:val="0"/>
          <w:iCs w:val="0"/>
          <w:smallCaps w:val="0"/>
          <w:u w:val="none"/>
        </w:rPr>
        <w:t xml:space="preserve"> </w:t>
      </w:r>
      <w:r w:rsidRPr="00D1633C">
        <w:rPr>
          <w:i w:val="0"/>
          <w:iCs w:val="0"/>
          <w:smallCaps w:val="0"/>
          <w:u w:val="none"/>
        </w:rPr>
        <w:t xml:space="preserve">as to be incapable of substitution by it without legislative </w:t>
      </w:r>
      <w:r w:rsidR="001B3CCC" w:rsidRPr="00D1633C">
        <w:rPr>
          <w:i w:val="0"/>
          <w:iCs w:val="0"/>
          <w:smallCaps w:val="0"/>
          <w:u w:val="none"/>
        </w:rPr>
        <w:t>debate</w:t>
      </w:r>
      <w:r w:rsidRPr="00D1633C">
        <w:rPr>
          <w:i w:val="0"/>
          <w:iCs w:val="0"/>
          <w:smallCaps w:val="0"/>
          <w:u w:val="none"/>
        </w:rPr>
        <w:t xml:space="preserve"> of why one model i</w:t>
      </w:r>
      <w:r w:rsidR="001B3CCC" w:rsidRPr="00D1633C">
        <w:rPr>
          <w:i w:val="0"/>
          <w:iCs w:val="0"/>
          <w:smallCaps w:val="0"/>
          <w:u w:val="none"/>
        </w:rPr>
        <w:t>s</w:t>
      </w:r>
      <w:r w:rsidRPr="00D1633C">
        <w:rPr>
          <w:i w:val="0"/>
          <w:iCs w:val="0"/>
          <w:smallCaps w:val="0"/>
          <w:u w:val="none"/>
        </w:rPr>
        <w:t xml:space="preserve"> preferred over the other.</w:t>
      </w:r>
    </w:p>
    <w:p w14:paraId="29295384" w14:textId="77777777" w:rsidR="008C31FC" w:rsidRPr="00D1633C" w:rsidRDefault="008C31FC" w:rsidP="00D1633C">
      <w:pPr>
        <w:rPr>
          <w:bCs w:val="0"/>
          <w:i w:val="0"/>
          <w:iCs w:val="0"/>
          <w:smallCaps w:val="0"/>
          <w:u w:val="none"/>
        </w:rPr>
      </w:pPr>
    </w:p>
    <w:p w14:paraId="793786A3" w14:textId="07EF92A9" w:rsidR="00D05C3D" w:rsidRPr="00D1633C" w:rsidRDefault="00D05C3D" w:rsidP="00D1633C">
      <w:pPr>
        <w:rPr>
          <w:bCs w:val="0"/>
          <w:i w:val="0"/>
          <w:iCs w:val="0"/>
          <w:smallCaps w:val="0"/>
          <w:u w:val="none"/>
        </w:rPr>
      </w:pPr>
      <w:r w:rsidRPr="00D1633C">
        <w:rPr>
          <w:bCs w:val="0"/>
          <w:i w:val="0"/>
          <w:iCs w:val="0"/>
          <w:smallCaps w:val="0"/>
          <w:u w:val="none"/>
        </w:rPr>
        <w:t>The questions before us are ones upon which I hold views, but I do not think it is the proper function of this Court</w:t>
      </w:r>
      <w:r w:rsidR="00356319">
        <w:rPr>
          <w:bCs w:val="0"/>
          <w:i w:val="0"/>
          <w:iCs w:val="0"/>
          <w:smallCaps w:val="0"/>
          <w:u w:val="none"/>
        </w:rPr>
        <w:t xml:space="preserve"> </w:t>
      </w:r>
      <w:r w:rsidRPr="00D1633C">
        <w:rPr>
          <w:bCs w:val="0"/>
          <w:i w:val="0"/>
          <w:iCs w:val="0"/>
          <w:smallCaps w:val="0"/>
          <w:u w:val="none"/>
        </w:rPr>
        <w:t>to express them.</w:t>
      </w:r>
      <w:r w:rsidR="002D40F6" w:rsidRPr="00D1633C">
        <w:rPr>
          <w:bCs w:val="0"/>
          <w:i w:val="0"/>
          <w:iCs w:val="0"/>
          <w:smallCaps w:val="0"/>
          <w:u w:val="none"/>
        </w:rPr>
        <w:t xml:space="preserve"> </w:t>
      </w:r>
      <w:r w:rsidRPr="00D1633C">
        <w:rPr>
          <w:bCs w:val="0"/>
          <w:i w:val="0"/>
          <w:iCs w:val="0"/>
          <w:smallCaps w:val="0"/>
          <w:u w:val="none"/>
        </w:rPr>
        <w:t xml:space="preserve">The questions framed </w:t>
      </w:r>
      <w:r w:rsidR="002D40F6" w:rsidRPr="00D1633C">
        <w:rPr>
          <w:bCs w:val="0"/>
          <w:i w:val="0"/>
          <w:iCs w:val="0"/>
          <w:smallCaps w:val="0"/>
          <w:u w:val="none"/>
        </w:rPr>
        <w:t xml:space="preserve">above, </w:t>
      </w:r>
      <w:r w:rsidRPr="00D1633C">
        <w:rPr>
          <w:bCs w:val="0"/>
          <w:i w:val="0"/>
          <w:iCs w:val="0"/>
          <w:smallCaps w:val="0"/>
          <w:u w:val="none"/>
        </w:rPr>
        <w:t>at their root</w:t>
      </w:r>
      <w:r w:rsidR="001B3CCC" w:rsidRPr="00D1633C">
        <w:rPr>
          <w:bCs w:val="0"/>
          <w:i w:val="0"/>
          <w:iCs w:val="0"/>
          <w:smallCaps w:val="0"/>
          <w:u w:val="none"/>
        </w:rPr>
        <w:t xml:space="preserve"> go t</w:t>
      </w:r>
      <w:r w:rsidRPr="00D1633C">
        <w:rPr>
          <w:bCs w:val="0"/>
          <w:i w:val="0"/>
          <w:iCs w:val="0"/>
          <w:smallCaps w:val="0"/>
          <w:u w:val="none"/>
        </w:rPr>
        <w:t>o the far more fundamental question of which model of family life</w:t>
      </w:r>
      <w:r w:rsidR="001B3CCC" w:rsidRPr="00D1633C">
        <w:rPr>
          <w:bCs w:val="0"/>
          <w:i w:val="0"/>
          <w:iCs w:val="0"/>
          <w:smallCaps w:val="0"/>
          <w:u w:val="none"/>
        </w:rPr>
        <w:t xml:space="preserve">, </w:t>
      </w:r>
      <w:r w:rsidRPr="00D1633C">
        <w:rPr>
          <w:bCs w:val="0"/>
          <w:i w:val="0"/>
          <w:iCs w:val="0"/>
          <w:smallCaps w:val="0"/>
          <w:u w:val="none"/>
        </w:rPr>
        <w:t xml:space="preserve">the law of this country ought to </w:t>
      </w:r>
      <w:r w:rsidRPr="00D1633C">
        <w:rPr>
          <w:bCs w:val="0"/>
          <w:i w:val="0"/>
          <w:iCs w:val="0"/>
          <w:smallCaps w:val="0"/>
          <w:u w:val="none"/>
        </w:rPr>
        <w:lastRenderedPageBreak/>
        <w:t>institutionalise. That is a question which Parliament</w:t>
      </w:r>
      <w:r w:rsidR="00356319">
        <w:rPr>
          <w:bCs w:val="0"/>
          <w:i w:val="0"/>
          <w:iCs w:val="0"/>
          <w:smallCaps w:val="0"/>
          <w:u w:val="none"/>
        </w:rPr>
        <w:t xml:space="preserve"> </w:t>
      </w:r>
      <w:r w:rsidRPr="00D1633C">
        <w:rPr>
          <w:bCs w:val="0"/>
          <w:i w:val="0"/>
          <w:iCs w:val="0"/>
          <w:smallCaps w:val="0"/>
          <w:u w:val="none"/>
        </w:rPr>
        <w:t xml:space="preserve">alone, is equipped to answer. It is a question that requires not </w:t>
      </w:r>
      <w:r w:rsidR="001B3CCC" w:rsidRPr="00D1633C">
        <w:rPr>
          <w:bCs w:val="0"/>
          <w:i w:val="0"/>
          <w:iCs w:val="0"/>
          <w:smallCaps w:val="0"/>
          <w:u w:val="none"/>
        </w:rPr>
        <w:t xml:space="preserve">judicial enquiry </w:t>
      </w:r>
      <w:r w:rsidRPr="00D1633C">
        <w:rPr>
          <w:bCs w:val="0"/>
          <w:i w:val="0"/>
          <w:iCs w:val="0"/>
          <w:smallCaps w:val="0"/>
          <w:u w:val="none"/>
        </w:rPr>
        <w:t xml:space="preserve">but the democratic </w:t>
      </w:r>
      <w:r w:rsidR="001B3CCC" w:rsidRPr="00D1633C">
        <w:rPr>
          <w:bCs w:val="0"/>
          <w:i w:val="0"/>
          <w:iCs w:val="0"/>
          <w:smallCaps w:val="0"/>
          <w:u w:val="none"/>
        </w:rPr>
        <w:t xml:space="preserve">backing </w:t>
      </w:r>
      <w:r w:rsidRPr="00D1633C">
        <w:rPr>
          <w:bCs w:val="0"/>
          <w:i w:val="0"/>
          <w:iCs w:val="0"/>
          <w:smallCaps w:val="0"/>
          <w:u w:val="none"/>
        </w:rPr>
        <w:t>of a nation's considered judgment about how families ought to hold</w:t>
      </w:r>
      <w:r w:rsidR="001B3CCC" w:rsidRPr="00D1633C">
        <w:rPr>
          <w:bCs w:val="0"/>
          <w:i w:val="0"/>
          <w:iCs w:val="0"/>
          <w:smallCaps w:val="0"/>
          <w:u w:val="none"/>
        </w:rPr>
        <w:t xml:space="preserve"> and share something central to our lives</w:t>
      </w:r>
      <w:r w:rsidR="00356319">
        <w:rPr>
          <w:bCs w:val="0"/>
          <w:i w:val="0"/>
          <w:iCs w:val="0"/>
          <w:smallCaps w:val="0"/>
          <w:u w:val="none"/>
        </w:rPr>
        <w:t>:</w:t>
      </w:r>
      <w:r w:rsidR="001B3CCC" w:rsidRPr="00D1633C">
        <w:rPr>
          <w:bCs w:val="0"/>
          <w:i w:val="0"/>
          <w:iCs w:val="0"/>
          <w:smallCaps w:val="0"/>
          <w:u w:val="none"/>
        </w:rPr>
        <w:t xml:space="preserve"> property</w:t>
      </w:r>
      <w:r w:rsidRPr="00D1633C">
        <w:rPr>
          <w:bCs w:val="0"/>
          <w:i w:val="0"/>
          <w:iCs w:val="0"/>
          <w:smallCaps w:val="0"/>
          <w:u w:val="none"/>
        </w:rPr>
        <w:t>.</w:t>
      </w:r>
    </w:p>
    <w:p w14:paraId="2BA01BA7" w14:textId="77777777" w:rsidR="00D05C3D" w:rsidRPr="00D1633C" w:rsidRDefault="00D05C3D" w:rsidP="00D1633C">
      <w:pPr>
        <w:rPr>
          <w:bCs w:val="0"/>
          <w:i w:val="0"/>
          <w:iCs w:val="0"/>
          <w:smallCaps w:val="0"/>
          <w:u w:val="none"/>
        </w:rPr>
      </w:pPr>
    </w:p>
    <w:p w14:paraId="1F578A47" w14:textId="4CA14FF9" w:rsidR="001B3CCC" w:rsidRPr="00D1633C" w:rsidRDefault="00D05C3D" w:rsidP="00D1633C">
      <w:pPr>
        <w:rPr>
          <w:bCs w:val="0"/>
          <w:i w:val="0"/>
          <w:iCs w:val="0"/>
          <w:smallCaps w:val="0"/>
          <w:u w:val="none"/>
        </w:rPr>
      </w:pPr>
      <w:r w:rsidRPr="00D1633C">
        <w:rPr>
          <w:bCs w:val="0"/>
          <w:i w:val="0"/>
          <w:iCs w:val="0"/>
          <w:smallCaps w:val="0"/>
          <w:u w:val="none"/>
        </w:rPr>
        <w:t xml:space="preserve">I would refer the matter back to Parliament with the observation that the question framed by this Bench be placed before a Joint Parliamentary Committee constituted </w:t>
      </w:r>
      <w:r w:rsidR="001B3CCC" w:rsidRPr="00D1633C">
        <w:rPr>
          <w:bCs w:val="0"/>
          <w:i w:val="0"/>
          <w:iCs w:val="0"/>
          <w:smallCaps w:val="0"/>
          <w:u w:val="none"/>
        </w:rPr>
        <w:t xml:space="preserve">to </w:t>
      </w:r>
      <w:r w:rsidRPr="00D1633C">
        <w:rPr>
          <w:bCs w:val="0"/>
          <w:i w:val="0"/>
          <w:iCs w:val="0"/>
          <w:smallCaps w:val="0"/>
          <w:u w:val="none"/>
        </w:rPr>
        <w:t>examin</w:t>
      </w:r>
      <w:r w:rsidR="001B3CCC" w:rsidRPr="00D1633C">
        <w:rPr>
          <w:bCs w:val="0"/>
          <w:i w:val="0"/>
          <w:iCs w:val="0"/>
          <w:smallCaps w:val="0"/>
          <w:u w:val="none"/>
        </w:rPr>
        <w:t>e</w:t>
      </w:r>
      <w:r w:rsidRPr="00D1633C">
        <w:rPr>
          <w:bCs w:val="0"/>
          <w:i w:val="0"/>
          <w:iCs w:val="0"/>
          <w:smallCaps w:val="0"/>
          <w:u w:val="none"/>
        </w:rPr>
        <w:t xml:space="preserve"> the</w:t>
      </w:r>
      <w:r w:rsidR="001B3CCC" w:rsidRPr="00D1633C">
        <w:rPr>
          <w:bCs w:val="0"/>
          <w:i w:val="0"/>
          <w:iCs w:val="0"/>
          <w:smallCaps w:val="0"/>
          <w:u w:val="none"/>
        </w:rPr>
        <w:t xml:space="preserve"> </w:t>
      </w:r>
      <w:r w:rsidRPr="00D1633C">
        <w:rPr>
          <w:bCs w:val="0"/>
          <w:i w:val="0"/>
          <w:iCs w:val="0"/>
          <w:smallCaps w:val="0"/>
          <w:u w:val="none"/>
        </w:rPr>
        <w:t>implications of the UCC's application to Goa and Puducherry</w:t>
      </w:r>
      <w:r w:rsidR="001B3CCC" w:rsidRPr="00D1633C">
        <w:rPr>
          <w:bCs w:val="0"/>
          <w:i w:val="0"/>
          <w:iCs w:val="0"/>
          <w:smallCaps w:val="0"/>
          <w:u w:val="none"/>
        </w:rPr>
        <w:t>. P</w:t>
      </w:r>
      <w:r w:rsidRPr="00D1633C">
        <w:rPr>
          <w:bCs w:val="0"/>
          <w:i w:val="0"/>
          <w:iCs w:val="0"/>
          <w:smallCaps w:val="0"/>
          <w:u w:val="none"/>
        </w:rPr>
        <w:t xml:space="preserve">articular reference </w:t>
      </w:r>
      <w:r w:rsidR="001B3CCC" w:rsidRPr="00D1633C">
        <w:rPr>
          <w:bCs w:val="0"/>
          <w:i w:val="0"/>
          <w:iCs w:val="0"/>
          <w:smallCaps w:val="0"/>
          <w:u w:val="none"/>
        </w:rPr>
        <w:t xml:space="preserve">must be made </w:t>
      </w:r>
      <w:r w:rsidRPr="00D1633C">
        <w:rPr>
          <w:bCs w:val="0"/>
          <w:i w:val="0"/>
          <w:iCs w:val="0"/>
          <w:smallCaps w:val="0"/>
          <w:u w:val="none"/>
        </w:rPr>
        <w:t>to the protection of matrimonial property interests and the succession rights of surviving spouses and dependent children. I express no opinion on the merits. I concur in the interim stay continuing until Parliament has had occasion so to consider</w:t>
      </w:r>
      <w:r w:rsidR="00356319">
        <w:rPr>
          <w:bCs w:val="0"/>
          <w:i w:val="0"/>
          <w:iCs w:val="0"/>
          <w:smallCaps w:val="0"/>
          <w:u w:val="none"/>
        </w:rPr>
        <w:t>.</w:t>
      </w:r>
    </w:p>
    <w:p w14:paraId="0BCAAE54" w14:textId="77777777" w:rsidR="001B3CCC" w:rsidRPr="00D1633C" w:rsidRDefault="001B3CCC" w:rsidP="00D1633C">
      <w:pPr>
        <w:rPr>
          <w:bCs w:val="0"/>
          <w:i w:val="0"/>
          <w:iCs w:val="0"/>
          <w:smallCaps w:val="0"/>
          <w:u w:val="none"/>
        </w:rPr>
      </w:pPr>
    </w:p>
    <w:p w14:paraId="404260E3" w14:textId="4D8BC9FE" w:rsidR="00D1633C" w:rsidRDefault="001B3CCC" w:rsidP="00D1633C">
      <w:pPr>
        <w:rPr>
          <w:bCs w:val="0"/>
          <w:smallCaps w:val="0"/>
          <w:u w:val="none"/>
        </w:rPr>
      </w:pPr>
      <w:r w:rsidRPr="00D1633C">
        <w:rPr>
          <w:bCs w:val="0"/>
          <w:smallCaps w:val="0"/>
          <w:u w:val="none"/>
        </w:rPr>
        <w:t xml:space="preserve">I am aware that this may be seen to some as a judicial abdication. </w:t>
      </w:r>
      <w:r w:rsidR="00BE6403" w:rsidRPr="00D1633C">
        <w:rPr>
          <w:bCs w:val="0"/>
          <w:smallCaps w:val="0"/>
          <w:u w:val="none"/>
        </w:rPr>
        <w:t xml:space="preserve">But </w:t>
      </w:r>
      <w:r w:rsidRPr="00D1633C">
        <w:rPr>
          <w:bCs w:val="0"/>
          <w:smallCaps w:val="0"/>
          <w:u w:val="none"/>
        </w:rPr>
        <w:t>there are moments in when the highest form of judicial courage is the recognition of where judicial competence end</w:t>
      </w:r>
      <w:r w:rsidR="00BE6403" w:rsidRPr="00D1633C">
        <w:rPr>
          <w:bCs w:val="0"/>
          <w:smallCaps w:val="0"/>
          <w:u w:val="none"/>
        </w:rPr>
        <w:t>s</w:t>
      </w:r>
      <w:r w:rsidRPr="00D1633C">
        <w:rPr>
          <w:bCs w:val="0"/>
          <w:i w:val="0"/>
          <w:iCs w:val="0"/>
          <w:smallCaps w:val="0"/>
          <w:u w:val="none"/>
        </w:rPr>
        <w:t> </w:t>
      </w:r>
      <w:r w:rsidR="00D05C3D" w:rsidRPr="00D1633C">
        <w:rPr>
          <w:bCs w:val="0"/>
          <w:smallCaps w:val="0"/>
          <w:u w:val="none"/>
        </w:rPr>
        <w:t xml:space="preserve">The appeal is accordingly </w:t>
      </w:r>
      <w:r w:rsidRPr="00D1633C">
        <w:rPr>
          <w:bCs w:val="0"/>
          <w:smallCaps w:val="0"/>
          <w:u w:val="none"/>
        </w:rPr>
        <w:t>stayed until further orders</w:t>
      </w:r>
      <w:r w:rsidR="00BE6403" w:rsidRPr="00D1633C">
        <w:rPr>
          <w:bCs w:val="0"/>
          <w:smallCaps w:val="0"/>
          <w:u w:val="none"/>
        </w:rPr>
        <w:t>.</w:t>
      </w:r>
    </w:p>
    <w:p w14:paraId="0F70D70E" w14:textId="77777777" w:rsidR="00356319" w:rsidRPr="00D1633C" w:rsidRDefault="00356319" w:rsidP="00D1633C">
      <w:pPr>
        <w:rPr>
          <w:bCs w:val="0"/>
          <w:smallCaps w:val="0"/>
          <w:u w:val="none"/>
        </w:rPr>
      </w:pPr>
    </w:p>
    <w:p w14:paraId="529A86E1" w14:textId="76A94207" w:rsidR="001A3D80" w:rsidRPr="001A3D80" w:rsidRDefault="00D1633C" w:rsidP="001A3D80">
      <w:pPr>
        <w:rPr>
          <w:rFonts w:eastAsia="Times New Roman"/>
          <w:bCs w:val="0"/>
          <w:i w:val="0"/>
          <w:iCs w:val="0"/>
          <w:smallCaps w:val="0"/>
          <w:color w:val="000000"/>
          <w:kern w:val="0"/>
          <w:u w:val="none"/>
          <w:lang w:eastAsia="en-GB"/>
          <w14:ligatures w14:val="none"/>
        </w:rPr>
      </w:pPr>
      <w:r w:rsidRPr="00D1633C">
        <w:rPr>
          <w:b/>
          <w:bCs w:val="0"/>
          <w:i w:val="0"/>
          <w:iCs w:val="0"/>
          <w:u w:val="none"/>
        </w:rPr>
        <w:t>Sadhana, J</w:t>
      </w:r>
      <w:r w:rsidRPr="00D1633C">
        <w:rPr>
          <w:b/>
          <w:bCs w:val="0"/>
          <w:i w:val="0"/>
          <w:iCs w:val="0"/>
          <w:smallCaps w:val="0"/>
          <w:u w:val="none"/>
        </w:rPr>
        <w:t>.</w:t>
      </w:r>
      <w:r w:rsidR="00356319">
        <w:rPr>
          <w:rFonts w:eastAsia="Times New Roman"/>
          <w:bCs w:val="0"/>
          <w:i w:val="0"/>
          <w:iCs w:val="0"/>
          <w:smallCaps w:val="0"/>
          <w:color w:val="auto"/>
          <w:kern w:val="0"/>
          <w:u w:val="none"/>
          <w:lang w:eastAsia="en-GB"/>
          <w14:ligatures w14:val="none"/>
        </w:rPr>
        <w:tab/>
        <w:t xml:space="preserve"> </w:t>
      </w:r>
      <w:r w:rsidR="001A3D80" w:rsidRPr="001A3D80">
        <w:rPr>
          <w:rFonts w:eastAsia="Times New Roman"/>
          <w:i w:val="0"/>
          <w:iCs w:val="0"/>
          <w:smallCaps w:val="0"/>
          <w:color w:val="000000"/>
          <w:kern w:val="0"/>
          <w:u w:val="none"/>
          <w:lang w:eastAsia="en-GB"/>
          <w14:ligatures w14:val="none"/>
        </w:rPr>
        <w:t>For the purposes of this issue, I will majorly be dealing with only the Goan inheritance system. The inheritance system in Pondicherry will only be discussed if absolutely necessary or if required for comparison.</w:t>
      </w:r>
    </w:p>
    <w:p w14:paraId="0D353E88" w14:textId="77777777" w:rsidR="001A3D80" w:rsidRPr="001A3D80" w:rsidRDefault="001A3D80" w:rsidP="001A3D80">
      <w:pPr>
        <w:rPr>
          <w:rFonts w:eastAsia="Times New Roman"/>
          <w:i w:val="0"/>
          <w:iCs w:val="0"/>
          <w:smallCaps w:val="0"/>
          <w:kern w:val="0"/>
          <w:u w:val="none"/>
          <w:lang w:eastAsia="en-GB"/>
          <w14:ligatures w14:val="none"/>
        </w:rPr>
      </w:pPr>
    </w:p>
    <w:p w14:paraId="4EACA43F" w14:textId="77777777" w:rsidR="001A3D80" w:rsidRPr="001A3D80" w:rsidRDefault="001A3D80" w:rsidP="001A3D80">
      <w:pPr>
        <w:rPr>
          <w:rFonts w:eastAsia="Times New Roman"/>
          <w:i w:val="0"/>
          <w:iCs w:val="0"/>
          <w:smallCaps w:val="0"/>
          <w:kern w:val="0"/>
          <w:u w:val="none"/>
          <w:lang w:eastAsia="en-GB"/>
          <w14:ligatures w14:val="none"/>
        </w:rPr>
      </w:pPr>
      <w:r w:rsidRPr="001A3D80">
        <w:rPr>
          <w:rFonts w:eastAsia="Times New Roman"/>
          <w:i w:val="0"/>
          <w:iCs w:val="0"/>
          <w:smallCaps w:val="0"/>
          <w:color w:val="000000"/>
          <w:kern w:val="0"/>
          <w:u w:val="none"/>
          <w:lang w:eastAsia="en-GB"/>
          <w14:ligatures w14:val="none"/>
        </w:rPr>
        <w:t>Before I delve into my analysis of the issue, I wish to highlight the irony surrounding this case that surprisingly, not a lot of people have taken note of. Jose Paulo Coutinho, which this Court decided in 2019, noted the importance of the unique inheritance system in Goa:</w:t>
      </w:r>
    </w:p>
    <w:p w14:paraId="5025F19B" w14:textId="77777777" w:rsidR="001A3D80" w:rsidRPr="001A3D80" w:rsidRDefault="001A3D80" w:rsidP="001A3D80">
      <w:pPr>
        <w:rPr>
          <w:rFonts w:eastAsia="Times New Roman"/>
          <w:i w:val="0"/>
          <w:iCs w:val="0"/>
          <w:smallCaps w:val="0"/>
          <w:color w:val="000000"/>
          <w:kern w:val="0"/>
          <w:u w:val="none"/>
          <w:lang w:eastAsia="en-GB"/>
          <w14:ligatures w14:val="none"/>
        </w:rPr>
      </w:pPr>
    </w:p>
    <w:p w14:paraId="5AB2B6A7" w14:textId="77777777" w:rsidR="001A3D80" w:rsidRPr="001A3D80" w:rsidRDefault="001A3D80" w:rsidP="001A3D80">
      <w:pPr>
        <w:rPr>
          <w:rFonts w:eastAsia="Times New Roman"/>
          <w:i w:val="0"/>
          <w:iCs w:val="0"/>
          <w:smallCaps w:val="0"/>
          <w:kern w:val="0"/>
          <w:u w:val="none"/>
          <w:lang w:eastAsia="en-GB"/>
          <w14:ligatures w14:val="none"/>
        </w:rPr>
      </w:pPr>
      <w:r w:rsidRPr="001A3D80">
        <w:rPr>
          <w:rFonts w:eastAsia="Times New Roman"/>
          <w:i w:val="0"/>
          <w:iCs w:val="0"/>
          <w:smallCaps w:val="0"/>
          <w:color w:val="000000"/>
          <w:kern w:val="0"/>
          <w:u w:val="none"/>
          <w:lang w:eastAsia="en-GB"/>
          <w14:ligatures w14:val="none"/>
        </w:rPr>
        <w:t>“However, Goa is a shining example of an Indian State which has a uniform civil</w:t>
      </w:r>
    </w:p>
    <w:p w14:paraId="1515FB5D" w14:textId="77777777" w:rsidR="001A3D80" w:rsidRPr="001A3D80" w:rsidRDefault="001A3D80" w:rsidP="001A3D80">
      <w:pPr>
        <w:rPr>
          <w:rFonts w:eastAsia="Times New Roman"/>
          <w:i w:val="0"/>
          <w:iCs w:val="0"/>
          <w:smallCaps w:val="0"/>
          <w:kern w:val="0"/>
          <w:u w:val="none"/>
          <w:lang w:eastAsia="en-GB"/>
          <w14:ligatures w14:val="none"/>
        </w:rPr>
      </w:pPr>
      <w:r w:rsidRPr="001A3D80">
        <w:rPr>
          <w:rFonts w:eastAsia="Times New Roman"/>
          <w:i w:val="0"/>
          <w:iCs w:val="0"/>
          <w:smallCaps w:val="0"/>
          <w:color w:val="000000"/>
          <w:kern w:val="0"/>
          <w:u w:val="none"/>
          <w:lang w:eastAsia="en-GB"/>
          <w14:ligatures w14:val="none"/>
        </w:rPr>
        <w:t>code applicable to all, regardless of religion except while protecting certain limited rights.”</w:t>
      </w:r>
      <w:r w:rsidRPr="001A3D80">
        <w:rPr>
          <w:rStyle w:val="FootnoteReference"/>
          <w:rFonts w:eastAsia="Times New Roman"/>
          <w:i w:val="0"/>
          <w:iCs w:val="0"/>
          <w:smallCaps w:val="0"/>
          <w:color w:val="000000"/>
          <w:kern w:val="0"/>
          <w:u w:val="none"/>
          <w:lang w:eastAsia="en-GB"/>
          <w14:ligatures w14:val="none"/>
        </w:rPr>
        <w:footnoteReference w:id="1"/>
      </w:r>
    </w:p>
    <w:p w14:paraId="0758D855" w14:textId="77777777" w:rsidR="001A3D80" w:rsidRPr="001A3D80" w:rsidRDefault="001A3D80" w:rsidP="001A3D80">
      <w:pPr>
        <w:rPr>
          <w:rFonts w:eastAsia="Times New Roman"/>
          <w:i w:val="0"/>
          <w:iCs w:val="0"/>
          <w:smallCaps w:val="0"/>
          <w:kern w:val="0"/>
          <w:u w:val="none"/>
          <w:lang w:eastAsia="en-GB"/>
          <w14:ligatures w14:val="none"/>
        </w:rPr>
      </w:pPr>
    </w:p>
    <w:p w14:paraId="766FFB89" w14:textId="77777777" w:rsidR="001A3D80" w:rsidRPr="001A3D80" w:rsidRDefault="001A3D80" w:rsidP="001A3D80">
      <w:pPr>
        <w:rPr>
          <w:rFonts w:eastAsia="Times New Roman"/>
          <w:i w:val="0"/>
          <w:iCs w:val="0"/>
          <w:smallCaps w:val="0"/>
          <w:kern w:val="0"/>
          <w:u w:val="none"/>
          <w:lang w:eastAsia="en-GB"/>
          <w14:ligatures w14:val="none"/>
        </w:rPr>
      </w:pPr>
      <w:r w:rsidRPr="001A3D80">
        <w:rPr>
          <w:rFonts w:eastAsia="Times New Roman"/>
          <w:i w:val="0"/>
          <w:iCs w:val="0"/>
          <w:smallCaps w:val="0"/>
          <w:color w:val="000000"/>
          <w:kern w:val="0"/>
          <w:u w:val="none"/>
          <w:lang w:eastAsia="en-GB"/>
          <w14:ligatures w14:val="none"/>
        </w:rPr>
        <w:t xml:space="preserve">The Court draws a parallel between the system in Goa and the Uniform Civil Code (UCC) that Article 44 in Part IV of the Constitution, delineating the Directive Principles of State Policy, had hoped would become a normal and accepted part of India down the line. All laws relating to succession and inheritance, initially contained in the Portuguese Civil Code, and now in the Goa Succession, Special Notaries and Inventory Proceedings Act, 2012 (“Act”), apply across </w:t>
      </w:r>
      <w:r w:rsidRPr="001A3D80">
        <w:rPr>
          <w:rFonts w:eastAsia="Times New Roman"/>
          <w:i w:val="0"/>
          <w:iCs w:val="0"/>
          <w:smallCaps w:val="0"/>
          <w:color w:val="000000"/>
          <w:kern w:val="0"/>
          <w:u w:val="none"/>
          <w:lang w:eastAsia="en-GB"/>
          <w14:ligatures w14:val="none"/>
        </w:rPr>
        <w:lastRenderedPageBreak/>
        <w:t>all religions uniformly.</w:t>
      </w:r>
      <w:r w:rsidRPr="001A3D80">
        <w:rPr>
          <w:rStyle w:val="FootnoteReference"/>
          <w:rFonts w:eastAsia="Times New Roman"/>
          <w:i w:val="0"/>
          <w:iCs w:val="0"/>
          <w:smallCaps w:val="0"/>
          <w:color w:val="000000"/>
          <w:kern w:val="0"/>
          <w:u w:val="none"/>
          <w:lang w:eastAsia="en-GB"/>
          <w14:ligatures w14:val="none"/>
        </w:rPr>
        <w:footnoteReference w:id="2"/>
      </w:r>
      <w:r w:rsidRPr="001A3D80">
        <w:rPr>
          <w:rFonts w:eastAsia="Times New Roman"/>
          <w:i w:val="0"/>
          <w:iCs w:val="0"/>
          <w:smallCaps w:val="0"/>
          <w:color w:val="000000"/>
          <w:kern w:val="0"/>
          <w:u w:val="none"/>
          <w:lang w:eastAsia="en-GB"/>
          <w14:ligatures w14:val="none"/>
        </w:rPr>
        <w:t xml:space="preserve"> At the same time, it promises equal rights to every person without carrying the weight of “imposition” of one community’s tradition over another. </w:t>
      </w:r>
    </w:p>
    <w:p w14:paraId="41119BA0" w14:textId="77777777" w:rsidR="001A3D80" w:rsidRPr="001A3D80" w:rsidRDefault="001A3D80" w:rsidP="001A3D80">
      <w:pPr>
        <w:rPr>
          <w:rFonts w:eastAsia="Times New Roman"/>
          <w:i w:val="0"/>
          <w:iCs w:val="0"/>
          <w:smallCaps w:val="0"/>
          <w:kern w:val="0"/>
          <w:u w:val="none"/>
          <w:lang w:eastAsia="en-GB"/>
          <w14:ligatures w14:val="none"/>
        </w:rPr>
      </w:pPr>
      <w:r w:rsidRPr="001A3D80">
        <w:rPr>
          <w:rFonts w:eastAsia="Times New Roman"/>
          <w:i w:val="0"/>
          <w:iCs w:val="0"/>
          <w:smallCaps w:val="0"/>
          <w:color w:val="000000"/>
          <w:kern w:val="0"/>
          <w:u w:val="none"/>
          <w:lang w:eastAsia="en-GB"/>
          <w14:ligatures w14:val="none"/>
        </w:rPr>
        <w:t>It is ironic how the UCC now seeks to displace the very system the Supreme Court once praised. </w:t>
      </w:r>
    </w:p>
    <w:p w14:paraId="42DD54AF" w14:textId="77777777" w:rsidR="001A3D80" w:rsidRDefault="001A3D80" w:rsidP="001A3D80">
      <w:pPr>
        <w:textAlignment w:val="baseline"/>
        <w:rPr>
          <w:rFonts w:eastAsia="Times New Roman"/>
          <w:i w:val="0"/>
          <w:iCs w:val="0"/>
          <w:smallCaps w:val="0"/>
          <w:kern w:val="0"/>
          <w:u w:val="none"/>
          <w:lang w:eastAsia="en-GB"/>
          <w14:ligatures w14:val="none"/>
        </w:rPr>
      </w:pPr>
    </w:p>
    <w:p w14:paraId="2735114A" w14:textId="2BD7134F" w:rsidR="001A3D80" w:rsidRPr="001A3D80" w:rsidRDefault="001A3D80" w:rsidP="001A3D80">
      <w:pPr>
        <w:pStyle w:val="ListParagraph"/>
        <w:numPr>
          <w:ilvl w:val="0"/>
          <w:numId w:val="8"/>
        </w:numPr>
        <w:textAlignment w:val="baseline"/>
        <w:rPr>
          <w:rFonts w:eastAsia="Times New Roman"/>
          <w:i w:val="0"/>
          <w:iCs w:val="0"/>
          <w:smallCaps w:val="0"/>
          <w:color w:val="000000"/>
          <w:kern w:val="0"/>
          <w:lang w:eastAsia="en-GB"/>
          <w14:ligatures w14:val="none"/>
        </w:rPr>
      </w:pPr>
      <w:r w:rsidRPr="001A3D80">
        <w:rPr>
          <w:rFonts w:eastAsia="Times New Roman"/>
          <w:i w:val="0"/>
          <w:iCs w:val="0"/>
          <w:smallCaps w:val="0"/>
          <w:color w:val="000000"/>
          <w:kern w:val="0"/>
          <w:lang w:eastAsia="en-GB"/>
          <w14:ligatures w14:val="none"/>
        </w:rPr>
        <w:t>Matrimonial Communion of Property</w:t>
      </w:r>
    </w:p>
    <w:p w14:paraId="39E4FC74" w14:textId="77777777" w:rsidR="001A3D80" w:rsidRPr="001A3D80" w:rsidRDefault="001A3D80" w:rsidP="001A3D80">
      <w:pPr>
        <w:rPr>
          <w:rFonts w:eastAsia="Times New Roman"/>
          <w:i w:val="0"/>
          <w:iCs w:val="0"/>
          <w:smallCaps w:val="0"/>
          <w:kern w:val="0"/>
          <w:u w:val="none"/>
          <w:lang w:eastAsia="en-GB"/>
          <w14:ligatures w14:val="none"/>
        </w:rPr>
      </w:pPr>
    </w:p>
    <w:p w14:paraId="20B5CD4D" w14:textId="77777777" w:rsidR="001A3D80" w:rsidRPr="001A3D80" w:rsidRDefault="001A3D80" w:rsidP="001A3D80">
      <w:pPr>
        <w:rPr>
          <w:rFonts w:eastAsia="Times New Roman"/>
          <w:i w:val="0"/>
          <w:iCs w:val="0"/>
          <w:smallCaps w:val="0"/>
          <w:kern w:val="0"/>
          <w:u w:val="none"/>
          <w:lang w:eastAsia="en-GB"/>
          <w14:ligatures w14:val="none"/>
        </w:rPr>
      </w:pPr>
      <w:r w:rsidRPr="001A3D80">
        <w:rPr>
          <w:rFonts w:eastAsia="Times New Roman"/>
          <w:i w:val="0"/>
          <w:iCs w:val="0"/>
          <w:smallCaps w:val="0"/>
          <w:color w:val="000000"/>
          <w:kern w:val="0"/>
          <w:u w:val="none"/>
          <w:lang w:eastAsia="en-GB"/>
          <w14:ligatures w14:val="none"/>
        </w:rPr>
        <w:t xml:space="preserve">According to </w:t>
      </w:r>
      <w:r w:rsidRPr="001A3D80">
        <w:rPr>
          <w:rFonts w:eastAsia="Times New Roman"/>
          <w:b/>
          <w:i w:val="0"/>
          <w:iCs w:val="0"/>
          <w:smallCaps w:val="0"/>
          <w:color w:val="000000"/>
          <w:kern w:val="0"/>
          <w:u w:val="none"/>
          <w:lang w:eastAsia="en-GB"/>
          <w14:ligatures w14:val="none"/>
        </w:rPr>
        <w:t>Sections 2(n) and 2(o)</w:t>
      </w:r>
      <w:r w:rsidRPr="001A3D80">
        <w:rPr>
          <w:rFonts w:eastAsia="Times New Roman"/>
          <w:i w:val="0"/>
          <w:iCs w:val="0"/>
          <w:smallCaps w:val="0"/>
          <w:color w:val="000000"/>
          <w:kern w:val="0"/>
          <w:u w:val="none"/>
          <w:lang w:eastAsia="en-GB"/>
          <w14:ligatures w14:val="none"/>
        </w:rPr>
        <w:t>, upon marriage, property becomes jointly owned by the married couple. This property consists of all the assets owned before marriage or acquired after marriage by each spouse. Consequently, a divorce results in each spouse receiving half share of the total assets.</w:t>
      </w:r>
      <w:r w:rsidRPr="001A3D80">
        <w:rPr>
          <w:rStyle w:val="FootnoteReference"/>
          <w:rFonts w:eastAsia="Times New Roman"/>
          <w:i w:val="0"/>
          <w:iCs w:val="0"/>
          <w:smallCaps w:val="0"/>
          <w:color w:val="000000"/>
          <w:kern w:val="0"/>
          <w:u w:val="none"/>
          <w:lang w:eastAsia="en-GB"/>
          <w14:ligatures w14:val="none"/>
        </w:rPr>
        <w:footnoteReference w:id="3"/>
      </w:r>
    </w:p>
    <w:p w14:paraId="7991D0AC" w14:textId="77777777" w:rsidR="001A3D80" w:rsidRPr="001A3D80" w:rsidRDefault="001A3D80" w:rsidP="001A3D80">
      <w:pPr>
        <w:rPr>
          <w:rFonts w:eastAsia="Times New Roman"/>
          <w:i w:val="0"/>
          <w:iCs w:val="0"/>
          <w:smallCaps w:val="0"/>
          <w:kern w:val="0"/>
          <w:u w:val="none"/>
          <w:lang w:eastAsia="en-GB"/>
          <w14:ligatures w14:val="none"/>
        </w:rPr>
      </w:pPr>
    </w:p>
    <w:p w14:paraId="69FF3E2F" w14:textId="77777777" w:rsidR="001A3D80" w:rsidRPr="001A3D80" w:rsidRDefault="001A3D80" w:rsidP="001A3D80">
      <w:pPr>
        <w:rPr>
          <w:rFonts w:eastAsia="Times New Roman"/>
          <w:i w:val="0"/>
          <w:iCs w:val="0"/>
          <w:smallCaps w:val="0"/>
          <w:color w:val="auto"/>
          <w:kern w:val="0"/>
          <w:u w:val="none"/>
          <w:lang w:eastAsia="en-GB"/>
          <w14:ligatures w14:val="none"/>
        </w:rPr>
      </w:pPr>
      <w:r w:rsidRPr="001A3D80">
        <w:rPr>
          <w:rFonts w:eastAsia="Times New Roman"/>
          <w:i w:val="0"/>
          <w:iCs w:val="0"/>
          <w:smallCaps w:val="0"/>
          <w:color w:val="000000"/>
          <w:kern w:val="0"/>
          <w:u w:val="none"/>
          <w:lang w:eastAsia="en-GB"/>
          <w14:ligatures w14:val="none"/>
        </w:rPr>
        <w:t xml:space="preserve">From </w:t>
      </w:r>
      <w:r w:rsidRPr="001A3D80">
        <w:rPr>
          <w:rFonts w:eastAsia="Times New Roman"/>
          <w:b/>
          <w:i w:val="0"/>
          <w:iCs w:val="0"/>
          <w:smallCaps w:val="0"/>
          <w:color w:val="000000"/>
          <w:kern w:val="0"/>
          <w:u w:val="none"/>
          <w:lang w:eastAsia="en-GB"/>
          <w14:ligatures w14:val="none"/>
        </w:rPr>
        <w:t>Sections 19(1) and 26</w:t>
      </w:r>
      <w:r w:rsidRPr="001A3D80">
        <w:rPr>
          <w:rFonts w:eastAsia="Times New Roman"/>
          <w:i w:val="0"/>
          <w:iCs w:val="0"/>
          <w:smallCaps w:val="0"/>
          <w:color w:val="000000"/>
          <w:kern w:val="0"/>
          <w:u w:val="none"/>
          <w:lang w:eastAsia="en-GB"/>
          <w14:ligatures w14:val="none"/>
        </w:rPr>
        <w:t xml:space="preserve"> of the Act, it is ascertained that a wife is entitled to demand half the share of the matrimonial property during partition. The written consent of the spouse is required to accept or renounce an inheritance.</w:t>
      </w:r>
      <w:r w:rsidRPr="001A3D80">
        <w:rPr>
          <w:rStyle w:val="FootnoteReference"/>
          <w:rFonts w:eastAsia="Times New Roman"/>
          <w:i w:val="0"/>
          <w:iCs w:val="0"/>
          <w:smallCaps w:val="0"/>
          <w:color w:val="000000"/>
          <w:kern w:val="0"/>
          <w:u w:val="none"/>
          <w:lang w:eastAsia="en-GB"/>
          <w14:ligatures w14:val="none"/>
        </w:rPr>
        <w:footnoteReference w:id="4"/>
      </w:r>
      <w:r w:rsidRPr="001A3D80">
        <w:rPr>
          <w:rFonts w:eastAsia="Times New Roman"/>
          <w:i w:val="0"/>
          <w:iCs w:val="0"/>
          <w:smallCaps w:val="0"/>
          <w:color w:val="000000"/>
          <w:kern w:val="0"/>
          <w:u w:val="none"/>
          <w:lang w:eastAsia="en-GB"/>
          <w14:ligatures w14:val="none"/>
        </w:rPr>
        <w:t xml:space="preserve"> If a women has access to these property rights, she is not dependent on anyone, including her spouse, irrespective of whether it is during the marriage or after it. She can independently look after herself, her children and her parents if necessary.</w:t>
      </w:r>
    </w:p>
    <w:p w14:paraId="000179E7" w14:textId="77777777" w:rsidR="001A3D80" w:rsidRPr="001A3D80" w:rsidRDefault="001A3D80" w:rsidP="001A3D80">
      <w:pPr>
        <w:pStyle w:val="ListParagraph"/>
        <w:rPr>
          <w:rFonts w:eastAsia="Times New Roman"/>
          <w:i w:val="0"/>
          <w:iCs w:val="0"/>
          <w:smallCaps w:val="0"/>
          <w:color w:val="000000"/>
          <w:kern w:val="0"/>
          <w:u w:val="none"/>
          <w:lang w:eastAsia="en-GB"/>
          <w14:ligatures w14:val="none"/>
        </w:rPr>
      </w:pPr>
    </w:p>
    <w:p w14:paraId="53AE4AD0" w14:textId="77777777" w:rsidR="001A3D80" w:rsidRPr="001A3D80" w:rsidRDefault="001A3D80" w:rsidP="001A3D80">
      <w:pPr>
        <w:rPr>
          <w:rFonts w:eastAsia="Times New Roman"/>
          <w:i w:val="0"/>
          <w:iCs w:val="0"/>
          <w:smallCaps w:val="0"/>
          <w:kern w:val="0"/>
          <w:u w:val="none"/>
          <w:lang w:eastAsia="en-GB"/>
          <w14:ligatures w14:val="none"/>
        </w:rPr>
      </w:pPr>
      <w:r w:rsidRPr="001A3D80">
        <w:rPr>
          <w:rFonts w:eastAsia="Times New Roman"/>
          <w:i w:val="0"/>
          <w:iCs w:val="0"/>
          <w:smallCaps w:val="0"/>
          <w:color w:val="000000"/>
          <w:kern w:val="0"/>
          <w:u w:val="none"/>
          <w:lang w:eastAsia="en-GB"/>
          <w14:ligatures w14:val="none"/>
        </w:rPr>
        <w:t>Removing this system under the guise of a UCC is not a neutral act, nor does it have a neutral consequence. It strips a specific economic protection that is crucial for the survival and autonomy of a significant section of society.</w:t>
      </w:r>
    </w:p>
    <w:p w14:paraId="6078FABC" w14:textId="77777777" w:rsidR="001A3D80" w:rsidRPr="001A3D80" w:rsidRDefault="001A3D80" w:rsidP="001A3D80">
      <w:pPr>
        <w:rPr>
          <w:rFonts w:eastAsia="Times New Roman"/>
          <w:i w:val="0"/>
          <w:iCs w:val="0"/>
          <w:smallCaps w:val="0"/>
          <w:kern w:val="0"/>
          <w:u w:val="none"/>
          <w:lang w:eastAsia="en-GB"/>
          <w14:ligatures w14:val="none"/>
        </w:rPr>
      </w:pPr>
    </w:p>
    <w:p w14:paraId="1C37D897" w14:textId="77777777" w:rsidR="001A3D80" w:rsidRPr="001A3D80" w:rsidRDefault="001A3D80" w:rsidP="001A3D80">
      <w:pPr>
        <w:rPr>
          <w:rFonts w:eastAsia="Times New Roman"/>
          <w:i w:val="0"/>
          <w:iCs w:val="0"/>
          <w:smallCaps w:val="0"/>
          <w:kern w:val="0"/>
          <w:u w:val="none"/>
          <w:lang w:eastAsia="en-GB"/>
          <w14:ligatures w14:val="none"/>
        </w:rPr>
      </w:pPr>
      <w:r w:rsidRPr="001A3D80">
        <w:rPr>
          <w:rFonts w:eastAsia="Times New Roman"/>
          <w:i w:val="0"/>
          <w:iCs w:val="0"/>
          <w:smallCaps w:val="0"/>
          <w:color w:val="000000"/>
          <w:kern w:val="0"/>
          <w:u w:val="none"/>
          <w:lang w:eastAsia="en-GB"/>
          <w14:ligatures w14:val="none"/>
        </w:rPr>
        <w:t xml:space="preserve">To clarify the position I am taking so that I am not misunderstood, I am not implying that the Goan inheritance system is perfect in its working across all religions. This analysis is only to the extent of the benefits women receive within the Goan inheritance system as opposed to what the reality would be under the UCC. The UCC’s focus is on individual testators. While this may be facially neutral, it is critical to take into account the history of patriarchy and subjugation that women have been subjected to. By virtue of this, a majority of women in India may not have access to a substantial amount of property that they own. The inheritance system in Goa does the best job it can to fix this blatant inequality by introducing the concept of </w:t>
      </w:r>
      <w:r w:rsidRPr="001A3D80">
        <w:rPr>
          <w:rFonts w:eastAsia="Times New Roman"/>
          <w:i w:val="0"/>
          <w:iCs w:val="0"/>
          <w:smallCaps w:val="0"/>
          <w:color w:val="000000"/>
          <w:kern w:val="0"/>
          <w:u w:val="none"/>
          <w:lang w:eastAsia="en-GB"/>
          <w14:ligatures w14:val="none"/>
        </w:rPr>
        <w:lastRenderedPageBreak/>
        <w:t>“matrimonial property.” With its removal and the UCC’s focus on individual testators, this remedy will become non-existent. </w:t>
      </w:r>
    </w:p>
    <w:p w14:paraId="257CC79D" w14:textId="77777777" w:rsidR="001A3D80" w:rsidRPr="001A3D80" w:rsidRDefault="001A3D80" w:rsidP="001A3D80">
      <w:pPr>
        <w:rPr>
          <w:rFonts w:eastAsia="Times New Roman"/>
          <w:i w:val="0"/>
          <w:iCs w:val="0"/>
          <w:smallCaps w:val="0"/>
          <w:kern w:val="0"/>
          <w:u w:val="none"/>
          <w:lang w:eastAsia="en-GB"/>
          <w14:ligatures w14:val="none"/>
        </w:rPr>
      </w:pPr>
    </w:p>
    <w:p w14:paraId="3F0292B3" w14:textId="77777777" w:rsidR="001A3D80" w:rsidRPr="001A3D80" w:rsidRDefault="001A3D80" w:rsidP="001A3D80">
      <w:pPr>
        <w:rPr>
          <w:rFonts w:eastAsia="Times New Roman"/>
          <w:i w:val="0"/>
          <w:iCs w:val="0"/>
          <w:smallCaps w:val="0"/>
          <w:kern w:val="0"/>
          <w:u w:val="none"/>
          <w:lang w:eastAsia="en-GB"/>
          <w14:ligatures w14:val="none"/>
        </w:rPr>
      </w:pPr>
      <w:r w:rsidRPr="001A3D80">
        <w:rPr>
          <w:rFonts w:eastAsia="Times New Roman"/>
          <w:i w:val="0"/>
          <w:iCs w:val="0"/>
          <w:smallCaps w:val="0"/>
          <w:color w:val="000000"/>
          <w:kern w:val="0"/>
          <w:u w:val="none"/>
          <w:lang w:eastAsia="en-GB"/>
          <w14:ligatures w14:val="none"/>
        </w:rPr>
        <w:t>It is important to keep in mind that the 21st Law Commission of India in 2018 held that discrimination, not difference, is the root of inequality.</w:t>
      </w:r>
      <w:r w:rsidRPr="001A3D80">
        <w:rPr>
          <w:rStyle w:val="FootnoteReference"/>
          <w:rFonts w:eastAsia="Times New Roman"/>
          <w:i w:val="0"/>
          <w:iCs w:val="0"/>
          <w:smallCaps w:val="0"/>
          <w:color w:val="000000"/>
          <w:kern w:val="0"/>
          <w:u w:val="none"/>
          <w:lang w:eastAsia="en-GB"/>
          <w14:ligatures w14:val="none"/>
        </w:rPr>
        <w:footnoteReference w:id="5"/>
      </w:r>
      <w:r w:rsidRPr="001A3D80">
        <w:rPr>
          <w:rFonts w:eastAsia="Times New Roman"/>
          <w:i w:val="0"/>
          <w:iCs w:val="0"/>
          <w:smallCaps w:val="0"/>
          <w:color w:val="000000"/>
          <w:kern w:val="0"/>
          <w:u w:val="none"/>
          <w:lang w:eastAsia="en-GB"/>
          <w14:ligatures w14:val="none"/>
        </w:rPr>
        <w:t xml:space="preserve"> This strikes at the heart of the matter. It implies that that removing difference, that is, making everything uniform, does not automatically eliminate inequality. A conscious effort to get rid of all forms of discrimination is a pre-requisite to equality. For this purpose, I believe that the inheritance system in Goa presents itself as a better solution than the UCC. </w:t>
      </w:r>
    </w:p>
    <w:p w14:paraId="60C2AD80" w14:textId="77777777" w:rsidR="001A3D80" w:rsidRPr="001A3D80" w:rsidRDefault="001A3D80" w:rsidP="001A3D80">
      <w:pPr>
        <w:rPr>
          <w:rFonts w:eastAsia="Times New Roman"/>
          <w:i w:val="0"/>
          <w:iCs w:val="0"/>
          <w:smallCaps w:val="0"/>
          <w:kern w:val="0"/>
          <w:u w:val="none"/>
          <w:lang w:eastAsia="en-GB"/>
          <w14:ligatures w14:val="none"/>
        </w:rPr>
      </w:pPr>
    </w:p>
    <w:p w14:paraId="2786E47D" w14:textId="77777777" w:rsidR="001A3D80" w:rsidRPr="001A3D80" w:rsidRDefault="001A3D80" w:rsidP="001A3D80">
      <w:pPr>
        <w:rPr>
          <w:rFonts w:eastAsia="Times New Roman"/>
          <w:i w:val="0"/>
          <w:iCs w:val="0"/>
          <w:smallCaps w:val="0"/>
          <w:kern w:val="0"/>
          <w:u w:val="none"/>
          <w:lang w:eastAsia="en-GB"/>
          <w14:ligatures w14:val="none"/>
        </w:rPr>
      </w:pPr>
      <w:r w:rsidRPr="001A3D80">
        <w:rPr>
          <w:rFonts w:eastAsia="Times New Roman"/>
          <w:i w:val="0"/>
          <w:iCs w:val="0"/>
          <w:smallCaps w:val="0"/>
          <w:color w:val="000000"/>
          <w:kern w:val="0"/>
          <w:u w:val="none"/>
          <w:lang w:eastAsia="en-GB"/>
          <w14:ligatures w14:val="none"/>
        </w:rPr>
        <w:t>In order to extrapolate further on this, the scholar Bina Agarwal’s writings become relevant.</w:t>
      </w:r>
      <w:r w:rsidRPr="001A3D80">
        <w:rPr>
          <w:rStyle w:val="FootnoteReference"/>
          <w:rFonts w:eastAsia="Times New Roman"/>
          <w:i w:val="0"/>
          <w:iCs w:val="0"/>
          <w:smallCaps w:val="0"/>
          <w:color w:val="000000"/>
          <w:kern w:val="0"/>
          <w:u w:val="none"/>
          <w:lang w:eastAsia="en-GB"/>
          <w14:ligatures w14:val="none"/>
        </w:rPr>
        <w:footnoteReference w:id="6"/>
      </w:r>
      <w:r w:rsidRPr="001A3D80">
        <w:rPr>
          <w:rFonts w:eastAsia="Times New Roman"/>
          <w:i w:val="0"/>
          <w:iCs w:val="0"/>
          <w:smallCaps w:val="0"/>
          <w:color w:val="000000"/>
          <w:kern w:val="0"/>
          <w:u w:val="none"/>
          <w:lang w:eastAsia="en-GB"/>
          <w14:ligatures w14:val="none"/>
        </w:rPr>
        <w:t xml:space="preserve"> Her main argument revolves around the proposition that women gain ‘bargaining power’ within families and communities when they own independent assets. She explains that the extent of one’s bargaining power is defined by the strength of their fallback position. This means that someone who would be more well-off if cooperation failed would have more bargaining power than someone who would be less well-off. She emphasises on how ownership and control over property plays a much larger role in helping a women assert her rights than even employment or her own source of income. Therefore, when the wife acquires half of the matrimonial property according to the Goan succession laws, she gains more bargaining power and will be able to assert her rights in society more effectively. </w:t>
      </w:r>
    </w:p>
    <w:p w14:paraId="7CF852D8" w14:textId="77777777" w:rsidR="001A3D80" w:rsidRPr="001A3D80" w:rsidRDefault="001A3D80" w:rsidP="001A3D80">
      <w:pPr>
        <w:rPr>
          <w:rFonts w:eastAsia="Times New Roman"/>
          <w:i w:val="0"/>
          <w:iCs w:val="0"/>
          <w:smallCaps w:val="0"/>
          <w:kern w:val="0"/>
          <w:u w:val="none"/>
          <w:lang w:eastAsia="en-GB"/>
          <w14:ligatures w14:val="none"/>
        </w:rPr>
      </w:pPr>
    </w:p>
    <w:p w14:paraId="5D8F1497" w14:textId="77777777" w:rsidR="001A3D80" w:rsidRPr="001A3D80" w:rsidRDefault="001A3D80" w:rsidP="001A3D80">
      <w:pPr>
        <w:rPr>
          <w:rFonts w:eastAsia="Times New Roman"/>
          <w:i w:val="0"/>
          <w:iCs w:val="0"/>
          <w:smallCaps w:val="0"/>
          <w:kern w:val="0"/>
          <w:u w:val="none"/>
          <w:lang w:eastAsia="en-GB"/>
          <w14:ligatures w14:val="none"/>
        </w:rPr>
      </w:pPr>
      <w:r w:rsidRPr="001A3D80">
        <w:rPr>
          <w:rFonts w:eastAsia="Times New Roman"/>
          <w:i w:val="0"/>
          <w:iCs w:val="0"/>
          <w:smallCaps w:val="0"/>
          <w:color w:val="000000"/>
          <w:kern w:val="0"/>
          <w:u w:val="none"/>
          <w:lang w:eastAsia="en-GB"/>
          <w14:ligatures w14:val="none"/>
        </w:rPr>
        <w:t>Now that the reasons for why I believe that the Goan inheritance system should be retained, and not replaced by the UCC, have been sufficiently elaborated, I will deal with possible arguments that may arise counter to this proposition. </w:t>
      </w:r>
      <w:r w:rsidRPr="001A3D80">
        <w:rPr>
          <w:rFonts w:eastAsia="Times New Roman"/>
          <w:i w:val="0"/>
          <w:iCs w:val="0"/>
          <w:smallCaps w:val="0"/>
          <w:kern w:val="0"/>
          <w:u w:val="none"/>
          <w:lang w:eastAsia="en-GB"/>
          <w14:ligatures w14:val="none"/>
        </w:rPr>
        <w:br/>
      </w:r>
    </w:p>
    <w:p w14:paraId="5515C2E4" w14:textId="77777777" w:rsidR="001A3D80" w:rsidRPr="001A3D80" w:rsidRDefault="001A3D80" w:rsidP="001A3D80">
      <w:pPr>
        <w:numPr>
          <w:ilvl w:val="0"/>
          <w:numId w:val="4"/>
        </w:numPr>
        <w:textAlignment w:val="baseline"/>
        <w:rPr>
          <w:rFonts w:eastAsia="Times New Roman"/>
          <w:i w:val="0"/>
          <w:iCs w:val="0"/>
          <w:smallCaps w:val="0"/>
          <w:color w:val="000000"/>
          <w:kern w:val="0"/>
          <w:u w:val="none"/>
          <w:lang w:eastAsia="en-GB"/>
          <w14:ligatures w14:val="none"/>
        </w:rPr>
      </w:pPr>
      <w:r w:rsidRPr="001A3D80">
        <w:rPr>
          <w:rFonts w:eastAsia="Times New Roman"/>
          <w:smallCaps w:val="0"/>
          <w:color w:val="000000"/>
          <w:kern w:val="0"/>
          <w:u w:val="none"/>
          <w:lang w:eastAsia="en-GB"/>
          <w14:ligatures w14:val="none"/>
        </w:rPr>
        <w:t>Prof. Almeida argues that there still exists gender inequality regarding administerial control over matrimonial communion property</w:t>
      </w:r>
      <w:r w:rsidRPr="001A3D80">
        <w:rPr>
          <w:rFonts w:eastAsia="Times New Roman"/>
          <w:i w:val="0"/>
          <w:iCs w:val="0"/>
          <w:smallCaps w:val="0"/>
          <w:color w:val="000000"/>
          <w:kern w:val="0"/>
          <w:u w:val="none"/>
          <w:lang w:eastAsia="en-GB"/>
          <w14:ligatures w14:val="none"/>
        </w:rPr>
        <w:t>.</w:t>
      </w:r>
      <w:r w:rsidRPr="001A3D80">
        <w:rPr>
          <w:rStyle w:val="FootnoteReference"/>
          <w:rFonts w:eastAsia="Times New Roman"/>
          <w:i w:val="0"/>
          <w:iCs w:val="0"/>
          <w:smallCaps w:val="0"/>
          <w:color w:val="000000"/>
          <w:kern w:val="0"/>
          <w:u w:val="none"/>
          <w:lang w:eastAsia="en-GB"/>
          <w14:ligatures w14:val="none"/>
        </w:rPr>
        <w:footnoteReference w:id="7"/>
      </w:r>
      <w:r w:rsidRPr="001A3D80">
        <w:rPr>
          <w:rFonts w:eastAsia="Times New Roman"/>
          <w:i w:val="0"/>
          <w:iCs w:val="0"/>
          <w:smallCaps w:val="0"/>
          <w:color w:val="000000"/>
          <w:kern w:val="0"/>
          <w:u w:val="none"/>
          <w:lang w:eastAsia="en-GB"/>
          <w14:ligatures w14:val="none"/>
        </w:rPr>
        <w:t> </w:t>
      </w:r>
    </w:p>
    <w:p w14:paraId="3EE27D18" w14:textId="77777777" w:rsidR="001A3D80" w:rsidRPr="001A3D80" w:rsidRDefault="001A3D80" w:rsidP="001A3D80">
      <w:pPr>
        <w:ind w:left="720"/>
        <w:rPr>
          <w:rFonts w:eastAsia="Times New Roman"/>
          <w:i w:val="0"/>
          <w:iCs w:val="0"/>
          <w:smallCaps w:val="0"/>
          <w:kern w:val="0"/>
          <w:u w:val="none"/>
          <w:lang w:eastAsia="en-GB"/>
          <w14:ligatures w14:val="none"/>
        </w:rPr>
      </w:pPr>
      <w:r w:rsidRPr="001A3D80">
        <w:rPr>
          <w:rFonts w:eastAsia="Times New Roman"/>
          <w:i w:val="0"/>
          <w:iCs w:val="0"/>
          <w:smallCaps w:val="0"/>
          <w:color w:val="000000"/>
          <w:kern w:val="0"/>
          <w:u w:val="none"/>
          <w:lang w:eastAsia="en-GB"/>
          <w14:ligatures w14:val="none"/>
        </w:rPr>
        <w:t xml:space="preserve">The head of the family is generally required to manage property. Article 1117 of the Portuguese Civil Code, 1867, is a gendered provision which explicitly states that the </w:t>
      </w:r>
      <w:r w:rsidRPr="001A3D80">
        <w:rPr>
          <w:rFonts w:eastAsia="Times New Roman"/>
          <w:i w:val="0"/>
          <w:iCs w:val="0"/>
          <w:smallCaps w:val="0"/>
          <w:color w:val="000000"/>
          <w:kern w:val="0"/>
          <w:u w:val="none"/>
          <w:lang w:eastAsia="en-GB"/>
          <w14:ligatures w14:val="none"/>
        </w:rPr>
        <w:lastRenderedPageBreak/>
        <w:t>husband is charged with controlling the property of both the husband and wife.</w:t>
      </w:r>
      <w:r w:rsidRPr="001A3D80">
        <w:rPr>
          <w:rStyle w:val="FootnoteReference"/>
          <w:rFonts w:eastAsia="Times New Roman"/>
          <w:i w:val="0"/>
          <w:iCs w:val="0"/>
          <w:smallCaps w:val="0"/>
          <w:color w:val="000000"/>
          <w:kern w:val="0"/>
          <w:u w:val="none"/>
          <w:lang w:eastAsia="en-GB"/>
          <w14:ligatures w14:val="none"/>
        </w:rPr>
        <w:footnoteReference w:id="8"/>
      </w:r>
      <w:r w:rsidRPr="001A3D80">
        <w:rPr>
          <w:rFonts w:eastAsia="Times New Roman"/>
          <w:i w:val="0"/>
          <w:iCs w:val="0"/>
          <w:smallCaps w:val="0"/>
          <w:color w:val="000000"/>
          <w:kern w:val="0"/>
          <w:u w:val="none"/>
          <w:lang w:eastAsia="en-GB"/>
          <w14:ligatures w14:val="none"/>
        </w:rPr>
        <w:t xml:space="preserve"> However, the 2012 Act has removed this aspect from the letter of the law and only mentions the administrator as ‘head of the family’ without any aspect of gender.</w:t>
      </w:r>
      <w:r w:rsidRPr="001A3D80">
        <w:rPr>
          <w:rStyle w:val="FootnoteReference"/>
          <w:rFonts w:eastAsia="Times New Roman"/>
          <w:i w:val="0"/>
          <w:iCs w:val="0"/>
          <w:smallCaps w:val="0"/>
          <w:color w:val="000000"/>
          <w:kern w:val="0"/>
          <w:u w:val="none"/>
          <w:lang w:eastAsia="en-GB"/>
          <w14:ligatures w14:val="none"/>
        </w:rPr>
        <w:footnoteReference w:id="9"/>
      </w:r>
      <w:r w:rsidRPr="001A3D80">
        <w:rPr>
          <w:rFonts w:eastAsia="Times New Roman"/>
          <w:i w:val="0"/>
          <w:iCs w:val="0"/>
          <w:smallCaps w:val="0"/>
          <w:color w:val="000000"/>
          <w:kern w:val="0"/>
          <w:u w:val="none"/>
          <w:lang w:eastAsia="en-GB"/>
          <w14:ligatures w14:val="none"/>
        </w:rPr>
        <w:t xml:space="preserve"> Thus, it is a neutral provision; at least on paper. Prof. Almeida elaborates on how even if the provision is gender neutral on paper, in reality, the administration of property is still controlled by the men, through some means or the other.</w:t>
      </w:r>
      <w:r w:rsidRPr="001A3D80">
        <w:rPr>
          <w:rStyle w:val="FootnoteReference"/>
          <w:rFonts w:eastAsia="Times New Roman"/>
          <w:i w:val="0"/>
          <w:iCs w:val="0"/>
          <w:smallCaps w:val="0"/>
          <w:color w:val="000000"/>
          <w:kern w:val="0"/>
          <w:u w:val="none"/>
          <w:lang w:eastAsia="en-GB"/>
          <w14:ligatures w14:val="none"/>
        </w:rPr>
        <w:footnoteReference w:id="10"/>
      </w:r>
      <w:r w:rsidRPr="001A3D80">
        <w:rPr>
          <w:rFonts w:eastAsia="Times New Roman"/>
          <w:i w:val="0"/>
          <w:iCs w:val="0"/>
          <w:smallCaps w:val="0"/>
          <w:color w:val="000000"/>
          <w:kern w:val="0"/>
          <w:u w:val="none"/>
          <w:lang w:eastAsia="en-GB"/>
          <w14:ligatures w14:val="none"/>
        </w:rPr>
        <w:t xml:space="preserve"> It is fully acknowledged that this is a classic example of ‘formal, but no substantive equality.’ However, this is a social norms problem, rather than a legal structure problem. Being a structural issue, it cannot merely be changed by the textual altering of a law. The social pressure that forces women to give up their position is external to the formal law. For this purpose, reform must come from within. The attitude of society as a whole must be changed. A different UCC unilaterally imposed upon the entirety of India is not the answer. Even if it turns out to be the most progressive legislation, the ground reality will not change if the attitude of society as a whole is not changed. Therefore, while it is acknowledged that there are issues with the current Goan inheritance system (including the fact that it leaves no space for </w:t>
      </w:r>
      <w:proofErr w:type="spellStart"/>
      <w:r w:rsidRPr="001A3D80">
        <w:rPr>
          <w:rFonts w:eastAsia="Times New Roman"/>
          <w:i w:val="0"/>
          <w:iCs w:val="0"/>
          <w:smallCaps w:val="0"/>
          <w:color w:val="000000"/>
          <w:kern w:val="0"/>
          <w:u w:val="none"/>
          <w:lang w:eastAsia="en-GB"/>
          <w14:ligatures w14:val="none"/>
        </w:rPr>
        <w:t>th</w:t>
      </w:r>
      <w:proofErr w:type="spellEnd"/>
      <w:r w:rsidRPr="001A3D80">
        <w:rPr>
          <w:rFonts w:eastAsia="Times New Roman"/>
          <w:i w:val="0"/>
          <w:iCs w:val="0"/>
          <w:smallCaps w:val="0"/>
          <w:color w:val="000000"/>
          <w:kern w:val="0"/>
          <w:u w:val="none"/>
          <w:lang w:eastAsia="en-GB"/>
          <w14:ligatures w14:val="none"/>
        </w:rPr>
        <w:t xml:space="preserve"> LGBTQ+ sections of society but which is not extensively discussed here because it </w:t>
      </w:r>
      <w:proofErr w:type="spellStart"/>
      <w:r w:rsidRPr="001A3D80">
        <w:rPr>
          <w:rFonts w:eastAsia="Times New Roman"/>
          <w:i w:val="0"/>
          <w:iCs w:val="0"/>
          <w:smallCaps w:val="0"/>
          <w:color w:val="000000"/>
          <w:kern w:val="0"/>
          <w:u w:val="none"/>
          <w:lang w:eastAsia="en-GB"/>
          <w14:ligatures w14:val="none"/>
        </w:rPr>
        <w:t>it</w:t>
      </w:r>
      <w:proofErr w:type="spellEnd"/>
      <w:r w:rsidRPr="001A3D80">
        <w:rPr>
          <w:rFonts w:eastAsia="Times New Roman"/>
          <w:i w:val="0"/>
          <w:iCs w:val="0"/>
          <w:smallCaps w:val="0"/>
          <w:color w:val="000000"/>
          <w:kern w:val="0"/>
          <w:u w:val="none"/>
          <w:lang w:eastAsia="en-GB"/>
          <w14:ligatures w14:val="none"/>
        </w:rPr>
        <w:t xml:space="preserve"> irrelevant to the current issue at hand) and that it must be changed, reform of the current system will not only be more accepted, but will also yield better results, than the imposition of a UCC. </w:t>
      </w:r>
    </w:p>
    <w:p w14:paraId="11E5DA83" w14:textId="77777777" w:rsidR="001A3D80" w:rsidRPr="001A3D80" w:rsidRDefault="001A3D80" w:rsidP="001A3D80">
      <w:pPr>
        <w:rPr>
          <w:rFonts w:eastAsia="Times New Roman"/>
          <w:i w:val="0"/>
          <w:iCs w:val="0"/>
          <w:smallCaps w:val="0"/>
          <w:kern w:val="0"/>
          <w:u w:val="none"/>
          <w:lang w:eastAsia="en-GB"/>
          <w14:ligatures w14:val="none"/>
        </w:rPr>
      </w:pPr>
    </w:p>
    <w:p w14:paraId="39FC906F" w14:textId="77777777" w:rsidR="001A3D80" w:rsidRPr="001A3D80" w:rsidRDefault="001A3D80" w:rsidP="001A3D80">
      <w:pPr>
        <w:pStyle w:val="ListParagraph"/>
        <w:numPr>
          <w:ilvl w:val="0"/>
          <w:numId w:val="4"/>
        </w:numPr>
        <w:textAlignment w:val="baseline"/>
        <w:rPr>
          <w:rFonts w:eastAsia="Times New Roman"/>
          <w:smallCaps w:val="0"/>
          <w:color w:val="000000"/>
          <w:kern w:val="0"/>
          <w:u w:val="none"/>
          <w:lang w:eastAsia="en-GB"/>
          <w14:ligatures w14:val="none"/>
        </w:rPr>
      </w:pPr>
      <w:r w:rsidRPr="001A3D80">
        <w:rPr>
          <w:rFonts w:eastAsia="Times New Roman"/>
          <w:smallCaps w:val="0"/>
          <w:color w:val="000000"/>
          <w:kern w:val="0"/>
          <w:u w:val="none"/>
          <w:lang w:eastAsia="en-GB"/>
          <w14:ligatures w14:val="none"/>
        </w:rPr>
        <w:t>It is a remnant of British colonial rule which is being unfairly imposed upon the Goan people. </w:t>
      </w:r>
    </w:p>
    <w:p w14:paraId="293DB8AF" w14:textId="77777777" w:rsidR="001A3D80" w:rsidRPr="001A3D80" w:rsidRDefault="001A3D80" w:rsidP="001A3D80">
      <w:pPr>
        <w:ind w:left="720"/>
        <w:rPr>
          <w:rFonts w:eastAsia="Times New Roman"/>
          <w:i w:val="0"/>
          <w:iCs w:val="0"/>
          <w:smallCaps w:val="0"/>
          <w:kern w:val="0"/>
          <w:u w:val="none"/>
          <w:lang w:eastAsia="en-GB"/>
          <w14:ligatures w14:val="none"/>
        </w:rPr>
      </w:pPr>
      <w:r w:rsidRPr="001A3D80">
        <w:rPr>
          <w:rFonts w:eastAsia="Times New Roman"/>
          <w:i w:val="0"/>
          <w:iCs w:val="0"/>
          <w:smallCaps w:val="0"/>
          <w:color w:val="000000"/>
          <w:kern w:val="0"/>
          <w:u w:val="none"/>
          <w:lang w:eastAsia="en-GB"/>
          <w14:ligatures w14:val="none"/>
        </w:rPr>
        <w:t>Recently in 2019, 73 years after independence, this Court ruled that while the Portuguese Civil Code might have been of colonial origin, it became a part of the Indian laws because of an Act of the Parliament of India.</w:t>
      </w:r>
      <w:r w:rsidRPr="001A3D80">
        <w:rPr>
          <w:rStyle w:val="FootnoteReference"/>
          <w:rFonts w:eastAsia="Times New Roman"/>
          <w:i w:val="0"/>
          <w:iCs w:val="0"/>
          <w:smallCaps w:val="0"/>
          <w:color w:val="000000"/>
          <w:kern w:val="0"/>
          <w:u w:val="none"/>
          <w:lang w:eastAsia="en-GB"/>
          <w14:ligatures w14:val="none"/>
        </w:rPr>
        <w:footnoteReference w:id="11"/>
      </w:r>
      <w:r w:rsidRPr="001A3D80">
        <w:rPr>
          <w:rFonts w:eastAsia="Times New Roman"/>
          <w:i w:val="0"/>
          <w:iCs w:val="0"/>
          <w:smallCaps w:val="0"/>
          <w:color w:val="000000"/>
          <w:kern w:val="0"/>
          <w:u w:val="none"/>
          <w:lang w:eastAsia="en-GB"/>
          <w14:ligatures w14:val="none"/>
        </w:rPr>
        <w:t xml:space="preserve"> Thus, “... in sum and substance, [it] is an Indian law. It is no longer a foreign law.” The Court further held that the Code applies to all Goan domiciles in respect to all their properties, regardless of wherever it is situated in India.</w:t>
      </w:r>
      <w:r w:rsidRPr="001A3D80">
        <w:rPr>
          <w:rStyle w:val="FootnoteReference"/>
          <w:rFonts w:eastAsia="Times New Roman"/>
          <w:i w:val="0"/>
          <w:iCs w:val="0"/>
          <w:smallCaps w:val="0"/>
          <w:color w:val="000000"/>
          <w:kern w:val="0"/>
          <w:u w:val="none"/>
          <w:lang w:eastAsia="en-GB"/>
          <w14:ligatures w14:val="none"/>
        </w:rPr>
        <w:footnoteReference w:id="12"/>
      </w:r>
      <w:r w:rsidRPr="001A3D80">
        <w:rPr>
          <w:rFonts w:eastAsia="Times New Roman"/>
          <w:i w:val="0"/>
          <w:iCs w:val="0"/>
          <w:smallCaps w:val="0"/>
          <w:color w:val="000000"/>
          <w:kern w:val="0"/>
          <w:u w:val="none"/>
          <w:lang w:eastAsia="en-GB"/>
          <w14:ligatures w14:val="none"/>
        </w:rPr>
        <w:t xml:space="preserve"> This reinforced the fact that it is an integral part of India’s inheritance scheme and cannot be classified merely as a colonial remnant. </w:t>
      </w:r>
    </w:p>
    <w:p w14:paraId="3FE2DA8E" w14:textId="77777777" w:rsidR="001A3D80" w:rsidRPr="001A3D80" w:rsidRDefault="001A3D80" w:rsidP="001A3D80">
      <w:pPr>
        <w:rPr>
          <w:rFonts w:eastAsia="Times New Roman"/>
          <w:i w:val="0"/>
          <w:iCs w:val="0"/>
          <w:smallCaps w:val="0"/>
          <w:kern w:val="0"/>
          <w:u w:val="none"/>
          <w:lang w:eastAsia="en-GB"/>
          <w14:ligatures w14:val="none"/>
        </w:rPr>
      </w:pPr>
    </w:p>
    <w:p w14:paraId="7CE75046" w14:textId="66D4D049" w:rsidR="001A3D80" w:rsidRPr="001A3D80" w:rsidRDefault="001A3D80" w:rsidP="001A3D80">
      <w:pPr>
        <w:pStyle w:val="ListParagraph"/>
        <w:numPr>
          <w:ilvl w:val="0"/>
          <w:numId w:val="8"/>
        </w:numPr>
        <w:rPr>
          <w:rFonts w:eastAsia="Times New Roman"/>
          <w:i w:val="0"/>
          <w:iCs w:val="0"/>
          <w:smallCaps w:val="0"/>
          <w:kern w:val="0"/>
          <w:lang w:eastAsia="en-GB"/>
          <w14:ligatures w14:val="none"/>
        </w:rPr>
      </w:pPr>
      <w:r w:rsidRPr="001A3D80">
        <w:rPr>
          <w:rFonts w:eastAsia="Times New Roman"/>
          <w:i w:val="0"/>
          <w:iCs w:val="0"/>
          <w:smallCaps w:val="0"/>
          <w:color w:val="000000"/>
          <w:kern w:val="0"/>
          <w:lang w:eastAsia="en-GB"/>
          <w14:ligatures w14:val="none"/>
        </w:rPr>
        <w:lastRenderedPageBreak/>
        <w:t>Forced Heirship</w:t>
      </w:r>
    </w:p>
    <w:p w14:paraId="50FF93B3" w14:textId="77777777" w:rsidR="001A3D80" w:rsidRPr="001A3D80" w:rsidRDefault="001A3D80" w:rsidP="001A3D80">
      <w:pPr>
        <w:rPr>
          <w:rFonts w:eastAsia="Times New Roman"/>
          <w:i w:val="0"/>
          <w:iCs w:val="0"/>
          <w:smallCaps w:val="0"/>
          <w:kern w:val="0"/>
          <w:u w:val="none"/>
          <w:lang w:eastAsia="en-GB"/>
          <w14:ligatures w14:val="none"/>
        </w:rPr>
      </w:pPr>
    </w:p>
    <w:p w14:paraId="77D2270C" w14:textId="77777777" w:rsidR="001A3D80" w:rsidRPr="001A3D80" w:rsidRDefault="001A3D80" w:rsidP="001A3D80">
      <w:pPr>
        <w:rPr>
          <w:rFonts w:eastAsia="Times New Roman"/>
          <w:i w:val="0"/>
          <w:iCs w:val="0"/>
          <w:smallCaps w:val="0"/>
          <w:kern w:val="0"/>
          <w:u w:val="none"/>
          <w:lang w:eastAsia="en-GB"/>
          <w14:ligatures w14:val="none"/>
        </w:rPr>
      </w:pPr>
      <w:r w:rsidRPr="001A3D80">
        <w:rPr>
          <w:rFonts w:eastAsia="Times New Roman"/>
          <w:b/>
          <w:i w:val="0"/>
          <w:iCs w:val="0"/>
          <w:smallCaps w:val="0"/>
          <w:color w:val="000000"/>
          <w:kern w:val="0"/>
          <w:u w:val="none"/>
          <w:lang w:eastAsia="en-GB"/>
          <w14:ligatures w14:val="none"/>
        </w:rPr>
        <w:t xml:space="preserve">Section 4(3): </w:t>
      </w:r>
      <w:r w:rsidRPr="001A3D80">
        <w:rPr>
          <w:rFonts w:eastAsia="Times New Roman"/>
          <w:i w:val="0"/>
          <w:iCs w:val="0"/>
          <w:smallCaps w:val="0"/>
          <w:color w:val="000000"/>
          <w:kern w:val="0"/>
          <w:u w:val="none"/>
          <w:lang w:eastAsia="en-GB"/>
          <w14:ligatures w14:val="none"/>
        </w:rPr>
        <w:t>Intestate succession is either free or forced. Forced succession is the one which is reserved by law to the forced heirs and places restrictions on the freedom of the estate leaver to dispose of his estate.</w:t>
      </w:r>
      <w:r w:rsidRPr="001A3D80">
        <w:rPr>
          <w:rStyle w:val="FootnoteReference"/>
          <w:rFonts w:eastAsia="Times New Roman"/>
          <w:i w:val="0"/>
          <w:iCs w:val="0"/>
          <w:smallCaps w:val="0"/>
          <w:color w:val="000000"/>
          <w:kern w:val="0"/>
          <w:u w:val="none"/>
          <w:lang w:eastAsia="en-GB"/>
          <w14:ligatures w14:val="none"/>
        </w:rPr>
        <w:footnoteReference w:id="13"/>
      </w:r>
      <w:r w:rsidRPr="001A3D80">
        <w:rPr>
          <w:rFonts w:eastAsia="Times New Roman"/>
          <w:i w:val="0"/>
          <w:iCs w:val="0"/>
          <w:smallCaps w:val="0"/>
          <w:color w:val="000000"/>
          <w:kern w:val="0"/>
          <w:u w:val="none"/>
          <w:lang w:eastAsia="en-GB"/>
          <w14:ligatures w14:val="none"/>
        </w:rPr>
        <w:t> </w:t>
      </w:r>
    </w:p>
    <w:p w14:paraId="5430DC36" w14:textId="77777777" w:rsidR="001A3D80" w:rsidRPr="001A3D80" w:rsidRDefault="001A3D80" w:rsidP="001A3D80">
      <w:pPr>
        <w:rPr>
          <w:rFonts w:eastAsia="Times New Roman"/>
          <w:i w:val="0"/>
          <w:iCs w:val="0"/>
          <w:smallCaps w:val="0"/>
          <w:kern w:val="0"/>
          <w:u w:val="none"/>
          <w:lang w:eastAsia="en-GB"/>
          <w14:ligatures w14:val="none"/>
        </w:rPr>
      </w:pPr>
    </w:p>
    <w:p w14:paraId="717CF030" w14:textId="77777777" w:rsidR="001A3D80" w:rsidRPr="001A3D80" w:rsidRDefault="001A3D80" w:rsidP="001A3D80">
      <w:pPr>
        <w:rPr>
          <w:rFonts w:eastAsia="Times New Roman"/>
          <w:i w:val="0"/>
          <w:iCs w:val="0"/>
          <w:smallCaps w:val="0"/>
          <w:kern w:val="0"/>
          <w:u w:val="none"/>
          <w:lang w:eastAsia="en-GB"/>
          <w14:ligatures w14:val="none"/>
        </w:rPr>
      </w:pPr>
      <w:r w:rsidRPr="001A3D80">
        <w:rPr>
          <w:rFonts w:eastAsia="Times New Roman"/>
          <w:b/>
          <w:i w:val="0"/>
          <w:iCs w:val="0"/>
          <w:smallCaps w:val="0"/>
          <w:color w:val="000000"/>
          <w:kern w:val="0"/>
          <w:u w:val="none"/>
          <w:lang w:eastAsia="en-GB"/>
          <w14:ligatures w14:val="none"/>
        </w:rPr>
        <w:t xml:space="preserve">Section 2(g): </w:t>
      </w:r>
      <w:r w:rsidRPr="001A3D80">
        <w:rPr>
          <w:rFonts w:eastAsia="Times New Roman"/>
          <w:i w:val="0"/>
          <w:iCs w:val="0"/>
          <w:smallCaps w:val="0"/>
          <w:color w:val="000000"/>
          <w:kern w:val="0"/>
          <w:u w:val="none"/>
          <w:lang w:eastAsia="en-GB"/>
          <w14:ligatures w14:val="none"/>
        </w:rPr>
        <w:t>“forced heir” means the heir whom the estate leaver cannot deprive of the portion of his estate reserved to such heir by law, except in cases where the law permits the estate leaver to disinherit him.</w:t>
      </w:r>
      <w:r w:rsidRPr="001A3D80">
        <w:rPr>
          <w:rStyle w:val="FootnoteReference"/>
          <w:rFonts w:eastAsia="Times New Roman"/>
          <w:i w:val="0"/>
          <w:iCs w:val="0"/>
          <w:smallCaps w:val="0"/>
          <w:color w:val="000000"/>
          <w:kern w:val="0"/>
          <w:u w:val="none"/>
          <w:lang w:eastAsia="en-GB"/>
          <w14:ligatures w14:val="none"/>
        </w:rPr>
        <w:footnoteReference w:id="14"/>
      </w:r>
    </w:p>
    <w:p w14:paraId="611742D8" w14:textId="77777777" w:rsidR="001A3D80" w:rsidRPr="001A3D80" w:rsidRDefault="001A3D80" w:rsidP="001A3D80">
      <w:pPr>
        <w:rPr>
          <w:rFonts w:eastAsia="Times New Roman"/>
          <w:i w:val="0"/>
          <w:iCs w:val="0"/>
          <w:smallCaps w:val="0"/>
          <w:kern w:val="0"/>
          <w:u w:val="none"/>
          <w:lang w:eastAsia="en-GB"/>
          <w14:ligatures w14:val="none"/>
        </w:rPr>
      </w:pPr>
    </w:p>
    <w:p w14:paraId="546C3767" w14:textId="77777777" w:rsidR="001A3D80" w:rsidRPr="001A3D80" w:rsidRDefault="001A3D80" w:rsidP="001A3D80">
      <w:pPr>
        <w:rPr>
          <w:rFonts w:eastAsia="Times New Roman"/>
          <w:i w:val="0"/>
          <w:iCs w:val="0"/>
          <w:smallCaps w:val="0"/>
          <w:kern w:val="0"/>
          <w:u w:val="none"/>
          <w:lang w:eastAsia="en-GB"/>
          <w14:ligatures w14:val="none"/>
        </w:rPr>
      </w:pPr>
      <w:r w:rsidRPr="001A3D80">
        <w:rPr>
          <w:rFonts w:eastAsia="Times New Roman"/>
          <w:i w:val="0"/>
          <w:iCs w:val="0"/>
          <w:smallCaps w:val="0"/>
          <w:color w:val="000000"/>
          <w:kern w:val="0"/>
          <w:u w:val="none"/>
          <w:lang w:eastAsia="en-GB"/>
          <w14:ligatures w14:val="none"/>
        </w:rPr>
        <w:t>Under §§</w:t>
      </w:r>
      <w:r w:rsidRPr="001A3D80">
        <w:rPr>
          <w:rFonts w:eastAsia="Times New Roman"/>
          <w:b/>
          <w:i w:val="0"/>
          <w:iCs w:val="0"/>
          <w:smallCaps w:val="0"/>
          <w:color w:val="000000"/>
          <w:kern w:val="0"/>
          <w:u w:val="none"/>
          <w:lang w:eastAsia="en-GB"/>
          <w14:ligatures w14:val="none"/>
        </w:rPr>
        <w:t>189 to 193</w:t>
      </w:r>
      <w:r w:rsidRPr="001A3D80">
        <w:rPr>
          <w:rFonts w:eastAsia="Times New Roman"/>
          <w:i w:val="0"/>
          <w:iCs w:val="0"/>
          <w:smallCaps w:val="0"/>
          <w:color w:val="000000"/>
          <w:kern w:val="0"/>
          <w:u w:val="none"/>
          <w:lang w:eastAsia="en-GB"/>
          <w14:ligatures w14:val="none"/>
        </w:rPr>
        <w:t xml:space="preserve"> of the Act, forced heirs can only be disinherited in limited cases including conviction for serious offences, malicious prosecution, or unjustified refusal to maintain the testator.</w:t>
      </w:r>
      <w:r w:rsidRPr="001A3D80">
        <w:rPr>
          <w:rStyle w:val="FootnoteReference"/>
          <w:rFonts w:eastAsia="Times New Roman"/>
          <w:i w:val="0"/>
          <w:iCs w:val="0"/>
          <w:smallCaps w:val="0"/>
          <w:color w:val="000000"/>
          <w:kern w:val="0"/>
          <w:u w:val="none"/>
          <w:lang w:eastAsia="en-GB"/>
          <w14:ligatures w14:val="none"/>
        </w:rPr>
        <w:footnoteReference w:id="15"/>
      </w:r>
      <w:r w:rsidRPr="001A3D80">
        <w:rPr>
          <w:rFonts w:eastAsia="Times New Roman"/>
          <w:i w:val="0"/>
          <w:iCs w:val="0"/>
          <w:smallCaps w:val="0"/>
          <w:color w:val="000000"/>
          <w:kern w:val="0"/>
          <w:u w:val="none"/>
          <w:lang w:eastAsia="en-GB"/>
          <w14:ligatures w14:val="none"/>
        </w:rPr>
        <w:t xml:space="preserve"> These narrow grounds indicate the system is structured to restrict overriding forced heirship by testamentary succession. This is further reinforced by </w:t>
      </w:r>
      <w:r w:rsidRPr="001A3D80">
        <w:rPr>
          <w:rFonts w:eastAsia="Times New Roman"/>
          <w:b/>
          <w:bCs w:val="0"/>
          <w:i w:val="0"/>
          <w:iCs w:val="0"/>
          <w:smallCaps w:val="0"/>
          <w:color w:val="000000"/>
          <w:kern w:val="0"/>
          <w:u w:val="none"/>
          <w:lang w:eastAsia="en-GB"/>
          <w14:ligatures w14:val="none"/>
        </w:rPr>
        <w:t xml:space="preserve">§191 </w:t>
      </w:r>
      <w:r w:rsidRPr="001A3D80">
        <w:rPr>
          <w:rFonts w:eastAsia="Times New Roman"/>
          <w:i w:val="0"/>
          <w:iCs w:val="0"/>
          <w:smallCaps w:val="0"/>
          <w:color w:val="000000"/>
          <w:kern w:val="0"/>
          <w:u w:val="none"/>
          <w:lang w:eastAsia="en-GB"/>
          <w14:ligatures w14:val="none"/>
        </w:rPr>
        <w:t>which entitles the descendants of the disinherited [ascendant] to the legitime.</w:t>
      </w:r>
      <w:r w:rsidRPr="001A3D80">
        <w:rPr>
          <w:rStyle w:val="FootnoteReference"/>
          <w:rFonts w:eastAsia="Times New Roman"/>
          <w:i w:val="0"/>
          <w:iCs w:val="0"/>
          <w:smallCaps w:val="0"/>
          <w:color w:val="000000"/>
          <w:kern w:val="0"/>
          <w:u w:val="none"/>
          <w:lang w:eastAsia="en-GB"/>
          <w14:ligatures w14:val="none"/>
        </w:rPr>
        <w:footnoteReference w:id="16"/>
      </w:r>
    </w:p>
    <w:p w14:paraId="56964993" w14:textId="77777777" w:rsidR="001A3D80" w:rsidRPr="001A3D80" w:rsidRDefault="001A3D80" w:rsidP="001A3D80">
      <w:pPr>
        <w:rPr>
          <w:rFonts w:eastAsia="Times New Roman"/>
          <w:i w:val="0"/>
          <w:iCs w:val="0"/>
          <w:smallCaps w:val="0"/>
          <w:kern w:val="0"/>
          <w:u w:val="none"/>
          <w:lang w:eastAsia="en-GB"/>
          <w14:ligatures w14:val="none"/>
        </w:rPr>
      </w:pPr>
    </w:p>
    <w:p w14:paraId="5E918077" w14:textId="77777777" w:rsidR="001A3D80" w:rsidRPr="001A3D80" w:rsidRDefault="001A3D80" w:rsidP="001A3D80">
      <w:pPr>
        <w:rPr>
          <w:rFonts w:asciiTheme="minorHAnsi" w:hAnsiTheme="minorHAnsi" w:cstheme="minorBidi"/>
          <w:i w:val="0"/>
          <w:iCs w:val="0"/>
          <w:smallCaps w:val="0"/>
          <w:color w:val="auto"/>
          <w:u w:val="none"/>
          <w:lang w:val="en-GB"/>
        </w:rPr>
      </w:pPr>
      <w:r w:rsidRPr="001A3D80">
        <w:rPr>
          <w:rFonts w:eastAsia="Times New Roman"/>
          <w:i w:val="0"/>
          <w:iCs w:val="0"/>
          <w:smallCaps w:val="0"/>
          <w:color w:val="000000"/>
          <w:kern w:val="0"/>
          <w:u w:val="none"/>
          <w:lang w:eastAsia="en-GB"/>
          <w14:ligatures w14:val="none"/>
        </w:rPr>
        <w:t xml:space="preserve">Under Goan inheritance laws, only half of the estate is freely disposable. The rest devolves to the forced heirs in accordance to </w:t>
      </w:r>
      <w:r w:rsidRPr="001A3D80">
        <w:rPr>
          <w:rFonts w:eastAsia="Times New Roman"/>
          <w:b/>
          <w:bCs w:val="0"/>
          <w:i w:val="0"/>
          <w:iCs w:val="0"/>
          <w:smallCaps w:val="0"/>
          <w:color w:val="000000"/>
          <w:kern w:val="0"/>
          <w:u w:val="none"/>
          <w:lang w:eastAsia="en-GB"/>
          <w14:ligatures w14:val="none"/>
        </w:rPr>
        <w:t>§83</w:t>
      </w:r>
      <w:r w:rsidRPr="001A3D80">
        <w:rPr>
          <w:rFonts w:eastAsia="Times New Roman"/>
          <w:i w:val="0"/>
          <w:iCs w:val="0"/>
          <w:smallCaps w:val="0"/>
          <w:color w:val="000000"/>
          <w:kern w:val="0"/>
          <w:u w:val="none"/>
          <w:lang w:eastAsia="en-GB"/>
          <w14:ligatures w14:val="none"/>
        </w:rPr>
        <w:t>.</w:t>
      </w:r>
      <w:r w:rsidRPr="001A3D80">
        <w:rPr>
          <w:rStyle w:val="FootnoteReference"/>
          <w:rFonts w:eastAsia="Times New Roman"/>
          <w:i w:val="0"/>
          <w:iCs w:val="0"/>
          <w:smallCaps w:val="0"/>
          <w:color w:val="000000"/>
          <w:kern w:val="0"/>
          <w:u w:val="none"/>
          <w:lang w:eastAsia="en-GB"/>
          <w14:ligatures w14:val="none"/>
        </w:rPr>
        <w:footnoteReference w:id="17"/>
      </w:r>
    </w:p>
    <w:p w14:paraId="0EFA3CEF" w14:textId="77777777" w:rsidR="001A3D80" w:rsidRPr="001A3D80" w:rsidRDefault="001A3D80" w:rsidP="001A3D80">
      <w:pPr>
        <w:rPr>
          <w:rFonts w:eastAsia="Times New Roman"/>
          <w:i w:val="0"/>
          <w:iCs w:val="0"/>
          <w:smallCaps w:val="0"/>
          <w:kern w:val="0"/>
          <w:u w:val="none"/>
          <w:lang w:eastAsia="en-GB"/>
          <w14:ligatures w14:val="none"/>
        </w:rPr>
      </w:pPr>
    </w:p>
    <w:p w14:paraId="7EC54268" w14:textId="77777777" w:rsidR="001A3D80" w:rsidRDefault="001A3D80" w:rsidP="001A3D80">
      <w:pPr>
        <w:rPr>
          <w:rFonts w:eastAsia="Times New Roman"/>
          <w:i w:val="0"/>
          <w:iCs w:val="0"/>
          <w:smallCaps w:val="0"/>
          <w:kern w:val="0"/>
          <w:u w:val="none"/>
          <w:lang w:eastAsia="en-GB"/>
          <w14:ligatures w14:val="none"/>
        </w:rPr>
      </w:pPr>
      <w:r w:rsidRPr="001A3D80">
        <w:rPr>
          <w:rFonts w:eastAsia="Times New Roman"/>
          <w:i w:val="0"/>
          <w:iCs w:val="0"/>
          <w:smallCaps w:val="0"/>
          <w:color w:val="000000"/>
          <w:kern w:val="0"/>
          <w:u w:val="none"/>
          <w:lang w:eastAsia="en-GB"/>
          <w14:ligatures w14:val="none"/>
        </w:rPr>
        <w:t>In most other personal laws, there is no restriction on the extent to which property is bequeathable by will (to strangers and non-strangers alike). This difference arises due to the principle that dependents should not be left without any manner of maintaining himself. Ian Brassington’s “On Rights of Inheritance and Bequest” supplements this.</w:t>
      </w:r>
      <w:r w:rsidRPr="001A3D80">
        <w:rPr>
          <w:rStyle w:val="FootnoteReference"/>
          <w:rFonts w:eastAsia="Times New Roman"/>
          <w:i w:val="0"/>
          <w:iCs w:val="0"/>
          <w:smallCaps w:val="0"/>
          <w:color w:val="000000"/>
          <w:kern w:val="0"/>
          <w:u w:val="none"/>
          <w:lang w:eastAsia="en-GB"/>
          <w14:ligatures w14:val="none"/>
        </w:rPr>
        <w:footnoteReference w:id="18"/>
      </w:r>
      <w:r w:rsidRPr="001A3D80">
        <w:rPr>
          <w:rFonts w:eastAsia="Times New Roman"/>
          <w:i w:val="0"/>
          <w:iCs w:val="0"/>
          <w:smallCaps w:val="0"/>
          <w:color w:val="000000"/>
          <w:kern w:val="0"/>
          <w:u w:val="none"/>
          <w:lang w:eastAsia="en-GB"/>
          <w14:ligatures w14:val="none"/>
        </w:rPr>
        <w:t xml:space="preserve"> Restricting testamentary freedom in favour of dependents is grounded in interest-rights as opposed to choice-rights. Even if individuals have interests in succession, it is possible and more justifiable that community interests exist, served by restrictions on those rights. By extension, forced heirship serves community interests by not leaving dependants desolate which manifests itself in the form of forced heirship. Therefore, it is not an ‘impermissible restriction’ on individual property rights.</w:t>
      </w:r>
    </w:p>
    <w:p w14:paraId="1BD22C77" w14:textId="4EFDEEF6" w:rsidR="001A3D80" w:rsidRPr="001A3D80" w:rsidRDefault="001A3D80" w:rsidP="001A3D80">
      <w:pPr>
        <w:rPr>
          <w:rFonts w:eastAsia="Times New Roman"/>
          <w:i w:val="0"/>
          <w:iCs w:val="0"/>
          <w:smallCaps w:val="0"/>
          <w:kern w:val="0"/>
          <w:u w:val="none"/>
          <w:lang w:eastAsia="en-GB"/>
          <w14:ligatures w14:val="none"/>
        </w:rPr>
      </w:pPr>
      <w:r w:rsidRPr="001A3D80">
        <w:rPr>
          <w:rFonts w:eastAsia="Times New Roman"/>
          <w:i w:val="0"/>
          <w:iCs w:val="0"/>
          <w:smallCaps w:val="0"/>
          <w:color w:val="000000"/>
          <w:kern w:val="0"/>
          <w:u w:val="none"/>
          <w:lang w:eastAsia="en-GB"/>
          <w14:ligatures w14:val="none"/>
        </w:rPr>
        <w:lastRenderedPageBreak/>
        <w:t>There is nothing more to say on this matter.</w:t>
      </w:r>
    </w:p>
    <w:p w14:paraId="69009DBB" w14:textId="77777777" w:rsidR="001A3D80" w:rsidRPr="001A3D80" w:rsidRDefault="001A3D80" w:rsidP="001A3D80">
      <w:pPr>
        <w:rPr>
          <w:rFonts w:eastAsia="Times New Roman"/>
          <w:i w:val="0"/>
          <w:iCs w:val="0"/>
          <w:smallCaps w:val="0"/>
          <w:kern w:val="0"/>
          <w:u w:val="none"/>
          <w:lang w:eastAsia="en-GB"/>
          <w14:ligatures w14:val="none"/>
        </w:rPr>
      </w:pPr>
    </w:p>
    <w:p w14:paraId="57AFFA3B" w14:textId="70919753" w:rsidR="001A3D80" w:rsidRPr="001A3D80" w:rsidRDefault="001A3D80" w:rsidP="001A3D80">
      <w:pPr>
        <w:rPr>
          <w:rFonts w:eastAsia="Times New Roman"/>
          <w:i w:val="0"/>
          <w:iCs w:val="0"/>
          <w:smallCaps w:val="0"/>
          <w:kern w:val="0"/>
          <w:u w:val="none"/>
          <w:lang w:eastAsia="en-GB"/>
          <w14:ligatures w14:val="none"/>
        </w:rPr>
      </w:pPr>
      <w:r w:rsidRPr="001A3D80">
        <w:rPr>
          <w:rFonts w:eastAsia="Times New Roman"/>
          <w:i w:val="0"/>
          <w:iCs w:val="0"/>
          <w:smallCaps w:val="0"/>
          <w:color w:val="000000"/>
          <w:kern w:val="0"/>
          <w:u w:val="none"/>
          <w:lang w:eastAsia="en-GB"/>
          <w14:ligatures w14:val="none"/>
        </w:rPr>
        <w:t>Forced heirship and matrimonial communion of property stand at the opposite end from the UCC which is focused on an individual testator’s will. Being incommensurable models, the UCC cannot wholly subsume this framework. The current one should prevail. </w:t>
      </w:r>
    </w:p>
    <w:p w14:paraId="4A9EC1AE" w14:textId="77777777" w:rsidR="00D1633C" w:rsidRPr="00D1633C" w:rsidRDefault="00D1633C" w:rsidP="00D1633C">
      <w:pPr>
        <w:contextualSpacing/>
        <w:rPr>
          <w:rFonts w:eastAsia="Times New Roman"/>
          <w:bCs w:val="0"/>
          <w:i w:val="0"/>
          <w:iCs w:val="0"/>
          <w:smallCaps w:val="0"/>
          <w:color w:val="000000"/>
          <w:kern w:val="0"/>
          <w:u w:val="none"/>
          <w:lang w:eastAsia="en-GB"/>
          <w14:ligatures w14:val="none"/>
        </w:rPr>
      </w:pPr>
    </w:p>
    <w:p w14:paraId="04636885" w14:textId="6E3A32E0" w:rsidR="00D1633C" w:rsidRPr="00D1633C" w:rsidRDefault="00D1633C" w:rsidP="00D1633C">
      <w:pPr>
        <w:spacing w:after="160"/>
        <w:rPr>
          <w:rFonts w:eastAsia="Calibri"/>
          <w:b/>
          <w:i w:val="0"/>
          <w:iCs w:val="0"/>
          <w:smallCaps w:val="0"/>
          <w:color w:val="auto"/>
          <w:u w:val="none"/>
          <w:lang w:bidi="hi-IN"/>
        </w:rPr>
      </w:pPr>
      <w:r w:rsidRPr="00D1633C">
        <w:rPr>
          <w:rFonts w:eastAsia="Calibri"/>
          <w:b/>
          <w:i w:val="0"/>
          <w:iCs w:val="0"/>
          <w:smallCaps w:val="0"/>
          <w:color w:val="auto"/>
          <w:u w:val="none"/>
          <w:lang w:bidi="hi-IN"/>
        </w:rPr>
        <w:t>Animesh, J.</w:t>
      </w:r>
    </w:p>
    <w:p w14:paraId="1BF359B1" w14:textId="77777777" w:rsidR="00330AB6" w:rsidRPr="00330AB6" w:rsidRDefault="00330AB6" w:rsidP="00330AB6">
      <w:pPr>
        <w:spacing w:after="160"/>
        <w:contextualSpacing/>
        <w:rPr>
          <w:rFonts w:eastAsia="Calibri"/>
          <w:bCs w:val="0"/>
          <w:smallCaps w:val="0"/>
          <w:color w:val="auto"/>
          <w:u w:val="none"/>
          <w:lang w:bidi="hi-IN"/>
        </w:rPr>
      </w:pPr>
      <w:r w:rsidRPr="00330AB6">
        <w:rPr>
          <w:rFonts w:eastAsia="Calibri"/>
          <w:bCs w:val="0"/>
          <w:smallCaps w:val="0"/>
          <w:color w:val="auto"/>
          <w:u w:val="none"/>
          <w:lang w:bidi="hi-IN"/>
        </w:rPr>
        <w:t>“Goa is a shining example of an Indian State which has a uniform civil code applicable to all, regardless of religion except while protecting certain limited rights.”</w:t>
      </w:r>
    </w:p>
    <w:p w14:paraId="61C4A541" w14:textId="77777777" w:rsidR="00330AB6" w:rsidRPr="00330AB6" w:rsidRDefault="00330AB6" w:rsidP="00330AB6">
      <w:pPr>
        <w:spacing w:after="160"/>
        <w:contextualSpacing/>
        <w:jc w:val="right"/>
        <w:rPr>
          <w:rFonts w:eastAsia="Calibri"/>
          <w:b/>
          <w:smallCaps w:val="0"/>
          <w:color w:val="auto"/>
          <w:u w:val="none"/>
          <w:lang w:bidi="hi-IN"/>
        </w:rPr>
      </w:pPr>
      <w:r w:rsidRPr="00330AB6">
        <w:rPr>
          <w:rFonts w:eastAsia="Calibri"/>
          <w:b/>
          <w:smallCaps w:val="0"/>
          <w:color w:val="auto"/>
          <w:u w:val="none"/>
          <w:lang w:bidi="hi-IN"/>
        </w:rPr>
        <w:t>— Jose Paulo Coutinho v. Maria Luiza Valentina Pereira</w:t>
      </w:r>
      <w:r w:rsidRPr="00330AB6">
        <w:rPr>
          <w:rFonts w:eastAsia="Calibri"/>
          <w:b/>
          <w:smallCaps w:val="0"/>
          <w:color w:val="auto"/>
          <w:u w:val="none"/>
          <w:vertAlign w:val="superscript"/>
          <w:lang w:bidi="hi-IN"/>
        </w:rPr>
        <w:footnoteReference w:id="19"/>
      </w:r>
    </w:p>
    <w:p w14:paraId="0B8F3E0F" w14:textId="77777777" w:rsidR="00330AB6" w:rsidRDefault="00330AB6" w:rsidP="00330AB6">
      <w:pPr>
        <w:spacing w:after="160"/>
        <w:contextualSpacing/>
        <w:rPr>
          <w:rFonts w:eastAsia="Calibri"/>
          <w:bCs w:val="0"/>
          <w:smallCaps w:val="0"/>
          <w:color w:val="auto"/>
          <w:u w:val="none"/>
          <w:lang w:bidi="hi-IN"/>
        </w:rPr>
      </w:pPr>
    </w:p>
    <w:p w14:paraId="5004932B" w14:textId="6FAE44B8" w:rsidR="00330AB6" w:rsidRPr="00330AB6" w:rsidRDefault="00330AB6" w:rsidP="00330AB6">
      <w:pPr>
        <w:spacing w:after="160"/>
        <w:contextualSpacing/>
        <w:rPr>
          <w:rFonts w:eastAsia="Calibri"/>
          <w:bCs w:val="0"/>
          <w:i w:val="0"/>
          <w:iCs w:val="0"/>
          <w:smallCaps w:val="0"/>
          <w:color w:val="auto"/>
          <w:u w:val="none"/>
          <w:lang w:bidi="hi-IN"/>
        </w:rPr>
      </w:pPr>
      <w:r w:rsidRPr="00330AB6">
        <w:rPr>
          <w:rFonts w:eastAsia="Calibri"/>
          <w:bCs w:val="0"/>
          <w:i w:val="0"/>
          <w:iCs w:val="0"/>
          <w:smallCaps w:val="0"/>
          <w:color w:val="auto"/>
          <w:u w:val="none"/>
          <w:lang w:bidi="hi-IN"/>
        </w:rPr>
        <w:t xml:space="preserve">The above observation of this Court in Jose Poulo has in recent years acquired almost a canonical status in discussions surrounding desirability of a Uniform Civil Code (“UCC”). However, with the deepest respect to the Bench that so held, I find myself unable to concur with the celebratory character of Goan Succession and Inheritance Law. The Portuguese Civil Code as amended by the Goa Succession, Special Notaries and Inventory Proceeding Act, 2012 (“Goan Succession Act”) does apply uniformly across religious communities, yet its allegiance to century old provisions reveals persistent asymmetries, particularly in relation to women’s rights over property and its management.  </w:t>
      </w:r>
    </w:p>
    <w:p w14:paraId="23530B96" w14:textId="77777777" w:rsidR="00330AB6" w:rsidRPr="00330AB6" w:rsidRDefault="00330AB6" w:rsidP="00330AB6">
      <w:pPr>
        <w:spacing w:after="160"/>
        <w:contextualSpacing/>
        <w:rPr>
          <w:rFonts w:eastAsia="Calibri"/>
          <w:bCs w:val="0"/>
          <w:i w:val="0"/>
          <w:iCs w:val="0"/>
          <w:smallCaps w:val="0"/>
          <w:color w:val="auto"/>
          <w:u w:val="none"/>
          <w:lang w:bidi="hi-IN"/>
        </w:rPr>
      </w:pPr>
    </w:p>
    <w:p w14:paraId="5A8EA951" w14:textId="0627741E" w:rsidR="00330AB6" w:rsidRPr="00330AB6" w:rsidRDefault="00330AB6" w:rsidP="00330AB6">
      <w:pPr>
        <w:spacing w:after="160"/>
        <w:contextualSpacing/>
        <w:rPr>
          <w:rFonts w:eastAsia="Calibri"/>
          <w:bCs w:val="0"/>
          <w:i w:val="0"/>
          <w:iCs w:val="0"/>
          <w:smallCaps w:val="0"/>
          <w:color w:val="auto"/>
          <w:u w:val="none"/>
          <w:lang w:bidi="hi-IN"/>
        </w:rPr>
      </w:pPr>
      <w:r w:rsidRPr="00330AB6">
        <w:rPr>
          <w:rFonts w:eastAsia="Calibri"/>
          <w:bCs w:val="0"/>
          <w:i w:val="0"/>
          <w:iCs w:val="0"/>
          <w:smallCaps w:val="0"/>
          <w:color w:val="auto"/>
          <w:u w:val="none"/>
          <w:lang w:bidi="hi-IN"/>
        </w:rPr>
        <w:t>The present reference requires this Court to determine “whether the doctrines of forced heirship and communion of assets can be subsumed under the proposed U</w:t>
      </w:r>
      <w:r w:rsidR="00896225">
        <w:rPr>
          <w:rFonts w:eastAsia="Calibri"/>
          <w:bCs w:val="0"/>
          <w:i w:val="0"/>
          <w:iCs w:val="0"/>
          <w:smallCaps w:val="0"/>
          <w:color w:val="auto"/>
          <w:u w:val="none"/>
          <w:lang w:bidi="hi-IN"/>
        </w:rPr>
        <w:t>CC</w:t>
      </w:r>
      <w:r w:rsidRPr="00330AB6">
        <w:rPr>
          <w:rFonts w:eastAsia="Calibri"/>
          <w:bCs w:val="0"/>
          <w:i w:val="0"/>
          <w:iCs w:val="0"/>
          <w:smallCaps w:val="0"/>
          <w:color w:val="auto"/>
          <w:u w:val="none"/>
          <w:lang w:bidi="hi-IN"/>
        </w:rPr>
        <w:t xml:space="preserve">?” I would like to maintain my focus on two sub-issues: (1) Whether the Goan regime constitutes a true model of UCC such that it should exist independent of application of UCC; and (2) whether its core doctrines of forced heirship and matrimonial communion of property be subsumed within the modern, individual-centric UCC? </w:t>
      </w:r>
    </w:p>
    <w:p w14:paraId="7A06F9EC" w14:textId="77777777" w:rsidR="00330AB6" w:rsidRPr="00330AB6" w:rsidRDefault="00330AB6" w:rsidP="00330AB6">
      <w:pPr>
        <w:spacing w:after="160"/>
        <w:contextualSpacing/>
        <w:rPr>
          <w:rFonts w:eastAsia="Calibri"/>
          <w:bCs w:val="0"/>
          <w:i w:val="0"/>
          <w:iCs w:val="0"/>
          <w:smallCaps w:val="0"/>
          <w:color w:val="auto"/>
          <w:u w:val="none"/>
          <w:lang w:bidi="hi-IN"/>
        </w:rPr>
      </w:pPr>
    </w:p>
    <w:p w14:paraId="2E027A51" w14:textId="7B940EC1" w:rsidR="00330AB6" w:rsidRDefault="00330AB6" w:rsidP="00330AB6">
      <w:pPr>
        <w:spacing w:after="160"/>
        <w:contextualSpacing/>
        <w:rPr>
          <w:rFonts w:eastAsia="Calibri"/>
          <w:bCs w:val="0"/>
          <w:i w:val="0"/>
          <w:iCs w:val="0"/>
          <w:smallCaps w:val="0"/>
          <w:color w:val="auto"/>
          <w:u w:val="none"/>
          <w:lang w:bidi="hi-IN"/>
        </w:rPr>
      </w:pPr>
      <w:r w:rsidRPr="00330AB6">
        <w:rPr>
          <w:rFonts w:eastAsia="Calibri"/>
          <w:bCs w:val="0"/>
          <w:i w:val="0"/>
          <w:iCs w:val="0"/>
          <w:smallCaps w:val="0"/>
          <w:color w:val="auto"/>
          <w:u w:val="none"/>
          <w:lang w:bidi="hi-IN"/>
        </w:rPr>
        <w:t xml:space="preserve">The Portuguese Civil Code of 1867, extended to Goa during colonial administration has been long described as a uniform civil code being applicable to all communities in Goa irrespective of sex, religion, caste, etc. However, this uniformity is not absolute due to different religious and customary laws such as those of Gentile Hindus. Hence, what exists in its true form is a quasi-uniform regime as highlighted by Feminist scholarship Prof. Nivedita Menon and Adv. </w:t>
      </w:r>
      <w:r w:rsidRPr="00330AB6">
        <w:rPr>
          <w:rFonts w:eastAsia="Calibri"/>
          <w:bCs w:val="0"/>
          <w:i w:val="0"/>
          <w:iCs w:val="0"/>
          <w:smallCaps w:val="0"/>
          <w:color w:val="auto"/>
          <w:u w:val="none"/>
          <w:lang w:bidi="hi-IN"/>
        </w:rPr>
        <w:lastRenderedPageBreak/>
        <w:t xml:space="preserve">Albertina Almeida. Additionally, the empirical thesis by Prof. Shaila Desouza, head of Centre of Women’s Studies at Goa University substantiates entrenched inequalities in the current Goan regime. </w:t>
      </w:r>
    </w:p>
    <w:p w14:paraId="2111A396" w14:textId="77777777" w:rsidR="00356319" w:rsidRPr="00330AB6" w:rsidRDefault="00356319" w:rsidP="00330AB6">
      <w:pPr>
        <w:spacing w:after="160"/>
        <w:contextualSpacing/>
        <w:rPr>
          <w:rFonts w:eastAsia="Calibri"/>
          <w:bCs w:val="0"/>
          <w:i w:val="0"/>
          <w:iCs w:val="0"/>
          <w:smallCaps w:val="0"/>
          <w:color w:val="auto"/>
          <w:u w:val="none"/>
          <w:lang w:bidi="hi-IN"/>
        </w:rPr>
      </w:pPr>
    </w:p>
    <w:p w14:paraId="301B52DD" w14:textId="1C72912E" w:rsidR="00330AB6" w:rsidRPr="00330AB6" w:rsidRDefault="00330AB6" w:rsidP="00330AB6">
      <w:pPr>
        <w:spacing w:after="160"/>
        <w:contextualSpacing/>
        <w:rPr>
          <w:rFonts w:eastAsia="Calibri"/>
          <w:bCs w:val="0"/>
          <w:i w:val="0"/>
          <w:iCs w:val="0"/>
          <w:smallCaps w:val="0"/>
          <w:color w:val="auto"/>
          <w:u w:val="none"/>
          <w:lang w:bidi="hi-IN"/>
        </w:rPr>
      </w:pPr>
      <w:r w:rsidRPr="00330AB6">
        <w:rPr>
          <w:rFonts w:eastAsia="Calibri"/>
          <w:bCs w:val="0"/>
          <w:i w:val="0"/>
          <w:iCs w:val="0"/>
          <w:smallCaps w:val="0"/>
          <w:color w:val="auto"/>
          <w:u w:val="none"/>
          <w:lang w:bidi="hi-IN"/>
        </w:rPr>
        <w:t xml:space="preserve">Professor </w:t>
      </w:r>
      <w:r w:rsidR="00A94E6E">
        <w:rPr>
          <w:rFonts w:eastAsia="Calibri"/>
          <w:bCs w:val="0"/>
          <w:i w:val="0"/>
          <w:iCs w:val="0"/>
          <w:smallCaps w:val="0"/>
          <w:color w:val="auto"/>
          <w:u w:val="none"/>
          <w:lang w:bidi="hi-IN"/>
        </w:rPr>
        <w:t xml:space="preserve">Nivedita </w:t>
      </w:r>
      <w:r w:rsidRPr="00330AB6">
        <w:rPr>
          <w:rFonts w:eastAsia="Calibri"/>
          <w:bCs w:val="0"/>
          <w:i w:val="0"/>
          <w:iCs w:val="0"/>
          <w:smallCaps w:val="0"/>
          <w:color w:val="auto"/>
          <w:u w:val="none"/>
          <w:lang w:bidi="hi-IN"/>
        </w:rPr>
        <w:t>Menon has persuasively argued that the Goan code often held up as a model UCC, is neither uniform nor gender-just.</w:t>
      </w:r>
      <w:r w:rsidR="00A94E6E" w:rsidRPr="00330AB6">
        <w:rPr>
          <w:rFonts w:eastAsia="Calibri"/>
          <w:bCs w:val="0"/>
          <w:i w:val="0"/>
          <w:iCs w:val="0"/>
          <w:smallCaps w:val="0"/>
          <w:color w:val="auto"/>
          <w:u w:val="none"/>
          <w:vertAlign w:val="superscript"/>
          <w:lang w:bidi="hi-IN"/>
        </w:rPr>
        <w:footnoteReference w:id="20"/>
      </w:r>
      <w:r w:rsidRPr="00330AB6">
        <w:rPr>
          <w:rFonts w:eastAsia="Calibri"/>
          <w:bCs w:val="0"/>
          <w:i w:val="0"/>
          <w:iCs w:val="0"/>
          <w:smallCaps w:val="0"/>
          <w:color w:val="auto"/>
          <w:u w:val="none"/>
          <w:lang w:bidi="hi-IN"/>
        </w:rPr>
        <w:t xml:space="preserve"> The persistence of influence of Church in Catholic marriages, including its annulment and divorce through unilateral instance of one party on strange grounds of non-consummation of marriage undermine its claim to neutrality.</w:t>
      </w:r>
      <w:r w:rsidRPr="00330AB6">
        <w:rPr>
          <w:rFonts w:eastAsia="Calibri"/>
          <w:bCs w:val="0"/>
          <w:i w:val="0"/>
          <w:iCs w:val="0"/>
          <w:smallCaps w:val="0"/>
          <w:color w:val="auto"/>
          <w:u w:val="none"/>
          <w:vertAlign w:val="superscript"/>
          <w:lang w:bidi="hi-IN"/>
        </w:rPr>
        <w:t xml:space="preserve"> </w:t>
      </w:r>
      <w:r w:rsidRPr="00330AB6">
        <w:rPr>
          <w:rFonts w:eastAsia="Calibri"/>
          <w:bCs w:val="0"/>
          <w:i w:val="0"/>
          <w:iCs w:val="0"/>
          <w:smallCaps w:val="0"/>
          <w:color w:val="auto"/>
          <w:u w:val="none"/>
          <w:vertAlign w:val="superscript"/>
          <w:lang w:bidi="hi-IN"/>
        </w:rPr>
        <w:footnoteReference w:id="21"/>
      </w:r>
      <w:r w:rsidRPr="00330AB6">
        <w:rPr>
          <w:rFonts w:eastAsia="Calibri"/>
          <w:bCs w:val="0"/>
          <w:i w:val="0"/>
          <w:iCs w:val="0"/>
          <w:smallCaps w:val="0"/>
          <w:color w:val="auto"/>
          <w:u w:val="none"/>
          <w:lang w:bidi="hi-IN"/>
        </w:rPr>
        <w:t xml:space="preserve"> Additionally, the “customs and usages” of Hindus of Goa while recognising “limited polygamy” for Hindus,</w:t>
      </w:r>
      <w:r w:rsidRPr="00330AB6">
        <w:rPr>
          <w:rFonts w:eastAsia="Calibri"/>
          <w:bCs w:val="0"/>
          <w:i w:val="0"/>
          <w:iCs w:val="0"/>
          <w:smallCaps w:val="0"/>
          <w:color w:val="auto"/>
          <w:u w:val="none"/>
          <w:vertAlign w:val="superscript"/>
          <w:lang w:bidi="hi-IN"/>
        </w:rPr>
        <w:footnoteReference w:id="22"/>
      </w:r>
      <w:r w:rsidRPr="00330AB6">
        <w:rPr>
          <w:rFonts w:eastAsia="Calibri"/>
          <w:bCs w:val="0"/>
          <w:i w:val="0"/>
          <w:iCs w:val="0"/>
          <w:smallCaps w:val="0"/>
          <w:color w:val="auto"/>
          <w:u w:val="none"/>
          <w:lang w:bidi="hi-IN"/>
        </w:rPr>
        <w:t xml:space="preserve"> has raised concerns for gender justice and reinforcement of patriarchy. The code also lacks adequate protections for women in cases of marital breakdown, including provisions for maintenance, domestic violence, or the equitable division of property upon divorce.</w:t>
      </w:r>
    </w:p>
    <w:p w14:paraId="75D5AB9C" w14:textId="77777777" w:rsidR="00330AB6" w:rsidRPr="00330AB6" w:rsidRDefault="00330AB6" w:rsidP="00330AB6">
      <w:pPr>
        <w:spacing w:after="160"/>
        <w:contextualSpacing/>
        <w:rPr>
          <w:rFonts w:eastAsia="Calibri"/>
          <w:bCs w:val="0"/>
          <w:i w:val="0"/>
          <w:iCs w:val="0"/>
          <w:smallCaps w:val="0"/>
          <w:color w:val="auto"/>
          <w:u w:val="none"/>
          <w:lang w:bidi="hi-IN"/>
        </w:rPr>
      </w:pPr>
    </w:p>
    <w:p w14:paraId="2346AF2B" w14:textId="55E96507" w:rsidR="00330AB6" w:rsidRPr="00330AB6" w:rsidRDefault="00330AB6" w:rsidP="00330AB6">
      <w:pPr>
        <w:spacing w:after="160"/>
        <w:contextualSpacing/>
        <w:rPr>
          <w:rFonts w:eastAsia="Calibri"/>
          <w:bCs w:val="0"/>
          <w:i w:val="0"/>
          <w:iCs w:val="0"/>
          <w:smallCaps w:val="0"/>
          <w:color w:val="auto"/>
          <w:u w:val="none"/>
          <w:lang w:bidi="hi-IN"/>
        </w:rPr>
      </w:pPr>
      <w:r w:rsidRPr="00330AB6">
        <w:rPr>
          <w:rFonts w:eastAsia="Calibri"/>
          <w:bCs w:val="0"/>
          <w:i w:val="0"/>
          <w:iCs w:val="0"/>
          <w:smallCaps w:val="0"/>
          <w:color w:val="auto"/>
          <w:u w:val="none"/>
          <w:lang w:bidi="hi-IN"/>
        </w:rPr>
        <w:t>To complement these issues, Professor Desouza through her study on “Situational Analysis of Women in Goa”</w:t>
      </w:r>
      <w:r w:rsidRPr="00330AB6">
        <w:rPr>
          <w:rFonts w:eastAsia="Calibri"/>
          <w:bCs w:val="0"/>
          <w:i w:val="0"/>
          <w:iCs w:val="0"/>
          <w:smallCaps w:val="0"/>
          <w:color w:val="auto"/>
          <w:u w:val="none"/>
          <w:vertAlign w:val="superscript"/>
          <w:lang w:bidi="hi-IN"/>
        </w:rPr>
        <w:footnoteReference w:id="23"/>
      </w:r>
      <w:r w:rsidRPr="00330AB6">
        <w:rPr>
          <w:rFonts w:eastAsia="Calibri"/>
          <w:bCs w:val="0"/>
          <w:i w:val="0"/>
          <w:iCs w:val="0"/>
          <w:smallCaps w:val="0"/>
          <w:color w:val="auto"/>
          <w:u w:val="none"/>
          <w:lang w:bidi="hi-IN"/>
        </w:rPr>
        <w:t xml:space="preserve"> has highlighted the subtle unequal reality about the neutrally-faceted norms. She argues that while code grants both son and daughters equal share in property, these rights exist only on paper. Very often, daughters get a certain amount of gold at the time of their marriage and are asked to sign off their rights to the family property. </w:t>
      </w:r>
    </w:p>
    <w:p w14:paraId="05B68391" w14:textId="77777777" w:rsidR="00330AB6" w:rsidRPr="00330AB6" w:rsidRDefault="00330AB6" w:rsidP="00330AB6">
      <w:pPr>
        <w:spacing w:after="160"/>
        <w:contextualSpacing/>
        <w:rPr>
          <w:rFonts w:eastAsia="Calibri"/>
          <w:bCs w:val="0"/>
          <w:i w:val="0"/>
          <w:iCs w:val="0"/>
          <w:smallCaps w:val="0"/>
          <w:color w:val="auto"/>
          <w:u w:val="none"/>
          <w:lang w:bidi="hi-IN"/>
        </w:rPr>
      </w:pPr>
    </w:p>
    <w:p w14:paraId="69BAD804" w14:textId="14BF308E" w:rsidR="00330AB6" w:rsidRPr="00330AB6" w:rsidRDefault="00330AB6" w:rsidP="00330AB6">
      <w:pPr>
        <w:spacing w:after="160"/>
        <w:contextualSpacing/>
        <w:rPr>
          <w:rFonts w:eastAsia="Calibri"/>
          <w:bCs w:val="0"/>
          <w:i w:val="0"/>
          <w:iCs w:val="0"/>
          <w:smallCaps w:val="0"/>
          <w:color w:val="auto"/>
          <w:u w:val="none"/>
          <w:lang w:bidi="hi-IN"/>
        </w:rPr>
      </w:pPr>
      <w:r w:rsidRPr="00330AB6">
        <w:rPr>
          <w:rFonts w:eastAsia="Calibri"/>
          <w:bCs w:val="0"/>
          <w:i w:val="0"/>
          <w:iCs w:val="0"/>
          <w:smallCaps w:val="0"/>
          <w:color w:val="auto"/>
          <w:u w:val="none"/>
          <w:lang w:bidi="hi-IN"/>
        </w:rPr>
        <w:t>The doctrine of matrimonial communion of property (</w:t>
      </w:r>
      <w:proofErr w:type="spellStart"/>
      <w:r w:rsidRPr="00330AB6">
        <w:rPr>
          <w:rFonts w:eastAsia="Calibri"/>
          <w:bCs w:val="0"/>
          <w:i w:val="0"/>
          <w:iCs w:val="0"/>
          <w:smallCaps w:val="0"/>
          <w:color w:val="auto"/>
          <w:u w:val="none"/>
          <w:lang w:bidi="hi-IN"/>
        </w:rPr>
        <w:t>comunhão</w:t>
      </w:r>
      <w:proofErr w:type="spellEnd"/>
      <w:r w:rsidRPr="00330AB6">
        <w:rPr>
          <w:rFonts w:eastAsia="Calibri"/>
          <w:bCs w:val="0"/>
          <w:i w:val="0"/>
          <w:iCs w:val="0"/>
          <w:smallCaps w:val="0"/>
          <w:color w:val="auto"/>
          <w:u w:val="none"/>
          <w:lang w:bidi="hi-IN"/>
        </w:rPr>
        <w:t xml:space="preserve"> de bens) further creates some ambiguity around uniform nature of Goan code. Under Article 1108 of the Code, a marriage creates an automatic communion of assets between spouses which includes all their assets brought before or acquired after the marriage.</w:t>
      </w:r>
      <w:r w:rsidRPr="00330AB6">
        <w:rPr>
          <w:rFonts w:eastAsia="Calibri"/>
          <w:bCs w:val="0"/>
          <w:i w:val="0"/>
          <w:iCs w:val="0"/>
          <w:smallCaps w:val="0"/>
          <w:color w:val="auto"/>
          <w:u w:val="none"/>
          <w:vertAlign w:val="superscript"/>
          <w:lang w:bidi="hi-IN"/>
        </w:rPr>
        <w:footnoteReference w:id="24"/>
      </w:r>
      <w:r w:rsidRPr="00330AB6">
        <w:rPr>
          <w:rFonts w:eastAsia="Calibri"/>
          <w:bCs w:val="0"/>
          <w:i w:val="0"/>
          <w:iCs w:val="0"/>
          <w:smallCaps w:val="0"/>
          <w:color w:val="auto"/>
          <w:u w:val="none"/>
          <w:lang w:bidi="hi-IN"/>
        </w:rPr>
        <w:t xml:space="preserve"> However, Article 1117 allows the administration of assets of the couple only with the husband.</w:t>
      </w:r>
      <w:r w:rsidRPr="00330AB6">
        <w:rPr>
          <w:rFonts w:eastAsia="Calibri"/>
          <w:bCs w:val="0"/>
          <w:i w:val="0"/>
          <w:iCs w:val="0"/>
          <w:smallCaps w:val="0"/>
          <w:color w:val="auto"/>
          <w:u w:val="none"/>
          <w:vertAlign w:val="superscript"/>
          <w:lang w:bidi="hi-IN"/>
        </w:rPr>
        <w:footnoteReference w:id="25"/>
      </w:r>
      <w:r w:rsidRPr="00330AB6">
        <w:rPr>
          <w:rFonts w:eastAsia="Calibri"/>
          <w:bCs w:val="0"/>
          <w:i w:val="0"/>
          <w:iCs w:val="0"/>
          <w:smallCaps w:val="0"/>
          <w:color w:val="auto"/>
          <w:u w:val="none"/>
          <w:lang w:bidi="hi-IN"/>
        </w:rPr>
        <w:t xml:space="preserve"> This separation between ownership and control of property renders the legal entitlement of wife merely as a legal fiction. Even for those who opt out of this joint ownership of properties, the 2012 Goa Succession Act </w:t>
      </w:r>
      <w:r w:rsidRPr="00330AB6">
        <w:rPr>
          <w:rFonts w:eastAsia="Calibri"/>
          <w:bCs w:val="0"/>
          <w:i w:val="0"/>
          <w:iCs w:val="0"/>
          <w:smallCaps w:val="0"/>
          <w:color w:val="auto"/>
          <w:u w:val="none"/>
          <w:lang w:bidi="hi-IN"/>
        </w:rPr>
        <w:lastRenderedPageBreak/>
        <w:t>reduces status of surviving spouse at fourth in the preference of legal succession, after descendants, parents and siblings.</w:t>
      </w:r>
      <w:r w:rsidRPr="00330AB6">
        <w:rPr>
          <w:rFonts w:eastAsia="Calibri"/>
          <w:bCs w:val="0"/>
          <w:i w:val="0"/>
          <w:iCs w:val="0"/>
          <w:smallCaps w:val="0"/>
          <w:color w:val="auto"/>
          <w:u w:val="none"/>
          <w:vertAlign w:val="superscript"/>
          <w:lang w:bidi="hi-IN"/>
        </w:rPr>
        <w:footnoteReference w:id="26"/>
      </w:r>
      <w:r w:rsidRPr="00330AB6">
        <w:rPr>
          <w:rFonts w:eastAsia="Calibri"/>
          <w:bCs w:val="0"/>
          <w:i w:val="0"/>
          <w:iCs w:val="0"/>
          <w:smallCaps w:val="0"/>
          <w:color w:val="auto"/>
          <w:u w:val="none"/>
          <w:lang w:bidi="hi-IN"/>
        </w:rPr>
        <w:t xml:space="preserve"> These laws have real and adverse consequences for women, particularly homemakers and those from economically disadvantaged backgrounds, who are rendered vulnerable in the absence of social and financial support. </w:t>
      </w:r>
    </w:p>
    <w:p w14:paraId="13EF03BE" w14:textId="77777777" w:rsidR="00330AB6" w:rsidRPr="00330AB6" w:rsidRDefault="00330AB6" w:rsidP="00330AB6">
      <w:pPr>
        <w:spacing w:after="160"/>
        <w:contextualSpacing/>
        <w:rPr>
          <w:rFonts w:eastAsia="Calibri"/>
          <w:bCs w:val="0"/>
          <w:i w:val="0"/>
          <w:iCs w:val="0"/>
          <w:smallCaps w:val="0"/>
          <w:color w:val="auto"/>
          <w:u w:val="none"/>
          <w:lang w:bidi="hi-IN"/>
        </w:rPr>
      </w:pPr>
    </w:p>
    <w:p w14:paraId="3FFDF1A9" w14:textId="7974E12A" w:rsidR="00330AB6" w:rsidRPr="00330AB6" w:rsidRDefault="00330AB6" w:rsidP="00330AB6">
      <w:pPr>
        <w:spacing w:after="160"/>
        <w:contextualSpacing/>
        <w:rPr>
          <w:rFonts w:eastAsia="Calibri"/>
          <w:bCs w:val="0"/>
          <w:i w:val="0"/>
          <w:iCs w:val="0"/>
          <w:smallCaps w:val="0"/>
          <w:color w:val="auto"/>
          <w:u w:val="none"/>
          <w:lang w:bidi="hi-IN"/>
        </w:rPr>
      </w:pPr>
      <w:r w:rsidRPr="00330AB6">
        <w:rPr>
          <w:rFonts w:eastAsia="Calibri"/>
          <w:bCs w:val="0"/>
          <w:i w:val="0"/>
          <w:iCs w:val="0"/>
          <w:smallCaps w:val="0"/>
          <w:color w:val="auto"/>
          <w:u w:val="none"/>
          <w:lang w:bidi="hi-IN"/>
        </w:rPr>
        <w:t>Adv. Albertina Almeida observes this framework as “co-existence of inequality with uniformity” where law declares equality in title but denies equality in agency. She argues that gendered stereotype of offering power to ‘manage property’ only to husband authorises him to utilise the assets without the consent of wife. For example, a husband as a “manager” of property can rent out the premises and even transfer the shares in a cooperative society without wife’s consent. On top of this wife is legally permitted only the right to receive part of income from her assets for pocket expenses on the condition that this amount is not excess of one-third of the net income.</w:t>
      </w:r>
      <w:r w:rsidRPr="00330AB6">
        <w:rPr>
          <w:rFonts w:eastAsia="Calibri"/>
          <w:bCs w:val="0"/>
          <w:i w:val="0"/>
          <w:iCs w:val="0"/>
          <w:smallCaps w:val="0"/>
          <w:color w:val="auto"/>
          <w:u w:val="none"/>
          <w:vertAlign w:val="superscript"/>
          <w:lang w:bidi="hi-IN"/>
        </w:rPr>
        <w:footnoteReference w:id="27"/>
      </w:r>
    </w:p>
    <w:p w14:paraId="263FD256" w14:textId="77777777" w:rsidR="00330AB6" w:rsidRPr="00330AB6" w:rsidRDefault="00330AB6" w:rsidP="00330AB6">
      <w:pPr>
        <w:spacing w:after="160"/>
        <w:contextualSpacing/>
        <w:rPr>
          <w:rFonts w:eastAsia="Calibri"/>
          <w:bCs w:val="0"/>
          <w:i w:val="0"/>
          <w:iCs w:val="0"/>
          <w:smallCaps w:val="0"/>
          <w:color w:val="auto"/>
          <w:u w:val="none"/>
          <w:lang w:bidi="hi-IN"/>
        </w:rPr>
      </w:pPr>
    </w:p>
    <w:p w14:paraId="0C2CC2EE" w14:textId="44E1D1F1" w:rsidR="00330AB6" w:rsidRPr="00330AB6" w:rsidRDefault="00330AB6" w:rsidP="00330AB6">
      <w:pPr>
        <w:spacing w:after="160"/>
        <w:contextualSpacing/>
        <w:rPr>
          <w:rFonts w:eastAsia="Calibri"/>
          <w:bCs w:val="0"/>
          <w:i w:val="0"/>
          <w:iCs w:val="0"/>
          <w:smallCaps w:val="0"/>
          <w:color w:val="auto"/>
          <w:u w:val="none"/>
          <w:lang w:bidi="hi-IN"/>
        </w:rPr>
      </w:pPr>
      <w:r w:rsidRPr="00330AB6">
        <w:rPr>
          <w:rFonts w:eastAsia="Calibri"/>
          <w:bCs w:val="0"/>
          <w:i w:val="0"/>
          <w:iCs w:val="0"/>
          <w:smallCaps w:val="0"/>
          <w:color w:val="auto"/>
          <w:u w:val="none"/>
          <w:lang w:bidi="hi-IN"/>
        </w:rPr>
        <w:t>The persistence of this 150-year-old arrangement becomes more surprising when compared with Portugal itself which amended its local laws to include only communion of acquired assets.</w:t>
      </w:r>
      <w:r w:rsidRPr="00330AB6">
        <w:rPr>
          <w:rFonts w:eastAsia="Calibri"/>
          <w:bCs w:val="0"/>
          <w:i w:val="0"/>
          <w:iCs w:val="0"/>
          <w:smallCaps w:val="0"/>
          <w:color w:val="auto"/>
          <w:u w:val="none"/>
          <w:vertAlign w:val="superscript"/>
          <w:lang w:bidi="hi-IN"/>
        </w:rPr>
        <w:t xml:space="preserve"> </w:t>
      </w:r>
      <w:r w:rsidRPr="00330AB6">
        <w:rPr>
          <w:rFonts w:eastAsia="Calibri"/>
          <w:bCs w:val="0"/>
          <w:i w:val="0"/>
          <w:iCs w:val="0"/>
          <w:smallCaps w:val="0"/>
          <w:color w:val="auto"/>
          <w:u w:val="none"/>
          <w:vertAlign w:val="superscript"/>
          <w:lang w:bidi="hi-IN"/>
        </w:rPr>
        <w:footnoteReference w:id="28"/>
      </w:r>
      <w:r w:rsidRPr="00330AB6">
        <w:rPr>
          <w:rFonts w:eastAsia="Calibri"/>
          <w:bCs w:val="0"/>
          <w:i w:val="0"/>
          <w:iCs w:val="0"/>
          <w:smallCaps w:val="0"/>
          <w:color w:val="auto"/>
          <w:u w:val="none"/>
          <w:lang w:bidi="hi-IN"/>
        </w:rPr>
        <w:t xml:space="preserve"> The approach of Portugal resembles a relaxation of bond between spouses in modern era which no longer needs perpetual union of two persons and shift towards individualistic notion of marriage. </w:t>
      </w:r>
    </w:p>
    <w:p w14:paraId="3AC4C9BB" w14:textId="2A7BEFCA" w:rsidR="00330AB6" w:rsidRPr="00330AB6" w:rsidRDefault="00330AB6" w:rsidP="00330AB6">
      <w:pPr>
        <w:spacing w:after="160"/>
        <w:contextualSpacing/>
        <w:rPr>
          <w:rFonts w:eastAsia="Calibri"/>
          <w:bCs w:val="0"/>
          <w:i w:val="0"/>
          <w:iCs w:val="0"/>
          <w:smallCaps w:val="0"/>
          <w:color w:val="auto"/>
          <w:u w:val="none"/>
          <w:lang w:bidi="hi-IN"/>
        </w:rPr>
      </w:pPr>
    </w:p>
    <w:p w14:paraId="2C3ED278" w14:textId="1275582F" w:rsidR="00330AB6" w:rsidRPr="00330AB6" w:rsidRDefault="00330AB6" w:rsidP="00330AB6">
      <w:pPr>
        <w:spacing w:after="160"/>
        <w:contextualSpacing/>
        <w:rPr>
          <w:rFonts w:eastAsia="Calibri"/>
          <w:bCs w:val="0"/>
          <w:i w:val="0"/>
          <w:iCs w:val="0"/>
          <w:smallCaps w:val="0"/>
          <w:color w:val="auto"/>
          <w:u w:val="none"/>
          <w:lang w:bidi="hi-IN"/>
        </w:rPr>
      </w:pPr>
      <w:r w:rsidRPr="00330AB6">
        <w:rPr>
          <w:rFonts w:eastAsia="Calibri"/>
          <w:bCs w:val="0"/>
          <w:i w:val="0"/>
          <w:iCs w:val="0"/>
          <w:smallCaps w:val="0"/>
          <w:color w:val="auto"/>
          <w:u w:val="none"/>
          <w:lang w:bidi="hi-IN"/>
        </w:rPr>
        <w:t>International obligations such as Convention on Elimination of All Forms of Discrimination Against Women (CEDAW) provides women the right to own and administer property without discrimination.</w:t>
      </w:r>
      <w:r w:rsidRPr="00330AB6">
        <w:rPr>
          <w:rFonts w:eastAsia="Calibri"/>
          <w:bCs w:val="0"/>
          <w:i w:val="0"/>
          <w:iCs w:val="0"/>
          <w:smallCaps w:val="0"/>
          <w:color w:val="auto"/>
          <w:u w:val="none"/>
          <w:vertAlign w:val="superscript"/>
          <w:lang w:bidi="hi-IN"/>
        </w:rPr>
        <w:footnoteReference w:id="29"/>
      </w:r>
      <w:r w:rsidRPr="00330AB6">
        <w:rPr>
          <w:rFonts w:eastAsia="Calibri"/>
          <w:bCs w:val="0"/>
          <w:i w:val="0"/>
          <w:iCs w:val="0"/>
          <w:smallCaps w:val="0"/>
          <w:color w:val="auto"/>
          <w:u w:val="none"/>
          <w:lang w:bidi="hi-IN"/>
        </w:rPr>
        <w:t xml:space="preserve"> Additionally, Resolution 15 of the Sub Commission of Promotion and Protection of Human Rights on “Women and Right to Land, Property and Adequate Housing” recognises discrimination against women in respect of securing a land as violation of human rights law.</w:t>
      </w:r>
      <w:r w:rsidRPr="00330AB6">
        <w:rPr>
          <w:rFonts w:eastAsia="Calibri"/>
          <w:bCs w:val="0"/>
          <w:i w:val="0"/>
          <w:iCs w:val="0"/>
          <w:smallCaps w:val="0"/>
          <w:color w:val="auto"/>
          <w:u w:val="none"/>
          <w:vertAlign w:val="superscript"/>
          <w:lang w:bidi="hi-IN"/>
        </w:rPr>
        <w:footnoteReference w:id="30"/>
      </w:r>
      <w:r w:rsidRPr="00330AB6">
        <w:rPr>
          <w:rFonts w:eastAsia="Calibri"/>
          <w:bCs w:val="0"/>
          <w:i w:val="0"/>
          <w:iCs w:val="0"/>
          <w:smallCaps w:val="0"/>
          <w:color w:val="auto"/>
          <w:u w:val="none"/>
          <w:lang w:bidi="hi-IN"/>
        </w:rPr>
        <w:t xml:space="preserve"> India being a signatory to both these conventions owes an obligation and commitment to gender equality which cannot be achieved while entertaining these unequal laws. </w:t>
      </w:r>
    </w:p>
    <w:p w14:paraId="532C1CB1" w14:textId="77777777" w:rsidR="00330AB6" w:rsidRPr="00330AB6" w:rsidRDefault="00330AB6" w:rsidP="00330AB6">
      <w:pPr>
        <w:spacing w:after="160"/>
        <w:contextualSpacing/>
        <w:rPr>
          <w:rFonts w:eastAsia="Calibri"/>
          <w:bCs w:val="0"/>
          <w:i w:val="0"/>
          <w:iCs w:val="0"/>
          <w:smallCaps w:val="0"/>
          <w:color w:val="auto"/>
          <w:u w:val="none"/>
          <w:lang w:bidi="hi-IN"/>
        </w:rPr>
      </w:pPr>
    </w:p>
    <w:p w14:paraId="011D0D4E" w14:textId="4E464CFD" w:rsidR="00330AB6" w:rsidRPr="00330AB6" w:rsidRDefault="00330AB6" w:rsidP="00330AB6">
      <w:pPr>
        <w:spacing w:after="160"/>
        <w:contextualSpacing/>
        <w:rPr>
          <w:rFonts w:eastAsia="Calibri"/>
          <w:bCs w:val="0"/>
          <w:i w:val="0"/>
          <w:iCs w:val="0"/>
          <w:smallCaps w:val="0"/>
          <w:color w:val="auto"/>
          <w:u w:val="none"/>
          <w:lang w:bidi="hi-IN"/>
        </w:rPr>
      </w:pPr>
      <w:r w:rsidRPr="00330AB6">
        <w:rPr>
          <w:rFonts w:eastAsia="Calibri"/>
          <w:bCs w:val="0"/>
          <w:i w:val="0"/>
          <w:iCs w:val="0"/>
          <w:smallCaps w:val="0"/>
          <w:color w:val="auto"/>
          <w:u w:val="none"/>
          <w:lang w:bidi="hi-IN"/>
        </w:rPr>
        <w:lastRenderedPageBreak/>
        <w:t xml:space="preserve">The doctrine of forced heirship also presents a parallel challenge to the current regime. Unlike the </w:t>
      </w:r>
      <w:r w:rsidR="00A94E6E">
        <w:rPr>
          <w:rFonts w:eastAsia="Calibri"/>
          <w:bCs w:val="0"/>
          <w:i w:val="0"/>
          <w:iCs w:val="0"/>
          <w:smallCaps w:val="0"/>
          <w:color w:val="auto"/>
          <w:u w:val="none"/>
          <w:lang w:bidi="hi-IN"/>
        </w:rPr>
        <w:t xml:space="preserve">HAS </w:t>
      </w:r>
      <w:r w:rsidRPr="00330AB6">
        <w:rPr>
          <w:rFonts w:eastAsia="Calibri"/>
          <w:bCs w:val="0"/>
          <w:i w:val="0"/>
          <w:iCs w:val="0"/>
          <w:smallCaps w:val="0"/>
          <w:color w:val="auto"/>
          <w:u w:val="none"/>
          <w:lang w:bidi="hi-IN"/>
        </w:rPr>
        <w:t>which grants a wide scope of testamentary powers, Article 1784 of the Portuguese Civil Code forbids allocation of more than half share of the assets through a will.</w:t>
      </w:r>
      <w:r w:rsidRPr="00330AB6">
        <w:rPr>
          <w:rFonts w:eastAsia="Calibri"/>
          <w:bCs w:val="0"/>
          <w:i w:val="0"/>
          <w:iCs w:val="0"/>
          <w:smallCaps w:val="0"/>
          <w:color w:val="auto"/>
          <w:u w:val="none"/>
          <w:vertAlign w:val="superscript"/>
          <w:lang w:bidi="hi-IN"/>
        </w:rPr>
        <w:footnoteReference w:id="31"/>
      </w:r>
      <w:r w:rsidRPr="00330AB6">
        <w:rPr>
          <w:rFonts w:eastAsia="Calibri"/>
          <w:bCs w:val="0"/>
          <w:i w:val="0"/>
          <w:iCs w:val="0"/>
          <w:smallCaps w:val="0"/>
          <w:color w:val="auto"/>
          <w:u w:val="none"/>
          <w:lang w:bidi="hi-IN"/>
        </w:rPr>
        <w:t xml:space="preserve"> Thus, 50% of the property i.e. </w:t>
      </w:r>
      <w:proofErr w:type="spellStart"/>
      <w:r w:rsidRPr="00330AB6">
        <w:rPr>
          <w:rFonts w:eastAsia="Calibri"/>
          <w:bCs w:val="0"/>
          <w:i w:val="0"/>
          <w:iCs w:val="0"/>
          <w:smallCaps w:val="0"/>
          <w:color w:val="auto"/>
          <w:u w:val="none"/>
          <w:lang w:bidi="hi-IN"/>
        </w:rPr>
        <w:t>legitme</w:t>
      </w:r>
      <w:proofErr w:type="spellEnd"/>
      <w:r w:rsidRPr="00330AB6">
        <w:rPr>
          <w:rFonts w:eastAsia="Calibri"/>
          <w:bCs w:val="0"/>
          <w:i w:val="0"/>
          <w:iCs w:val="0"/>
          <w:smallCaps w:val="0"/>
          <w:color w:val="auto"/>
          <w:u w:val="none"/>
          <w:lang w:bidi="hi-IN"/>
        </w:rPr>
        <w:t xml:space="preserve"> is reserved for mandatory heirs which cannot be willed. This doctrine is premised on a conception of property as belonging to family lineage rather than focussing on modern conception of individual autonomy. </w:t>
      </w:r>
    </w:p>
    <w:p w14:paraId="66C59DCB" w14:textId="77777777" w:rsidR="00330AB6" w:rsidRPr="00330AB6" w:rsidRDefault="00330AB6" w:rsidP="00330AB6">
      <w:pPr>
        <w:spacing w:after="160"/>
        <w:contextualSpacing/>
        <w:rPr>
          <w:rFonts w:eastAsia="Calibri"/>
          <w:bCs w:val="0"/>
          <w:i w:val="0"/>
          <w:iCs w:val="0"/>
          <w:smallCaps w:val="0"/>
          <w:color w:val="auto"/>
          <w:u w:val="none"/>
          <w:lang w:bidi="hi-IN"/>
        </w:rPr>
      </w:pPr>
    </w:p>
    <w:p w14:paraId="5294164B" w14:textId="5C5C94CF" w:rsidR="00330AB6" w:rsidRPr="00330AB6" w:rsidRDefault="00330AB6" w:rsidP="00330AB6">
      <w:pPr>
        <w:spacing w:after="160"/>
        <w:contextualSpacing/>
        <w:rPr>
          <w:rFonts w:eastAsia="Calibri"/>
          <w:bCs w:val="0"/>
          <w:i w:val="0"/>
          <w:iCs w:val="0"/>
          <w:smallCaps w:val="0"/>
          <w:color w:val="auto"/>
          <w:u w:val="none"/>
          <w:lang w:bidi="hi-IN"/>
        </w:rPr>
      </w:pPr>
      <w:r w:rsidRPr="00330AB6">
        <w:rPr>
          <w:rFonts w:eastAsia="Calibri"/>
          <w:bCs w:val="0"/>
          <w:i w:val="0"/>
          <w:iCs w:val="0"/>
          <w:smallCaps w:val="0"/>
          <w:color w:val="auto"/>
          <w:u w:val="none"/>
          <w:lang w:bidi="hi-IN"/>
        </w:rPr>
        <w:t>Testamentary freedom to distribute property according to one’s own desires is central incident of the ownership of property. Scholars such as Meanie B. Leslie</w:t>
      </w:r>
      <w:r w:rsidRPr="00330AB6">
        <w:rPr>
          <w:rFonts w:eastAsia="Calibri"/>
          <w:bCs w:val="0"/>
          <w:i w:val="0"/>
          <w:iCs w:val="0"/>
          <w:smallCaps w:val="0"/>
          <w:color w:val="auto"/>
          <w:u w:val="none"/>
          <w:vertAlign w:val="superscript"/>
          <w:lang w:bidi="hi-IN"/>
        </w:rPr>
        <w:footnoteReference w:id="32"/>
      </w:r>
      <w:r w:rsidRPr="00330AB6">
        <w:rPr>
          <w:rFonts w:eastAsia="Calibri"/>
          <w:bCs w:val="0"/>
          <w:i w:val="0"/>
          <w:iCs w:val="0"/>
          <w:smallCaps w:val="0"/>
          <w:color w:val="auto"/>
          <w:u w:val="none"/>
          <w:lang w:bidi="hi-IN"/>
        </w:rPr>
        <w:t xml:space="preserve"> and Kevin Maillard</w:t>
      </w:r>
      <w:r w:rsidRPr="00330AB6">
        <w:rPr>
          <w:rFonts w:eastAsia="Calibri"/>
          <w:bCs w:val="0"/>
          <w:i w:val="0"/>
          <w:iCs w:val="0"/>
          <w:smallCaps w:val="0"/>
          <w:color w:val="auto"/>
          <w:u w:val="none"/>
          <w:vertAlign w:val="superscript"/>
          <w:lang w:bidi="hi-IN"/>
        </w:rPr>
        <w:footnoteReference w:id="33"/>
      </w:r>
      <w:r w:rsidRPr="00330AB6">
        <w:rPr>
          <w:rFonts w:eastAsia="Calibri"/>
          <w:bCs w:val="0"/>
          <w:i w:val="0"/>
          <w:iCs w:val="0"/>
          <w:smallCaps w:val="0"/>
          <w:color w:val="auto"/>
          <w:u w:val="none"/>
          <w:lang w:bidi="hi-IN"/>
        </w:rPr>
        <w:t xml:space="preserve"> have categorically critiqued acts annexation of testamentary freedom by imposition of statutory norms that may not align with testator’s lived relationships. Hence, by mandating distribution of property to biological heirs, it can discourage or prevent testators from providing for their “chosen families”, domestic partners or non-traditional relationships that fall outside of legal framework. </w:t>
      </w:r>
    </w:p>
    <w:p w14:paraId="6D11BBC0" w14:textId="77777777" w:rsidR="00330AB6" w:rsidRPr="00330AB6" w:rsidRDefault="00330AB6" w:rsidP="00330AB6">
      <w:pPr>
        <w:spacing w:after="160"/>
        <w:contextualSpacing/>
        <w:rPr>
          <w:rFonts w:eastAsia="Calibri"/>
          <w:bCs w:val="0"/>
          <w:i w:val="0"/>
          <w:iCs w:val="0"/>
          <w:smallCaps w:val="0"/>
          <w:color w:val="auto"/>
          <w:u w:val="none"/>
          <w:lang w:bidi="hi-IN"/>
        </w:rPr>
      </w:pPr>
    </w:p>
    <w:p w14:paraId="1628147D" w14:textId="2DF00C39" w:rsidR="00330AB6" w:rsidRPr="00330AB6" w:rsidRDefault="00330AB6" w:rsidP="00330AB6">
      <w:pPr>
        <w:spacing w:after="160"/>
        <w:contextualSpacing/>
        <w:rPr>
          <w:rFonts w:eastAsia="Calibri"/>
          <w:bCs w:val="0"/>
          <w:i w:val="0"/>
          <w:iCs w:val="0"/>
          <w:smallCaps w:val="0"/>
          <w:color w:val="auto"/>
          <w:u w:val="none"/>
          <w:lang w:bidi="hi-IN"/>
        </w:rPr>
      </w:pPr>
      <w:r w:rsidRPr="00330AB6">
        <w:rPr>
          <w:rFonts w:eastAsia="Calibri"/>
          <w:bCs w:val="0"/>
          <w:i w:val="0"/>
          <w:iCs w:val="0"/>
          <w:smallCaps w:val="0"/>
          <w:color w:val="auto"/>
          <w:u w:val="none"/>
          <w:lang w:bidi="hi-IN"/>
        </w:rPr>
        <w:t xml:space="preserve">A defence has been raised before us that forced heirship serves a protective function for economically vulnerable members of the family. While this concern seems legitimate, the means of adopted to serve this function must be carefully scrutinised. A system that imposes rigid constraints on autonomy of individuals may inadvertently support dependency among individuals and limit their capability to make meaningful choices regarding allocation of their property. </w:t>
      </w:r>
    </w:p>
    <w:p w14:paraId="40BE4B62" w14:textId="77777777" w:rsidR="00330AB6" w:rsidRPr="00330AB6" w:rsidRDefault="00330AB6" w:rsidP="00330AB6">
      <w:pPr>
        <w:spacing w:after="160"/>
        <w:contextualSpacing/>
        <w:rPr>
          <w:rFonts w:eastAsia="Calibri"/>
          <w:bCs w:val="0"/>
          <w:i w:val="0"/>
          <w:iCs w:val="0"/>
          <w:smallCaps w:val="0"/>
          <w:color w:val="auto"/>
          <w:u w:val="none"/>
          <w:lang w:bidi="hi-IN"/>
        </w:rPr>
      </w:pPr>
    </w:p>
    <w:p w14:paraId="1AA6CB2A" w14:textId="68F12435" w:rsidR="00330AB6" w:rsidRPr="00330AB6" w:rsidRDefault="00330AB6" w:rsidP="00330AB6">
      <w:pPr>
        <w:spacing w:after="160"/>
        <w:contextualSpacing/>
        <w:rPr>
          <w:rFonts w:eastAsia="Calibri"/>
          <w:bCs w:val="0"/>
          <w:i w:val="0"/>
          <w:iCs w:val="0"/>
          <w:smallCaps w:val="0"/>
          <w:color w:val="auto"/>
          <w:u w:val="none"/>
          <w:lang w:bidi="hi-IN"/>
        </w:rPr>
      </w:pPr>
      <w:r w:rsidRPr="00330AB6">
        <w:rPr>
          <w:rFonts w:eastAsia="Calibri"/>
          <w:bCs w:val="0"/>
          <w:i w:val="0"/>
          <w:iCs w:val="0"/>
          <w:smallCaps w:val="0"/>
          <w:color w:val="auto"/>
          <w:u w:val="none"/>
          <w:lang w:bidi="hi-IN"/>
        </w:rPr>
        <w:t>The question then arises is whether these doctrines though internally coherent can be subsumed under modern UCC. In my view, the answer is negative, at least in the present form. The paradigm of Goan regime’s vision of family as a collective economic unit versus focus of UCC on autonomy, choice and equality of agency cannot be easily reconciled. Thus, any attempt at subsumption would require substantial reform of both doctrines</w:t>
      </w:r>
      <w:r w:rsidR="00A94E6E">
        <w:rPr>
          <w:rFonts w:eastAsia="Calibri"/>
          <w:bCs w:val="0"/>
          <w:i w:val="0"/>
          <w:iCs w:val="0"/>
          <w:smallCaps w:val="0"/>
          <w:color w:val="auto"/>
          <w:u w:val="none"/>
          <w:lang w:bidi="hi-IN"/>
        </w:rPr>
        <w:t xml:space="preserve"> which </w:t>
      </w:r>
      <w:r w:rsidRPr="00330AB6">
        <w:rPr>
          <w:rFonts w:eastAsia="Calibri"/>
          <w:bCs w:val="0"/>
          <w:i w:val="0"/>
          <w:iCs w:val="0"/>
          <w:smallCaps w:val="0"/>
          <w:color w:val="auto"/>
          <w:u w:val="none"/>
          <w:lang w:bidi="hi-IN"/>
        </w:rPr>
        <w:t xml:space="preserve">would </w:t>
      </w:r>
      <w:proofErr w:type="spellStart"/>
      <w:r w:rsidR="00A94E6E">
        <w:rPr>
          <w:rFonts w:eastAsia="Calibri"/>
          <w:bCs w:val="0"/>
          <w:i w:val="0"/>
          <w:iCs w:val="0"/>
          <w:smallCaps w:val="0"/>
          <w:color w:val="auto"/>
          <w:u w:val="none"/>
          <w:lang w:bidi="hi-IN"/>
        </w:rPr>
        <w:t>vitate</w:t>
      </w:r>
      <w:proofErr w:type="spellEnd"/>
      <w:r w:rsidR="00A94E6E">
        <w:rPr>
          <w:rFonts w:eastAsia="Calibri"/>
          <w:bCs w:val="0"/>
          <w:i w:val="0"/>
          <w:iCs w:val="0"/>
          <w:smallCaps w:val="0"/>
          <w:color w:val="auto"/>
          <w:u w:val="none"/>
          <w:lang w:bidi="hi-IN"/>
        </w:rPr>
        <w:t xml:space="preserve"> </w:t>
      </w:r>
      <w:r w:rsidRPr="00330AB6">
        <w:rPr>
          <w:rFonts w:eastAsia="Calibri"/>
          <w:bCs w:val="0"/>
          <w:i w:val="0"/>
          <w:iCs w:val="0"/>
          <w:smallCaps w:val="0"/>
          <w:color w:val="auto"/>
          <w:u w:val="none"/>
          <w:lang w:bidi="hi-IN"/>
        </w:rPr>
        <w:t xml:space="preserve">its intent and foundational principles. </w:t>
      </w:r>
    </w:p>
    <w:p w14:paraId="77C260E1" w14:textId="77777777" w:rsidR="00D1633C" w:rsidRPr="00D1633C" w:rsidRDefault="00D1633C" w:rsidP="00D1633C">
      <w:pPr>
        <w:spacing w:after="160"/>
        <w:contextualSpacing/>
        <w:rPr>
          <w:rFonts w:eastAsia="Calibri"/>
          <w:bCs w:val="0"/>
          <w:i w:val="0"/>
          <w:iCs w:val="0"/>
          <w:smallCaps w:val="0"/>
          <w:color w:val="auto"/>
          <w:u w:val="none"/>
          <w:lang w:bidi="hi-IN"/>
        </w:rPr>
      </w:pPr>
    </w:p>
    <w:p w14:paraId="20E0A22C" w14:textId="48280E9C" w:rsidR="00D1633C" w:rsidRDefault="00D1633C" w:rsidP="00356319">
      <w:pPr>
        <w:rPr>
          <w:rFonts w:eastAsia="Aptos"/>
          <w:bCs w:val="0"/>
          <w:i w:val="0"/>
          <w:iCs w:val="0"/>
          <w:smallCaps w:val="0"/>
          <w:color w:val="000000"/>
          <w:u w:val="none"/>
        </w:rPr>
      </w:pPr>
      <w:r w:rsidRPr="00356319">
        <w:rPr>
          <w:rFonts w:eastAsia="Aptos"/>
          <w:b/>
          <w:i w:val="0"/>
          <w:iCs w:val="0"/>
          <w:color w:val="000000"/>
          <w:u w:val="none"/>
        </w:rPr>
        <w:t>M</w:t>
      </w:r>
      <w:r w:rsidR="00356319" w:rsidRPr="00356319">
        <w:rPr>
          <w:rFonts w:eastAsia="Aptos"/>
          <w:b/>
          <w:i w:val="0"/>
          <w:iCs w:val="0"/>
          <w:color w:val="000000"/>
          <w:u w:val="none"/>
        </w:rPr>
        <w:t>anyata</w:t>
      </w:r>
      <w:r w:rsidRPr="00356319">
        <w:rPr>
          <w:rFonts w:eastAsia="Aptos"/>
          <w:b/>
          <w:i w:val="0"/>
          <w:iCs w:val="0"/>
          <w:color w:val="000000"/>
          <w:u w:val="none"/>
        </w:rPr>
        <w:t>, J.</w:t>
      </w:r>
      <w:r w:rsidR="00356319">
        <w:rPr>
          <w:rFonts w:eastAsia="Aptos"/>
          <w:b/>
          <w:color w:val="000000"/>
          <w:u w:val="none"/>
        </w:rPr>
        <w:tab/>
        <w:t xml:space="preserve"> </w:t>
      </w:r>
      <w:r w:rsidRPr="00D1633C">
        <w:rPr>
          <w:rFonts w:eastAsia="Aptos"/>
          <w:bCs w:val="0"/>
          <w:i w:val="0"/>
          <w:iCs w:val="0"/>
          <w:smallCaps w:val="0"/>
          <w:color w:val="000000"/>
          <w:u w:val="none"/>
        </w:rPr>
        <w:t xml:space="preserve">In answering the questions before this court, I shall refrain from engaging with the political motivations behind the enactment of the Uniform Civil Code (UCC), 2029, for the </w:t>
      </w:r>
      <w:r w:rsidRPr="00D1633C">
        <w:rPr>
          <w:rFonts w:eastAsia="Aptos"/>
          <w:bCs w:val="0"/>
          <w:i w:val="0"/>
          <w:iCs w:val="0"/>
          <w:smallCaps w:val="0"/>
          <w:color w:val="000000"/>
          <w:u w:val="none"/>
        </w:rPr>
        <w:lastRenderedPageBreak/>
        <w:t>matter before us concerns simply the question of coherence and continuity of the distinct inheritance systems of Goa and Puducherry, in the light of the recent</w:t>
      </w:r>
      <w:r w:rsidR="00356319">
        <w:rPr>
          <w:rFonts w:eastAsia="Aptos"/>
          <w:bCs w:val="0"/>
          <w:i w:val="0"/>
          <w:iCs w:val="0"/>
          <w:smallCaps w:val="0"/>
          <w:color w:val="000000"/>
          <w:u w:val="none"/>
        </w:rPr>
        <w:t xml:space="preserve"> </w:t>
      </w:r>
      <w:r w:rsidRPr="00D1633C">
        <w:rPr>
          <w:rFonts w:eastAsia="Aptos"/>
          <w:bCs w:val="0"/>
          <w:i w:val="0"/>
          <w:iCs w:val="0"/>
          <w:smallCaps w:val="0"/>
          <w:color w:val="000000"/>
          <w:u w:val="none"/>
        </w:rPr>
        <w:t xml:space="preserve">UCC. My learned </w:t>
      </w:r>
      <w:r w:rsidR="00356319">
        <w:rPr>
          <w:rFonts w:eastAsia="Aptos"/>
          <w:bCs w:val="0"/>
          <w:i w:val="0"/>
          <w:iCs w:val="0"/>
          <w:smallCaps w:val="0"/>
          <w:color w:val="000000"/>
          <w:u w:val="none"/>
        </w:rPr>
        <w:t>CJ</w:t>
      </w:r>
      <w:r w:rsidRPr="00D1633C">
        <w:rPr>
          <w:rFonts w:eastAsia="Aptos"/>
          <w:bCs w:val="0"/>
          <w:i w:val="0"/>
          <w:iCs w:val="0"/>
          <w:smallCaps w:val="0"/>
          <w:color w:val="000000"/>
          <w:u w:val="none"/>
        </w:rPr>
        <w:t xml:space="preserve">, Kunsh, has framed legal question we seek to answer before us with precision. </w:t>
      </w:r>
    </w:p>
    <w:p w14:paraId="7E67AC31" w14:textId="77777777" w:rsidR="00356319" w:rsidRPr="00D1633C" w:rsidRDefault="00356319" w:rsidP="00356319">
      <w:pPr>
        <w:rPr>
          <w:rFonts w:eastAsia="Aptos"/>
          <w:bCs w:val="0"/>
          <w:i w:val="0"/>
          <w:iCs w:val="0"/>
          <w:smallCaps w:val="0"/>
          <w:color w:val="000000"/>
          <w:u w:val="none"/>
        </w:rPr>
      </w:pPr>
    </w:p>
    <w:p w14:paraId="2C1F7D87" w14:textId="2D3C5A71" w:rsidR="00D1633C" w:rsidRDefault="00D1633C" w:rsidP="00D1633C">
      <w:pPr>
        <w:contextualSpacing/>
        <w:rPr>
          <w:rFonts w:eastAsia="Aptos"/>
          <w:bCs w:val="0"/>
          <w:i w:val="0"/>
          <w:iCs w:val="0"/>
          <w:smallCaps w:val="0"/>
          <w:color w:val="000000"/>
          <w:u w:val="none"/>
        </w:rPr>
      </w:pPr>
      <w:r w:rsidRPr="00D1633C">
        <w:rPr>
          <w:rFonts w:eastAsia="Aptos"/>
          <w:bCs w:val="0"/>
          <w:i w:val="0"/>
          <w:iCs w:val="0"/>
          <w:smallCaps w:val="0"/>
          <w:color w:val="000000"/>
          <w:u w:val="none"/>
        </w:rPr>
        <w:t xml:space="preserve">I shall answer </w:t>
      </w:r>
      <w:r w:rsidR="00356319">
        <w:rPr>
          <w:rFonts w:eastAsia="Aptos"/>
          <w:bCs w:val="0"/>
          <w:i w:val="0"/>
          <w:iCs w:val="0"/>
          <w:smallCaps w:val="0"/>
          <w:color w:val="000000"/>
          <w:u w:val="none"/>
        </w:rPr>
        <w:t xml:space="preserve">it </w:t>
      </w:r>
      <w:r w:rsidRPr="00D1633C">
        <w:rPr>
          <w:rFonts w:eastAsia="Aptos"/>
          <w:bCs w:val="0"/>
          <w:i w:val="0"/>
          <w:iCs w:val="0"/>
          <w:smallCaps w:val="0"/>
          <w:color w:val="000000"/>
          <w:u w:val="none"/>
        </w:rPr>
        <w:t xml:space="preserve">in twofold,  first, whether two parallel civil codes can coherently coexist within a single constitutional framework. Second, Whether the model of inheritance under family law in the territories of Goa and Puducherry characterised by  ‘Forced heirship’ and ‘Communion of properties’  is so preferrable as to resist displacement by a nationally enacted UCC. For this part, I shall be dealing only with the </w:t>
      </w:r>
      <w:r w:rsidRPr="00D1633C">
        <w:rPr>
          <w:rFonts w:eastAsia="Aptos"/>
          <w:bCs w:val="0"/>
          <w:smallCaps w:val="0"/>
          <w:color w:val="000000"/>
          <w:u w:val="none"/>
        </w:rPr>
        <w:t>communion of property</w:t>
      </w:r>
      <w:r w:rsidRPr="00D1633C">
        <w:rPr>
          <w:rFonts w:eastAsia="Aptos"/>
          <w:bCs w:val="0"/>
          <w:i w:val="0"/>
          <w:iCs w:val="0"/>
          <w:smallCaps w:val="0"/>
          <w:color w:val="000000"/>
          <w:u w:val="none"/>
        </w:rPr>
        <w:t xml:space="preserve"> aspect. J. Sadhana has laid out the relevant provisions and I shall focus only on the analysis of these provisions at ground level realities.</w:t>
      </w:r>
    </w:p>
    <w:p w14:paraId="141FE44E" w14:textId="77777777" w:rsidR="00D1633C" w:rsidRPr="00D1633C" w:rsidRDefault="00D1633C" w:rsidP="00D1633C">
      <w:pPr>
        <w:contextualSpacing/>
        <w:rPr>
          <w:rFonts w:eastAsia="Aptos"/>
          <w:i w:val="0"/>
          <w:iCs w:val="0"/>
          <w:smallCaps w:val="0"/>
          <w:color w:val="000000"/>
          <w:u w:val="none"/>
        </w:rPr>
      </w:pPr>
    </w:p>
    <w:p w14:paraId="4F1F6E5F" w14:textId="7B549781" w:rsidR="00D1633C" w:rsidRDefault="00D1633C" w:rsidP="00D1633C">
      <w:pPr>
        <w:contextualSpacing/>
        <w:rPr>
          <w:rFonts w:eastAsia="Aptos"/>
          <w:bCs w:val="0"/>
          <w:i w:val="0"/>
          <w:iCs w:val="0"/>
          <w:smallCaps w:val="0"/>
          <w:color w:val="000000"/>
          <w:u w:val="none"/>
        </w:rPr>
      </w:pPr>
      <w:r w:rsidRPr="00D1633C">
        <w:rPr>
          <w:rFonts w:eastAsia="Aptos"/>
          <w:bCs w:val="0"/>
          <w:i w:val="0"/>
          <w:iCs w:val="0"/>
          <w:smallCaps w:val="0"/>
          <w:color w:val="000000"/>
          <w:u w:val="none"/>
        </w:rPr>
        <w:t>The debates surrounding a UCC touching upon concerns of gender Justice, equality, and pluralism are long standing. However, the constitutional vision, as reflected in Article 44, contemplates a civil code that is uniform in application throughout the territory of India. The continued operation of two distinct regimes of inheritance, a borrowing of the colonial past in Goa and Puducherry, is in my opinion not consistent with the object of Article 44.</w:t>
      </w:r>
      <w:r w:rsidRPr="00D1633C">
        <w:rPr>
          <w:rFonts w:eastAsia="Aptos"/>
          <w:bCs w:val="0"/>
          <w:i w:val="0"/>
          <w:iCs w:val="0"/>
          <w:smallCaps w:val="0"/>
          <w:color w:val="000000"/>
          <w:u w:val="none"/>
          <w:vertAlign w:val="superscript"/>
        </w:rPr>
        <w:footnoteReference w:id="34"/>
      </w:r>
      <w:r w:rsidRPr="00D1633C">
        <w:rPr>
          <w:rFonts w:eastAsia="Aptos"/>
          <w:bCs w:val="0"/>
          <w:i w:val="0"/>
          <w:iCs w:val="0"/>
          <w:smallCaps w:val="0"/>
          <w:color w:val="000000"/>
          <w:u w:val="none"/>
        </w:rPr>
        <w:t xml:space="preserve"> </w:t>
      </w:r>
    </w:p>
    <w:p w14:paraId="068002CE" w14:textId="77777777" w:rsidR="00356319" w:rsidRPr="00D1633C" w:rsidRDefault="00356319" w:rsidP="00D1633C">
      <w:pPr>
        <w:contextualSpacing/>
        <w:rPr>
          <w:rFonts w:eastAsia="Aptos"/>
          <w:color w:val="000000"/>
          <w:u w:val="none"/>
        </w:rPr>
      </w:pPr>
    </w:p>
    <w:p w14:paraId="03DA138C" w14:textId="5B6932DD" w:rsidR="00D1633C" w:rsidRDefault="00D1633C" w:rsidP="00D1633C">
      <w:pPr>
        <w:contextualSpacing/>
        <w:rPr>
          <w:rFonts w:eastAsia="Aptos"/>
          <w:bCs w:val="0"/>
          <w:i w:val="0"/>
          <w:iCs w:val="0"/>
          <w:smallCaps w:val="0"/>
          <w:color w:val="000000"/>
          <w:u w:val="none"/>
        </w:rPr>
      </w:pPr>
      <w:r w:rsidRPr="00D1633C">
        <w:rPr>
          <w:rFonts w:eastAsia="Aptos"/>
          <w:bCs w:val="0"/>
          <w:i w:val="0"/>
          <w:iCs w:val="0"/>
          <w:smallCaps w:val="0"/>
          <w:color w:val="000000"/>
          <w:u w:val="none"/>
        </w:rPr>
        <w:t>The Portuguese Civil Code in Goa is often cited as an example of a uniform civil code and is praised for its progressive inheritance laws where assets are shared equally in marriage, irrespective of gender or religion. However, the same requires a careful consideration. In principle, the doctrine of ‘communion of properties’, does present an equitable picture where properties are jointly owned by both husband and wife, unlike the rest of the India where personal laws often discriminate against women and wives are left dependent on husbands. However, a law cannot be analysed adequately and efficiently by ignoring existing realities and its operation in the lives of those it purports to protect.</w:t>
      </w:r>
    </w:p>
    <w:p w14:paraId="33D13A54" w14:textId="77777777" w:rsidR="00D1633C" w:rsidRPr="00D1633C" w:rsidRDefault="00D1633C" w:rsidP="00D1633C">
      <w:pPr>
        <w:contextualSpacing/>
        <w:rPr>
          <w:rFonts w:eastAsia="Aptos"/>
          <w:bCs w:val="0"/>
          <w:i w:val="0"/>
          <w:iCs w:val="0"/>
          <w:smallCaps w:val="0"/>
          <w:color w:val="000000"/>
          <w:u w:val="none"/>
        </w:rPr>
      </w:pPr>
    </w:p>
    <w:p w14:paraId="602C9DF3" w14:textId="0F4DEE8B" w:rsidR="00D1633C" w:rsidRDefault="00D1633C" w:rsidP="00D1633C">
      <w:pPr>
        <w:contextualSpacing/>
        <w:rPr>
          <w:rFonts w:eastAsia="Aptos"/>
          <w:bCs w:val="0"/>
          <w:i w:val="0"/>
          <w:iCs w:val="0"/>
          <w:smallCaps w:val="0"/>
          <w:color w:val="000000"/>
          <w:u w:val="none"/>
        </w:rPr>
      </w:pPr>
      <w:r w:rsidRPr="00D1633C">
        <w:rPr>
          <w:rFonts w:eastAsia="Aptos"/>
          <w:bCs w:val="0"/>
          <w:i w:val="0"/>
          <w:iCs w:val="0"/>
          <w:smallCaps w:val="0"/>
          <w:color w:val="000000"/>
          <w:u w:val="none"/>
        </w:rPr>
        <w:t xml:space="preserve">Scholar Shaila Desouza in uncovering the realities behind these provisions, explains that the benefit of </w:t>
      </w:r>
      <w:proofErr w:type="spellStart"/>
      <w:r w:rsidRPr="00D1633C">
        <w:rPr>
          <w:rFonts w:eastAsia="Aptos"/>
          <w:bCs w:val="0"/>
          <w:smallCaps w:val="0"/>
          <w:color w:val="000000"/>
          <w:u w:val="none"/>
        </w:rPr>
        <w:t>comunhão</w:t>
      </w:r>
      <w:proofErr w:type="spellEnd"/>
      <w:r w:rsidRPr="00D1633C">
        <w:rPr>
          <w:rFonts w:eastAsia="Aptos"/>
          <w:bCs w:val="0"/>
          <w:smallCaps w:val="0"/>
          <w:color w:val="000000"/>
          <w:u w:val="none"/>
        </w:rPr>
        <w:t xml:space="preserve"> de bens</w:t>
      </w:r>
      <w:r w:rsidRPr="00D1633C">
        <w:rPr>
          <w:rFonts w:eastAsia="Aptos"/>
          <w:bCs w:val="0"/>
          <w:i w:val="0"/>
          <w:iCs w:val="0"/>
          <w:smallCaps w:val="0"/>
          <w:color w:val="000000"/>
          <w:u w:val="none"/>
        </w:rPr>
        <w:t xml:space="preserve"> can only be obtained upon the proof of formal recognition of marriage. The procedure governing Registration of marriage under the Goa Civil Code follows a complex system, requiring signing of a prior declaration of  ‘intent to marry’ by the couple before the civil registrar, in absence of any valid objections within the prescribed period, the </w:t>
      </w:r>
      <w:r w:rsidRPr="00D1633C">
        <w:rPr>
          <w:rFonts w:eastAsia="Aptos"/>
          <w:bCs w:val="0"/>
          <w:i w:val="0"/>
          <w:iCs w:val="0"/>
          <w:smallCaps w:val="0"/>
          <w:color w:val="000000"/>
          <w:u w:val="none"/>
        </w:rPr>
        <w:lastRenderedPageBreak/>
        <w:t>parties solemnise the marriage in accordance with their community rites, finally a mandatory registration, before the registrar is made to obtain a valid certificate of marriage.</w:t>
      </w:r>
    </w:p>
    <w:p w14:paraId="2824A251" w14:textId="77777777" w:rsidR="00D1633C" w:rsidRPr="00D1633C" w:rsidRDefault="00D1633C" w:rsidP="00D1633C">
      <w:pPr>
        <w:contextualSpacing/>
        <w:rPr>
          <w:rFonts w:eastAsia="Aptos"/>
          <w:bCs w:val="0"/>
          <w:i w:val="0"/>
          <w:iCs w:val="0"/>
          <w:smallCaps w:val="0"/>
          <w:color w:val="000000"/>
          <w:u w:val="none"/>
        </w:rPr>
      </w:pPr>
    </w:p>
    <w:p w14:paraId="2AB4670B" w14:textId="3354D94E" w:rsidR="00D1633C" w:rsidRDefault="00D1633C" w:rsidP="00D1633C">
      <w:pPr>
        <w:contextualSpacing/>
        <w:rPr>
          <w:rFonts w:eastAsia="Aptos"/>
          <w:bCs w:val="0"/>
          <w:i w:val="0"/>
          <w:iCs w:val="0"/>
          <w:smallCaps w:val="0"/>
          <w:color w:val="000000"/>
          <w:u w:val="none"/>
        </w:rPr>
      </w:pPr>
      <w:r w:rsidRPr="00D1633C">
        <w:rPr>
          <w:rFonts w:eastAsia="Aptos"/>
          <w:bCs w:val="0"/>
          <w:i w:val="0"/>
          <w:iCs w:val="0"/>
          <w:smallCaps w:val="0"/>
          <w:color w:val="000000"/>
          <w:u w:val="none"/>
        </w:rPr>
        <w:t>This system, in practice has proved to generate significant confusion particularly among women, who mistake the signing of the declaration as the registration of marriage, in absence of a formal registration parties are often unable to invoke the statutory regime governing matrimonial property. Thus, when legal recourse is sought in light of matrimonial disputes  they fail to get the benefit of shared assets as they find themselves as unregistered wives with no claim.</w:t>
      </w:r>
      <w:r w:rsidRPr="00D1633C">
        <w:rPr>
          <w:rFonts w:eastAsia="Aptos"/>
          <w:bCs w:val="0"/>
          <w:i w:val="0"/>
          <w:iCs w:val="0"/>
          <w:smallCaps w:val="0"/>
          <w:color w:val="000000"/>
          <w:u w:val="none"/>
          <w:vertAlign w:val="superscript"/>
        </w:rPr>
        <w:footnoteReference w:id="35"/>
      </w:r>
      <w:r w:rsidRPr="00D1633C">
        <w:rPr>
          <w:rFonts w:eastAsia="Aptos"/>
          <w:bCs w:val="0"/>
          <w:i w:val="0"/>
          <w:iCs w:val="0"/>
          <w:smallCaps w:val="0"/>
          <w:color w:val="000000"/>
          <w:u w:val="none"/>
        </w:rPr>
        <w:t xml:space="preserve"> An additional consequence of this regime is the procedural burden placed upon the women who have to go through the tedious process of court to obtain every small belonging of hers. Even the ‘</w:t>
      </w:r>
      <w:proofErr w:type="spellStart"/>
      <w:r w:rsidRPr="00D1633C">
        <w:rPr>
          <w:rFonts w:eastAsia="Aptos"/>
          <w:bCs w:val="0"/>
          <w:smallCaps w:val="0"/>
          <w:color w:val="000000"/>
          <w:u w:val="none"/>
        </w:rPr>
        <w:t>Stridhan</w:t>
      </w:r>
      <w:proofErr w:type="spellEnd"/>
      <w:r w:rsidRPr="00D1633C">
        <w:rPr>
          <w:rFonts w:eastAsia="Aptos"/>
          <w:bCs w:val="0"/>
          <w:i w:val="0"/>
          <w:iCs w:val="0"/>
          <w:smallCaps w:val="0"/>
          <w:color w:val="000000"/>
          <w:u w:val="none"/>
        </w:rPr>
        <w:t>’ the denial of which is considered as an offence under IPC, cannot be claimed by a woman without going through the court under the GCC.</w:t>
      </w:r>
      <w:r w:rsidRPr="00D1633C">
        <w:rPr>
          <w:rFonts w:eastAsia="Aptos"/>
          <w:bCs w:val="0"/>
          <w:i w:val="0"/>
          <w:iCs w:val="0"/>
          <w:smallCaps w:val="0"/>
          <w:color w:val="000000"/>
          <w:u w:val="none"/>
          <w:vertAlign w:val="superscript"/>
        </w:rPr>
        <w:footnoteReference w:id="36"/>
      </w:r>
    </w:p>
    <w:p w14:paraId="1538F2D9" w14:textId="77777777" w:rsidR="00D1633C" w:rsidRPr="00D1633C" w:rsidRDefault="00D1633C" w:rsidP="00D1633C">
      <w:pPr>
        <w:contextualSpacing/>
        <w:rPr>
          <w:rFonts w:eastAsia="Aptos"/>
          <w:bCs w:val="0"/>
          <w:i w:val="0"/>
          <w:iCs w:val="0"/>
          <w:smallCaps w:val="0"/>
          <w:color w:val="000000"/>
          <w:u w:val="none"/>
        </w:rPr>
      </w:pPr>
    </w:p>
    <w:p w14:paraId="65E1DCD2" w14:textId="323C1635" w:rsidR="00D1633C" w:rsidRDefault="00D1633C" w:rsidP="00D1633C">
      <w:pPr>
        <w:contextualSpacing/>
        <w:rPr>
          <w:rFonts w:eastAsia="Aptos"/>
          <w:bCs w:val="0"/>
          <w:i w:val="0"/>
          <w:iCs w:val="0"/>
          <w:smallCaps w:val="0"/>
          <w:color w:val="000000"/>
          <w:u w:val="none"/>
        </w:rPr>
      </w:pPr>
      <w:r w:rsidRPr="00D1633C">
        <w:rPr>
          <w:rFonts w:eastAsia="Aptos"/>
          <w:bCs w:val="0"/>
          <w:i w:val="0"/>
          <w:iCs w:val="0"/>
          <w:smallCaps w:val="0"/>
          <w:color w:val="000000"/>
          <w:u w:val="none"/>
        </w:rPr>
        <w:t>A more discriminatory picture is revealed by the treatment of Bigamy and grounds of divorce under the GCC. Bigamy which is otherwise criminalised under the Indian Penal Code, is allowed for a certain community of Gentile Hindus in Goa in some circumstances, thus creating exceptions within the uniformity itself. Grounds of divorce too vary for wife and husband, while a husband can seek divorce on mere grounds of adultery, the wife has an additional burden to prove a public scandal or complete abandonment by husband is to be proved, in addition to adultery.</w:t>
      </w:r>
      <w:r w:rsidR="00CD4815">
        <w:rPr>
          <w:rStyle w:val="FootnoteReference"/>
          <w:rFonts w:eastAsia="Aptos"/>
          <w:bCs w:val="0"/>
          <w:i w:val="0"/>
          <w:iCs w:val="0"/>
          <w:smallCaps w:val="0"/>
          <w:color w:val="000000"/>
          <w:u w:val="none"/>
        </w:rPr>
        <w:footnoteReference w:id="37"/>
      </w:r>
    </w:p>
    <w:p w14:paraId="7EC69C15" w14:textId="77777777" w:rsidR="00D1633C" w:rsidRPr="00D1633C" w:rsidRDefault="00D1633C" w:rsidP="00D1633C">
      <w:pPr>
        <w:contextualSpacing/>
        <w:rPr>
          <w:rFonts w:eastAsia="Aptos"/>
          <w:bCs w:val="0"/>
          <w:i w:val="0"/>
          <w:iCs w:val="0"/>
          <w:smallCaps w:val="0"/>
          <w:color w:val="000000"/>
          <w:u w:val="none"/>
        </w:rPr>
      </w:pPr>
    </w:p>
    <w:p w14:paraId="24E15D9A" w14:textId="698DAFD8" w:rsidR="00D1633C" w:rsidRDefault="00896225" w:rsidP="00D1633C">
      <w:pPr>
        <w:contextualSpacing/>
        <w:rPr>
          <w:rFonts w:eastAsia="Aptos"/>
          <w:bCs w:val="0"/>
          <w:i w:val="0"/>
          <w:iCs w:val="0"/>
          <w:smallCaps w:val="0"/>
          <w:color w:val="000000"/>
          <w:u w:val="none"/>
        </w:rPr>
      </w:pPr>
      <w:r>
        <w:rPr>
          <w:rFonts w:eastAsia="Aptos"/>
          <w:bCs w:val="0"/>
          <w:i w:val="0"/>
          <w:iCs w:val="0"/>
          <w:smallCaps w:val="0"/>
          <w:color w:val="000000"/>
          <w:u w:val="none"/>
        </w:rPr>
        <w:t>I</w:t>
      </w:r>
      <w:r w:rsidR="00D1633C" w:rsidRPr="00D1633C">
        <w:rPr>
          <w:rFonts w:eastAsia="Aptos"/>
          <w:bCs w:val="0"/>
          <w:i w:val="0"/>
          <w:iCs w:val="0"/>
          <w:smallCaps w:val="0"/>
          <w:color w:val="000000"/>
          <w:u w:val="none"/>
        </w:rPr>
        <w:t>t fails to secure parity in control over marital assets</w:t>
      </w:r>
      <w:r w:rsidR="00D1633C" w:rsidRPr="00D1633C">
        <w:rPr>
          <w:rFonts w:eastAsia="Aptos"/>
          <w:color w:val="000000"/>
          <w:u w:val="none"/>
        </w:rPr>
        <w:t xml:space="preserve">. </w:t>
      </w:r>
      <w:r w:rsidR="00D1633C" w:rsidRPr="00D1633C">
        <w:rPr>
          <w:rFonts w:eastAsia="Aptos"/>
          <w:i w:val="0"/>
          <w:iCs w:val="0"/>
          <w:color w:val="000000"/>
          <w:u w:val="none"/>
        </w:rPr>
        <w:t>T</w:t>
      </w:r>
      <w:r w:rsidR="00D1633C" w:rsidRPr="00D1633C">
        <w:rPr>
          <w:rFonts w:eastAsia="Aptos"/>
          <w:bCs w:val="0"/>
          <w:i w:val="0"/>
          <w:iCs w:val="0"/>
          <w:smallCaps w:val="0"/>
          <w:color w:val="000000"/>
          <w:u w:val="none"/>
        </w:rPr>
        <w:t>he power to manage an</w:t>
      </w:r>
      <w:bookmarkStart w:id="0" w:name="OLE_LINK14"/>
      <w:bookmarkStart w:id="1" w:name="OLE_LINK15"/>
      <w:r w:rsidR="00D1633C" w:rsidRPr="00D1633C">
        <w:rPr>
          <w:rFonts w:eastAsia="Aptos"/>
          <w:bCs w:val="0"/>
          <w:i w:val="0"/>
          <w:iCs w:val="0"/>
          <w:smallCaps w:val="0"/>
          <w:color w:val="000000"/>
          <w:u w:val="none"/>
        </w:rPr>
        <w:t>d administer the property, across all communities, vests primarily in the husband. Thus, while the wife holds ownership on paper, effective control remains with the husband.</w:t>
      </w:r>
      <w:bookmarkEnd w:id="0"/>
      <w:bookmarkEnd w:id="1"/>
    </w:p>
    <w:p w14:paraId="2EC76283" w14:textId="77777777" w:rsidR="00D1633C" w:rsidRPr="00D1633C" w:rsidRDefault="00D1633C" w:rsidP="00D1633C">
      <w:pPr>
        <w:contextualSpacing/>
        <w:rPr>
          <w:rFonts w:eastAsia="Aptos"/>
          <w:bCs w:val="0"/>
          <w:i w:val="0"/>
          <w:iCs w:val="0"/>
          <w:smallCaps w:val="0"/>
          <w:color w:val="000000"/>
          <w:u w:val="none"/>
        </w:rPr>
      </w:pPr>
    </w:p>
    <w:p w14:paraId="74D09357" w14:textId="3BCF077D" w:rsidR="00D1633C" w:rsidRDefault="00D1633C" w:rsidP="00D1633C">
      <w:pPr>
        <w:contextualSpacing/>
        <w:rPr>
          <w:rFonts w:eastAsia="Aptos"/>
          <w:bCs w:val="0"/>
          <w:i w:val="0"/>
          <w:iCs w:val="0"/>
          <w:smallCaps w:val="0"/>
          <w:color w:val="000000"/>
          <w:u w:val="none"/>
        </w:rPr>
      </w:pPr>
      <w:r w:rsidRPr="00D1633C">
        <w:rPr>
          <w:rFonts w:eastAsia="Aptos"/>
          <w:bCs w:val="0"/>
          <w:i w:val="0"/>
          <w:iCs w:val="0"/>
          <w:smallCaps w:val="0"/>
          <w:color w:val="000000"/>
          <w:u w:val="none"/>
        </w:rPr>
        <w:t>It follows that, in the light of above observations, the apparent uniform character of the system may be one of uniformity in discrimination. The same has been illustrated by Albertina Almeida in her analysis of the GCC.</w:t>
      </w:r>
      <w:r w:rsidR="00CD4815">
        <w:rPr>
          <w:rStyle w:val="FootnoteReference"/>
          <w:rFonts w:eastAsia="Aptos"/>
          <w:bCs w:val="0"/>
          <w:i w:val="0"/>
          <w:iCs w:val="0"/>
          <w:smallCaps w:val="0"/>
          <w:color w:val="000000"/>
          <w:u w:val="none"/>
        </w:rPr>
        <w:footnoteReference w:id="38"/>
      </w:r>
      <w:r w:rsidRPr="00D1633C">
        <w:rPr>
          <w:rFonts w:eastAsia="Aptos"/>
          <w:bCs w:val="0"/>
          <w:i w:val="0"/>
          <w:iCs w:val="0"/>
          <w:smallCaps w:val="0"/>
          <w:color w:val="000000"/>
          <w:u w:val="none"/>
        </w:rPr>
        <w:t xml:space="preserve"> </w:t>
      </w:r>
      <w:r w:rsidR="00896225">
        <w:rPr>
          <w:rFonts w:eastAsia="Aptos"/>
          <w:bCs w:val="0"/>
          <w:i w:val="0"/>
          <w:iCs w:val="0"/>
          <w:smallCaps w:val="0"/>
          <w:color w:val="000000"/>
          <w:u w:val="none"/>
        </w:rPr>
        <w:t>W</w:t>
      </w:r>
      <w:r w:rsidRPr="00D1633C">
        <w:rPr>
          <w:rFonts w:eastAsia="Aptos"/>
          <w:bCs w:val="0"/>
          <w:i w:val="0"/>
          <w:iCs w:val="0"/>
          <w:smallCaps w:val="0"/>
          <w:color w:val="000000"/>
          <w:u w:val="none"/>
        </w:rPr>
        <w:t xml:space="preserve">hile the doctrine may have been progressive in thought, particularly within the historical context of its enactment, it retains archaic and patriarchal </w:t>
      </w:r>
      <w:r w:rsidRPr="00D1633C">
        <w:rPr>
          <w:rFonts w:eastAsia="Aptos"/>
          <w:bCs w:val="0"/>
          <w:i w:val="0"/>
          <w:iCs w:val="0"/>
          <w:smallCaps w:val="0"/>
          <w:color w:val="000000"/>
          <w:u w:val="none"/>
        </w:rPr>
        <w:lastRenderedPageBreak/>
        <w:t>features and the ground level realities show how the seemingly equal provisions are circumvented much to the disadvantage of women.</w:t>
      </w:r>
    </w:p>
    <w:p w14:paraId="54B8A722" w14:textId="77777777" w:rsidR="00D1633C" w:rsidRPr="00D1633C" w:rsidRDefault="00D1633C" w:rsidP="00D1633C">
      <w:pPr>
        <w:contextualSpacing/>
        <w:rPr>
          <w:rFonts w:eastAsia="Aptos"/>
          <w:bCs w:val="0"/>
          <w:i w:val="0"/>
          <w:iCs w:val="0"/>
          <w:smallCaps w:val="0"/>
          <w:color w:val="000000"/>
          <w:u w:val="none"/>
        </w:rPr>
      </w:pPr>
    </w:p>
    <w:p w14:paraId="00B16BDE" w14:textId="0D5AA4F2" w:rsidR="00D1633C" w:rsidRDefault="00D1633C" w:rsidP="00D1633C">
      <w:pPr>
        <w:contextualSpacing/>
        <w:rPr>
          <w:rFonts w:eastAsia="Aptos"/>
          <w:bCs w:val="0"/>
          <w:i w:val="0"/>
          <w:iCs w:val="0"/>
          <w:smallCaps w:val="0"/>
          <w:color w:val="000000"/>
          <w:u w:val="none"/>
        </w:rPr>
      </w:pPr>
      <w:r w:rsidRPr="00D1633C">
        <w:rPr>
          <w:rFonts w:eastAsia="Aptos"/>
          <w:bCs w:val="0"/>
          <w:i w:val="0"/>
          <w:iCs w:val="0"/>
          <w:smallCaps w:val="0"/>
          <w:color w:val="000000"/>
          <w:u w:val="none"/>
        </w:rPr>
        <w:t xml:space="preserve">This Court has, on multiple occasions, underscored the need for a coherent and uniform civil framework governing matters of family law. In  </w:t>
      </w:r>
      <w:r w:rsidRPr="00D1633C">
        <w:rPr>
          <w:rFonts w:eastAsia="Aptos"/>
          <w:bCs w:val="0"/>
          <w:smallCaps w:val="0"/>
          <w:color w:val="000000"/>
          <w:u w:val="none"/>
        </w:rPr>
        <w:t>Jose Paulo v. Maria Luiza</w:t>
      </w:r>
      <w:r w:rsidRPr="00D1633C">
        <w:rPr>
          <w:rFonts w:eastAsia="Aptos"/>
          <w:bCs w:val="0"/>
          <w:i w:val="0"/>
          <w:iCs w:val="0"/>
          <w:smallCaps w:val="0"/>
          <w:color w:val="000000"/>
          <w:u w:val="none"/>
        </w:rPr>
        <w:t>, this court has praised GCC as a shining example of a uniform civil code</w:t>
      </w:r>
      <w:r w:rsidRPr="00D1633C">
        <w:rPr>
          <w:rFonts w:eastAsia="Aptos"/>
          <w:bCs w:val="0"/>
          <w:i w:val="0"/>
          <w:iCs w:val="0"/>
          <w:smallCaps w:val="0"/>
          <w:color w:val="000000"/>
          <w:u w:val="none"/>
          <w:vertAlign w:val="superscript"/>
        </w:rPr>
        <w:footnoteReference w:id="39"/>
      </w:r>
      <w:r w:rsidRPr="00D1633C">
        <w:rPr>
          <w:rFonts w:eastAsia="Aptos"/>
          <w:bCs w:val="0"/>
          <w:i w:val="0"/>
          <w:iCs w:val="0"/>
          <w:smallCaps w:val="0"/>
          <w:color w:val="000000"/>
          <w:u w:val="none"/>
        </w:rPr>
        <w:t>, Goa being the only state so far to have a uniform code. However, from the above analysis it has been established why GCC is not completely uniform or just.  This court, in cases like Ahmed Khan v. Shah Bano Begum</w:t>
      </w:r>
      <w:r w:rsidRPr="00D1633C">
        <w:rPr>
          <w:rFonts w:eastAsia="Aptos"/>
          <w:bCs w:val="0"/>
          <w:i w:val="0"/>
          <w:iCs w:val="0"/>
          <w:smallCaps w:val="0"/>
          <w:color w:val="000000"/>
          <w:u w:val="none"/>
          <w:vertAlign w:val="superscript"/>
        </w:rPr>
        <w:footnoteReference w:id="40"/>
      </w:r>
      <w:r w:rsidRPr="00D1633C">
        <w:rPr>
          <w:rFonts w:eastAsia="Aptos"/>
          <w:bCs w:val="0"/>
          <w:i w:val="0"/>
          <w:iCs w:val="0"/>
          <w:smallCaps w:val="0"/>
          <w:color w:val="000000"/>
          <w:u w:val="none"/>
        </w:rPr>
        <w:t>, Sarla Mudgal v. UOI</w:t>
      </w:r>
      <w:r w:rsidRPr="00D1633C">
        <w:rPr>
          <w:rFonts w:eastAsia="Aptos"/>
          <w:bCs w:val="0"/>
          <w:i w:val="0"/>
          <w:iCs w:val="0"/>
          <w:smallCaps w:val="0"/>
          <w:color w:val="000000"/>
          <w:u w:val="none"/>
          <w:vertAlign w:val="superscript"/>
        </w:rPr>
        <w:footnoteReference w:id="41"/>
      </w:r>
      <w:r w:rsidRPr="00D1633C">
        <w:rPr>
          <w:rFonts w:eastAsia="Aptos"/>
          <w:bCs w:val="0"/>
          <w:i w:val="0"/>
          <w:iCs w:val="0"/>
          <w:smallCaps w:val="0"/>
          <w:color w:val="000000"/>
          <w:u w:val="none"/>
        </w:rPr>
        <w:t xml:space="preserve">, </w:t>
      </w:r>
      <w:proofErr w:type="spellStart"/>
      <w:r w:rsidRPr="00D1633C">
        <w:rPr>
          <w:rFonts w:eastAsia="Aptos"/>
          <w:bCs w:val="0"/>
          <w:i w:val="0"/>
          <w:iCs w:val="0"/>
          <w:smallCaps w:val="0"/>
          <w:color w:val="000000"/>
          <w:u w:val="none"/>
        </w:rPr>
        <w:t>Shayara</w:t>
      </w:r>
      <w:proofErr w:type="spellEnd"/>
      <w:r w:rsidRPr="00D1633C">
        <w:rPr>
          <w:rFonts w:eastAsia="Aptos"/>
          <w:bCs w:val="0"/>
          <w:i w:val="0"/>
          <w:iCs w:val="0"/>
          <w:smallCaps w:val="0"/>
          <w:color w:val="000000"/>
          <w:u w:val="none"/>
        </w:rPr>
        <w:t xml:space="preserve"> Bano v. UOI</w:t>
      </w:r>
      <w:r w:rsidRPr="00D1633C">
        <w:rPr>
          <w:rFonts w:eastAsia="Aptos"/>
          <w:bCs w:val="0"/>
          <w:i w:val="0"/>
          <w:iCs w:val="0"/>
          <w:smallCaps w:val="0"/>
          <w:color w:val="000000"/>
          <w:u w:val="none"/>
          <w:vertAlign w:val="superscript"/>
        </w:rPr>
        <w:footnoteReference w:id="42"/>
      </w:r>
      <w:r w:rsidRPr="00D1633C">
        <w:rPr>
          <w:rFonts w:eastAsia="Aptos"/>
          <w:bCs w:val="0"/>
          <w:i w:val="0"/>
          <w:iCs w:val="0"/>
          <w:smallCaps w:val="0"/>
          <w:color w:val="000000"/>
          <w:u w:val="none"/>
        </w:rPr>
        <w:t xml:space="preserve">, and more recently in John </w:t>
      </w:r>
      <w:proofErr w:type="spellStart"/>
      <w:r w:rsidRPr="00D1633C">
        <w:rPr>
          <w:rFonts w:eastAsia="Aptos"/>
          <w:bCs w:val="0"/>
          <w:i w:val="0"/>
          <w:iCs w:val="0"/>
          <w:smallCaps w:val="0"/>
          <w:color w:val="000000"/>
          <w:u w:val="none"/>
        </w:rPr>
        <w:t>Vallamattom</w:t>
      </w:r>
      <w:proofErr w:type="spellEnd"/>
      <w:r w:rsidRPr="00D1633C">
        <w:rPr>
          <w:rFonts w:eastAsia="Aptos"/>
          <w:bCs w:val="0"/>
          <w:i w:val="0"/>
          <w:iCs w:val="0"/>
          <w:smallCaps w:val="0"/>
          <w:color w:val="000000"/>
          <w:u w:val="none"/>
        </w:rPr>
        <w:t xml:space="preserve"> v. </w:t>
      </w:r>
      <w:proofErr w:type="spellStart"/>
      <w:r w:rsidRPr="00D1633C">
        <w:rPr>
          <w:rFonts w:eastAsia="Aptos"/>
          <w:bCs w:val="0"/>
          <w:i w:val="0"/>
          <w:iCs w:val="0"/>
          <w:smallCaps w:val="0"/>
          <w:color w:val="000000"/>
          <w:u w:val="none"/>
        </w:rPr>
        <w:t>UoI</w:t>
      </w:r>
      <w:proofErr w:type="spellEnd"/>
      <w:r w:rsidRPr="00D1633C">
        <w:rPr>
          <w:rFonts w:eastAsia="Aptos"/>
          <w:bCs w:val="0"/>
          <w:i w:val="0"/>
          <w:iCs w:val="0"/>
          <w:smallCaps w:val="0"/>
          <w:color w:val="000000"/>
          <w:u w:val="none"/>
          <w:vertAlign w:val="superscript"/>
        </w:rPr>
        <w:footnoteReference w:id="43"/>
      </w:r>
      <w:r w:rsidRPr="00D1633C">
        <w:rPr>
          <w:rFonts w:eastAsia="Aptos"/>
          <w:bCs w:val="0"/>
          <w:i w:val="0"/>
          <w:iCs w:val="0"/>
          <w:smallCaps w:val="0"/>
          <w:color w:val="000000"/>
          <w:u w:val="none"/>
        </w:rPr>
        <w:t>, has addressed immediate discrimination by doing away with discriminatory provisions of the personal laws like triple- talaq, or section 118 of ISA (</w:t>
      </w:r>
      <w:r w:rsidRPr="00D1633C">
        <w:rPr>
          <w:rFonts w:eastAsia="Aptos"/>
          <w:bCs w:val="0"/>
          <w:smallCaps w:val="0"/>
          <w:color w:val="000000"/>
          <w:u w:val="none"/>
        </w:rPr>
        <w:t>John Vallamattom</w:t>
      </w:r>
      <w:r w:rsidRPr="00D1633C">
        <w:rPr>
          <w:rFonts w:eastAsia="Aptos"/>
          <w:bCs w:val="0"/>
          <w:i w:val="0"/>
          <w:iCs w:val="0"/>
          <w:smallCaps w:val="0"/>
          <w:color w:val="000000"/>
          <w:u w:val="none"/>
        </w:rPr>
        <w:t>), while maintaining a consistent support for a UCC to be enacted by the parliament to ensure equality and uniformity for all Indians.</w:t>
      </w:r>
    </w:p>
    <w:p w14:paraId="0A66C283" w14:textId="77777777" w:rsidR="00D1633C" w:rsidRPr="00D1633C" w:rsidRDefault="00D1633C" w:rsidP="00D1633C">
      <w:pPr>
        <w:contextualSpacing/>
        <w:rPr>
          <w:rFonts w:eastAsia="Aptos"/>
          <w:bCs w:val="0"/>
          <w:i w:val="0"/>
          <w:iCs w:val="0"/>
          <w:smallCaps w:val="0"/>
          <w:color w:val="000000"/>
          <w:u w:val="none"/>
        </w:rPr>
      </w:pPr>
    </w:p>
    <w:p w14:paraId="3183CF7C" w14:textId="50FADA0B" w:rsidR="00D1633C" w:rsidRDefault="00D1633C" w:rsidP="00D1633C">
      <w:pPr>
        <w:contextualSpacing/>
        <w:rPr>
          <w:rFonts w:eastAsia="Aptos"/>
          <w:bCs w:val="0"/>
          <w:i w:val="0"/>
          <w:iCs w:val="0"/>
          <w:smallCaps w:val="0"/>
          <w:color w:val="000000"/>
          <w:u w:val="none"/>
        </w:rPr>
      </w:pPr>
      <w:r w:rsidRPr="00D1633C">
        <w:rPr>
          <w:rFonts w:eastAsia="Aptos"/>
          <w:bCs w:val="0"/>
          <w:i w:val="0"/>
          <w:iCs w:val="0"/>
          <w:smallCaps w:val="0"/>
          <w:color w:val="000000"/>
          <w:u w:val="none"/>
        </w:rPr>
        <w:t>Times have changed now, as of today, the central government has passed the long awaited UCC. Continued operation of legal regimes rooted in colonial history retaining specific regional laws such as those derived from colonial-era Portuguese and French civil law traditions, results in a fragmented framework governing family relations. In Puducherry,  the French civil code govern</w:t>
      </w:r>
      <w:r w:rsidR="00896225">
        <w:rPr>
          <w:rFonts w:eastAsia="Aptos"/>
          <w:bCs w:val="0"/>
          <w:i w:val="0"/>
          <w:iCs w:val="0"/>
          <w:smallCaps w:val="0"/>
          <w:color w:val="000000"/>
          <w:u w:val="none"/>
        </w:rPr>
        <w:t>ed</w:t>
      </w:r>
      <w:r w:rsidRPr="00D1633C">
        <w:rPr>
          <w:rFonts w:eastAsia="Aptos"/>
          <w:bCs w:val="0"/>
          <w:i w:val="0"/>
          <w:iCs w:val="0"/>
          <w:smallCaps w:val="0"/>
          <w:color w:val="000000"/>
          <w:u w:val="none"/>
        </w:rPr>
        <w:t xml:space="preserve"> a specific category of people called ‘</w:t>
      </w:r>
      <w:proofErr w:type="spellStart"/>
      <w:r w:rsidRPr="00D1633C">
        <w:rPr>
          <w:rFonts w:eastAsia="Aptos"/>
          <w:bCs w:val="0"/>
          <w:i w:val="0"/>
          <w:iCs w:val="0"/>
          <w:smallCaps w:val="0"/>
          <w:color w:val="000000"/>
          <w:u w:val="none"/>
        </w:rPr>
        <w:t>Renouncants</w:t>
      </w:r>
      <w:proofErr w:type="spellEnd"/>
      <w:r w:rsidRPr="00D1633C">
        <w:rPr>
          <w:rFonts w:eastAsia="Aptos"/>
          <w:bCs w:val="0"/>
          <w:i w:val="0"/>
          <w:iCs w:val="0"/>
          <w:smallCaps w:val="0"/>
          <w:color w:val="000000"/>
          <w:u w:val="none"/>
        </w:rPr>
        <w:t>’, i.e., those native Indians inhabiting in Puducherry who chose to renounce their personal laws to be governed by the French Civil Code under a 1881</w:t>
      </w:r>
      <w:r w:rsidR="00896225">
        <w:rPr>
          <w:rFonts w:eastAsia="Aptos"/>
          <w:bCs w:val="0"/>
          <w:i w:val="0"/>
          <w:iCs w:val="0"/>
          <w:smallCaps w:val="0"/>
          <w:color w:val="000000"/>
          <w:u w:val="none"/>
        </w:rPr>
        <w:t xml:space="preserve"> regulation</w:t>
      </w:r>
      <w:r w:rsidRPr="00D1633C">
        <w:rPr>
          <w:rFonts w:eastAsia="Aptos"/>
          <w:bCs w:val="0"/>
          <w:i w:val="0"/>
          <w:iCs w:val="0"/>
          <w:smallCaps w:val="0"/>
          <w:color w:val="000000"/>
          <w:u w:val="none"/>
        </w:rPr>
        <w:t xml:space="preserve">. Until today, the descendants of the </w:t>
      </w:r>
      <w:proofErr w:type="spellStart"/>
      <w:r w:rsidRPr="00D1633C">
        <w:rPr>
          <w:rFonts w:eastAsia="Aptos"/>
          <w:bCs w:val="0"/>
          <w:i w:val="0"/>
          <w:iCs w:val="0"/>
          <w:smallCaps w:val="0"/>
          <w:color w:val="000000"/>
          <w:u w:val="none"/>
        </w:rPr>
        <w:t>Renouncants</w:t>
      </w:r>
      <w:proofErr w:type="spellEnd"/>
      <w:r w:rsidRPr="00D1633C">
        <w:rPr>
          <w:rFonts w:eastAsia="Aptos"/>
          <w:bCs w:val="0"/>
          <w:i w:val="0"/>
          <w:iCs w:val="0"/>
          <w:smallCaps w:val="0"/>
          <w:color w:val="000000"/>
          <w:u w:val="none"/>
        </w:rPr>
        <w:t xml:space="preserve"> are bound by the choice made by their grandfathers as they inherited the consequence of renunciation by their forefathers.</w:t>
      </w:r>
      <w:r w:rsidRPr="00D1633C">
        <w:rPr>
          <w:rFonts w:eastAsia="Aptos"/>
          <w:bCs w:val="0"/>
          <w:i w:val="0"/>
          <w:iCs w:val="0"/>
          <w:smallCaps w:val="0"/>
          <w:color w:val="000000"/>
          <w:u w:val="none"/>
          <w:vertAlign w:val="superscript"/>
        </w:rPr>
        <w:footnoteReference w:id="44"/>
      </w:r>
      <w:r w:rsidRPr="00D1633C">
        <w:rPr>
          <w:rFonts w:eastAsia="Aptos"/>
          <w:bCs w:val="0"/>
          <w:i w:val="0"/>
          <w:iCs w:val="0"/>
          <w:smallCaps w:val="0"/>
          <w:color w:val="000000"/>
          <w:u w:val="none"/>
        </w:rPr>
        <w:t xml:space="preserve"> Further, the </w:t>
      </w:r>
      <w:proofErr w:type="spellStart"/>
      <w:r w:rsidRPr="00D1633C">
        <w:rPr>
          <w:rFonts w:eastAsia="Aptos"/>
          <w:bCs w:val="0"/>
          <w:i w:val="0"/>
          <w:iCs w:val="0"/>
          <w:smallCaps w:val="0"/>
          <w:color w:val="000000"/>
          <w:u w:val="none"/>
        </w:rPr>
        <w:t>Renouncants</w:t>
      </w:r>
      <w:proofErr w:type="spellEnd"/>
      <w:r w:rsidRPr="00D1633C">
        <w:rPr>
          <w:rFonts w:eastAsia="Aptos"/>
          <w:bCs w:val="0"/>
          <w:i w:val="0"/>
          <w:iCs w:val="0"/>
          <w:smallCaps w:val="0"/>
          <w:color w:val="000000"/>
          <w:u w:val="none"/>
        </w:rPr>
        <w:t xml:space="preserve"> who chose to adopt Indian nationality at the time of cessation, in 1962, are governed by a version of the law that has not evolved alongside contemporary developments. </w:t>
      </w:r>
      <w:r w:rsidR="00896225">
        <w:rPr>
          <w:rFonts w:eastAsia="Aptos"/>
          <w:bCs w:val="0"/>
          <w:i w:val="0"/>
          <w:iCs w:val="0"/>
          <w:smallCaps w:val="0"/>
          <w:color w:val="000000"/>
          <w:u w:val="none"/>
        </w:rPr>
        <w:t xml:space="preserve">Now this applies to all </w:t>
      </w:r>
      <w:proofErr w:type="spellStart"/>
      <w:r w:rsidR="00896225">
        <w:rPr>
          <w:rFonts w:eastAsia="Aptos"/>
          <w:bCs w:val="0"/>
          <w:i w:val="0"/>
          <w:iCs w:val="0"/>
          <w:smallCaps w:val="0"/>
          <w:color w:val="000000"/>
          <w:u w:val="none"/>
        </w:rPr>
        <w:t>Pudducherrians</w:t>
      </w:r>
      <w:proofErr w:type="spellEnd"/>
      <w:r w:rsidR="00896225">
        <w:rPr>
          <w:rFonts w:eastAsia="Aptos"/>
          <w:bCs w:val="0"/>
          <w:i w:val="0"/>
          <w:iCs w:val="0"/>
          <w:smallCaps w:val="0"/>
          <w:color w:val="000000"/>
          <w:u w:val="none"/>
        </w:rPr>
        <w:t xml:space="preserve">. </w:t>
      </w:r>
      <w:r w:rsidRPr="00D1633C">
        <w:rPr>
          <w:rFonts w:eastAsia="Aptos"/>
          <w:bCs w:val="0"/>
          <w:i w:val="0"/>
          <w:iCs w:val="0"/>
          <w:smallCaps w:val="0"/>
          <w:color w:val="000000"/>
          <w:u w:val="none"/>
        </w:rPr>
        <w:t xml:space="preserve">Thus, continuing this would mean subjecting the present and upcoming generations to be governed by </w:t>
      </w:r>
      <w:r w:rsidR="00896225">
        <w:rPr>
          <w:rFonts w:eastAsia="Aptos"/>
          <w:bCs w:val="0"/>
          <w:i w:val="0"/>
          <w:iCs w:val="0"/>
          <w:smallCaps w:val="0"/>
          <w:color w:val="000000"/>
          <w:u w:val="none"/>
        </w:rPr>
        <w:t>a</w:t>
      </w:r>
      <w:r w:rsidRPr="00D1633C">
        <w:rPr>
          <w:rFonts w:eastAsia="Aptos"/>
          <w:bCs w:val="0"/>
          <w:i w:val="0"/>
          <w:iCs w:val="0"/>
          <w:smallCaps w:val="0"/>
          <w:color w:val="000000"/>
          <w:u w:val="none"/>
        </w:rPr>
        <w:t xml:space="preserve"> legal regimes</w:t>
      </w:r>
      <w:r w:rsidR="00896225">
        <w:rPr>
          <w:rFonts w:eastAsia="Aptos"/>
          <w:bCs w:val="0"/>
          <w:i w:val="0"/>
          <w:iCs w:val="0"/>
          <w:smallCaps w:val="0"/>
          <w:color w:val="000000"/>
          <w:u w:val="none"/>
        </w:rPr>
        <w:t xml:space="preserve"> </w:t>
      </w:r>
      <w:r w:rsidRPr="00D1633C">
        <w:rPr>
          <w:rFonts w:eastAsia="Aptos"/>
          <w:bCs w:val="0"/>
          <w:i w:val="0"/>
          <w:iCs w:val="0"/>
          <w:smallCaps w:val="0"/>
          <w:color w:val="000000"/>
          <w:u w:val="none"/>
        </w:rPr>
        <w:t>which though progressive then are bound to become archaic and outdated with time.</w:t>
      </w:r>
    </w:p>
    <w:p w14:paraId="0A1ABC6B" w14:textId="77777777" w:rsidR="00D1633C" w:rsidRPr="00D1633C" w:rsidRDefault="00D1633C" w:rsidP="00D1633C">
      <w:pPr>
        <w:contextualSpacing/>
        <w:rPr>
          <w:rFonts w:eastAsia="Aptos"/>
          <w:bCs w:val="0"/>
          <w:i w:val="0"/>
          <w:iCs w:val="0"/>
          <w:smallCaps w:val="0"/>
          <w:color w:val="000000"/>
          <w:u w:val="none"/>
        </w:rPr>
      </w:pPr>
    </w:p>
    <w:p w14:paraId="28BB857E" w14:textId="428BB1AF" w:rsidR="00D1633C" w:rsidRDefault="00D1633C" w:rsidP="00D1633C">
      <w:pPr>
        <w:contextualSpacing/>
        <w:rPr>
          <w:rFonts w:eastAsia="Aptos"/>
          <w:bCs w:val="0"/>
          <w:i w:val="0"/>
          <w:iCs w:val="0"/>
          <w:smallCaps w:val="0"/>
          <w:color w:val="000000"/>
          <w:u w:val="none"/>
        </w:rPr>
      </w:pPr>
      <w:r w:rsidRPr="00D1633C">
        <w:rPr>
          <w:rFonts w:eastAsia="Aptos"/>
          <w:bCs w:val="0"/>
          <w:i w:val="0"/>
          <w:iCs w:val="0"/>
          <w:smallCaps w:val="0"/>
          <w:color w:val="000000"/>
          <w:u w:val="none"/>
        </w:rPr>
        <w:lastRenderedPageBreak/>
        <w:t>Ultimately, the determination of which specific principles, whether that be of matrimonial property or succession ought to be incorporated within the UCC that shall be applicable across the territory of India uniformly is a matter of legislative policy. It suffices to observe that the continuation of these legal systems with their demonstrated limitations, does not advance the objective of a coherent and uniform system of family law throughout India.</w:t>
      </w:r>
    </w:p>
    <w:p w14:paraId="14768E59" w14:textId="77777777" w:rsidR="00D1633C" w:rsidRPr="00D1633C" w:rsidRDefault="00D1633C" w:rsidP="00D1633C">
      <w:pPr>
        <w:contextualSpacing/>
        <w:rPr>
          <w:rFonts w:eastAsia="Aptos"/>
          <w:bCs w:val="0"/>
          <w:i w:val="0"/>
          <w:iCs w:val="0"/>
          <w:smallCaps w:val="0"/>
          <w:color w:val="000000"/>
          <w:u w:val="none"/>
        </w:rPr>
      </w:pPr>
    </w:p>
    <w:p w14:paraId="3CFCEFA7" w14:textId="555F31C3" w:rsidR="00D1633C" w:rsidRPr="00D1633C" w:rsidRDefault="00D1633C" w:rsidP="00D1633C">
      <w:pPr>
        <w:contextualSpacing/>
        <w:rPr>
          <w:rFonts w:eastAsia="Aptos"/>
          <w:bCs w:val="0"/>
          <w:i w:val="0"/>
          <w:iCs w:val="0"/>
          <w:smallCaps w:val="0"/>
          <w:color w:val="000000"/>
          <w:u w:val="none"/>
        </w:rPr>
      </w:pPr>
      <w:r w:rsidRPr="00D1633C">
        <w:rPr>
          <w:rFonts w:eastAsia="Aptos"/>
          <w:bCs w:val="0"/>
          <w:i w:val="0"/>
          <w:iCs w:val="0"/>
          <w:smallCaps w:val="0"/>
          <w:color w:val="000000"/>
          <w:u w:val="none"/>
        </w:rPr>
        <w:t>In the view of the foregoing, I am of the opinion that UCC may be validly extended to Goa and Puducherry. The modalities of such implementation, including whether it is to be undertaken in a phased manner, are matters appropriately left to the  Parliament.</w:t>
      </w:r>
    </w:p>
    <w:p w14:paraId="4E82B6B1" w14:textId="77777777" w:rsidR="00D1633C" w:rsidRPr="00D1633C" w:rsidRDefault="00D1633C" w:rsidP="00D1633C">
      <w:pPr>
        <w:rPr>
          <w:rFonts w:eastAsia="Aptos"/>
          <w:bCs w:val="0"/>
          <w:i w:val="0"/>
          <w:iCs w:val="0"/>
          <w:smallCaps w:val="0"/>
          <w:color w:val="000000"/>
          <w:u w:val="none"/>
        </w:rPr>
      </w:pPr>
    </w:p>
    <w:p w14:paraId="6A97BE90" w14:textId="73846097" w:rsidR="00CA4533" w:rsidRPr="00D1633C" w:rsidRDefault="00CA4533" w:rsidP="00D1633C">
      <w:pPr>
        <w:contextualSpacing/>
        <w:jc w:val="left"/>
        <w:rPr>
          <w:rFonts w:eastAsia="Times New Roman"/>
          <w:bCs w:val="0"/>
          <w:i w:val="0"/>
          <w:iCs w:val="0"/>
          <w:smallCaps w:val="0"/>
          <w:color w:val="auto"/>
          <w:kern w:val="0"/>
          <w:u w:val="none"/>
          <w:lang w:eastAsia="en-GB"/>
          <w14:ligatures w14:val="none"/>
        </w:rPr>
      </w:pPr>
    </w:p>
    <w:sectPr w:rsidR="00CA4533" w:rsidRPr="00D1633C">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7516466" w14:textId="77777777" w:rsidR="00B76815" w:rsidRDefault="00B76815" w:rsidP="00D1633C">
      <w:pPr>
        <w:spacing w:line="240" w:lineRule="auto"/>
      </w:pPr>
      <w:r>
        <w:separator/>
      </w:r>
    </w:p>
  </w:endnote>
  <w:endnote w:type="continuationSeparator" w:id="0">
    <w:p w14:paraId="0C558FC1" w14:textId="77777777" w:rsidR="00B76815" w:rsidRDefault="00B76815" w:rsidP="00D1633C">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panose1 w:val="020B0004020202020204"/>
    <w:charset w:val="00"/>
    <w:family w:val="swiss"/>
    <w:pitch w:val="variable"/>
    <w:sig w:usb0="20000287" w:usb1="00000003" w:usb2="00000000" w:usb3="00000000" w:csb0="0000019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Symbol">
    <w:panose1 w:val="05050102010706020507"/>
    <w:charset w:val="02"/>
    <w:family w:val="decorative"/>
    <w:pitch w:val="variable"/>
    <w:sig w:usb0="00000000" w:usb1="10000000" w:usb2="00000000" w:usb3="00000000" w:csb0="80000000" w:csb1="00000000"/>
  </w:font>
  <w:font w:name="Aptos Display">
    <w:panose1 w:val="020B0004020202020204"/>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2A1E6D3" w14:textId="77777777" w:rsidR="00B76815" w:rsidRDefault="00B76815" w:rsidP="00D1633C">
      <w:pPr>
        <w:spacing w:line="240" w:lineRule="auto"/>
      </w:pPr>
      <w:r>
        <w:separator/>
      </w:r>
    </w:p>
  </w:footnote>
  <w:footnote w:type="continuationSeparator" w:id="0">
    <w:p w14:paraId="73CF7ACA" w14:textId="77777777" w:rsidR="00B76815" w:rsidRDefault="00B76815" w:rsidP="00D1633C">
      <w:pPr>
        <w:spacing w:line="240" w:lineRule="auto"/>
      </w:pPr>
      <w:r>
        <w:continuationSeparator/>
      </w:r>
    </w:p>
  </w:footnote>
  <w:footnote w:id="1">
    <w:p w14:paraId="1E1E76B7" w14:textId="77777777" w:rsidR="001A3D80" w:rsidRPr="006D4393" w:rsidRDefault="001A3D80" w:rsidP="001A3D80">
      <w:pPr>
        <w:pStyle w:val="FootnoteText"/>
        <w:rPr>
          <w:rFonts w:ascii="Times New Roman" w:hAnsi="Times New Roman"/>
          <w:lang w:val="en-US"/>
        </w:rPr>
      </w:pPr>
      <w:r w:rsidRPr="006D4393">
        <w:rPr>
          <w:rStyle w:val="FootnoteReference"/>
          <w:rFonts w:ascii="Times New Roman" w:hAnsi="Times New Roman"/>
        </w:rPr>
        <w:footnoteRef/>
      </w:r>
      <w:r w:rsidRPr="006D4393">
        <w:rPr>
          <w:rFonts w:ascii="Times New Roman" w:hAnsi="Times New Roman"/>
        </w:rPr>
        <w:t xml:space="preserve"> </w:t>
      </w:r>
      <w:r w:rsidRPr="006D4393">
        <w:rPr>
          <w:rFonts w:ascii="Times New Roman" w:eastAsia="Times New Roman" w:hAnsi="Times New Roman"/>
          <w:i/>
          <w:iCs/>
          <w:color w:val="000000"/>
          <w:kern w:val="0"/>
          <w:lang w:val="en-IN" w:eastAsia="en-GB"/>
          <w14:ligatures w14:val="none"/>
        </w:rPr>
        <w:t xml:space="preserve">Jose Paulo Coutinho v. Maria Luiza Valentina Pereira </w:t>
      </w:r>
      <w:r w:rsidRPr="006D4393">
        <w:rPr>
          <w:rFonts w:ascii="Times New Roman" w:eastAsia="Times New Roman" w:hAnsi="Times New Roman"/>
          <w:color w:val="000000"/>
          <w:kern w:val="0"/>
          <w:lang w:val="en-IN" w:eastAsia="en-GB"/>
          <w14:ligatures w14:val="none"/>
        </w:rPr>
        <w:t>(2019) INSC 1029 [21].</w:t>
      </w:r>
    </w:p>
  </w:footnote>
  <w:footnote w:id="2">
    <w:p w14:paraId="11BD0766" w14:textId="77777777" w:rsidR="001A3D80" w:rsidRPr="006D4393" w:rsidRDefault="001A3D80" w:rsidP="001A3D80">
      <w:pPr>
        <w:pStyle w:val="FootnoteText"/>
        <w:rPr>
          <w:rFonts w:ascii="Times New Roman" w:hAnsi="Times New Roman"/>
          <w:lang w:val="en-US"/>
        </w:rPr>
      </w:pPr>
      <w:r w:rsidRPr="006D4393">
        <w:rPr>
          <w:rStyle w:val="FootnoteReference"/>
          <w:rFonts w:ascii="Times New Roman" w:hAnsi="Times New Roman"/>
        </w:rPr>
        <w:footnoteRef/>
      </w:r>
      <w:r w:rsidRPr="006D4393">
        <w:rPr>
          <w:rFonts w:ascii="Times New Roman" w:hAnsi="Times New Roman"/>
        </w:rPr>
        <w:t xml:space="preserve"> Goa Succession, Special Notaries and Inventory Proceedings Act 2012 (‘Goa Act’).</w:t>
      </w:r>
    </w:p>
  </w:footnote>
  <w:footnote w:id="3">
    <w:p w14:paraId="1BD1A162" w14:textId="77777777" w:rsidR="001A3D80" w:rsidRPr="006D4393" w:rsidRDefault="001A3D80" w:rsidP="001A3D80">
      <w:pPr>
        <w:pStyle w:val="FootnoteText"/>
        <w:rPr>
          <w:rFonts w:ascii="Times New Roman" w:hAnsi="Times New Roman"/>
          <w:lang w:val="en-US"/>
        </w:rPr>
      </w:pPr>
      <w:r w:rsidRPr="006D4393">
        <w:rPr>
          <w:rStyle w:val="FootnoteReference"/>
          <w:rFonts w:ascii="Times New Roman" w:hAnsi="Times New Roman"/>
        </w:rPr>
        <w:footnoteRef/>
      </w:r>
      <w:r w:rsidRPr="006D4393">
        <w:rPr>
          <w:rFonts w:ascii="Times New Roman" w:hAnsi="Times New Roman"/>
        </w:rPr>
        <w:t xml:space="preserve"> </w:t>
      </w:r>
      <w:r w:rsidRPr="006D4393">
        <w:rPr>
          <w:rFonts w:ascii="Times New Roman" w:hAnsi="Times New Roman"/>
          <w:lang w:val="en-US"/>
        </w:rPr>
        <w:t>Goa Act 2012, ss 2(n), 2(o).</w:t>
      </w:r>
    </w:p>
  </w:footnote>
  <w:footnote w:id="4">
    <w:p w14:paraId="5428F176" w14:textId="77777777" w:rsidR="001A3D80" w:rsidRPr="006D4393" w:rsidRDefault="001A3D80" w:rsidP="001A3D80">
      <w:pPr>
        <w:pStyle w:val="FootnoteText"/>
        <w:rPr>
          <w:rFonts w:ascii="Times New Roman" w:hAnsi="Times New Roman"/>
          <w:lang w:val="en-US"/>
        </w:rPr>
      </w:pPr>
      <w:r w:rsidRPr="006D4393">
        <w:rPr>
          <w:rStyle w:val="FootnoteReference"/>
          <w:rFonts w:ascii="Times New Roman" w:hAnsi="Times New Roman"/>
        </w:rPr>
        <w:footnoteRef/>
      </w:r>
      <w:r w:rsidRPr="006D4393">
        <w:rPr>
          <w:rFonts w:ascii="Times New Roman" w:hAnsi="Times New Roman"/>
        </w:rPr>
        <w:t xml:space="preserve"> </w:t>
      </w:r>
      <w:r w:rsidRPr="006D4393">
        <w:rPr>
          <w:rFonts w:ascii="Times New Roman" w:hAnsi="Times New Roman"/>
          <w:lang w:val="en-US"/>
        </w:rPr>
        <w:t>Goa Act 2012, ss 19(1), 26.</w:t>
      </w:r>
    </w:p>
  </w:footnote>
  <w:footnote w:id="5">
    <w:p w14:paraId="41C412EF" w14:textId="77777777" w:rsidR="001A3D80" w:rsidRPr="006D4393" w:rsidRDefault="001A3D80" w:rsidP="001A3D80">
      <w:pPr>
        <w:pStyle w:val="FootnoteText"/>
        <w:rPr>
          <w:rFonts w:ascii="Times New Roman" w:hAnsi="Times New Roman"/>
          <w:lang w:val="en-US"/>
        </w:rPr>
      </w:pPr>
      <w:r w:rsidRPr="006D4393">
        <w:rPr>
          <w:rStyle w:val="FootnoteReference"/>
          <w:rFonts w:ascii="Times New Roman" w:hAnsi="Times New Roman"/>
        </w:rPr>
        <w:footnoteRef/>
      </w:r>
      <w:r w:rsidRPr="006D4393">
        <w:rPr>
          <w:rFonts w:ascii="Times New Roman" w:hAnsi="Times New Roman"/>
        </w:rPr>
        <w:t xml:space="preserve"> </w:t>
      </w:r>
      <w:r w:rsidRPr="006D4393">
        <w:rPr>
          <w:rFonts w:ascii="Times New Roman" w:hAnsi="Times New Roman"/>
          <w:lang w:val="en-US"/>
        </w:rPr>
        <w:t xml:space="preserve">Law Commission of India, </w:t>
      </w:r>
      <w:r w:rsidRPr="006D4393">
        <w:rPr>
          <w:rFonts w:ascii="Times New Roman" w:hAnsi="Times New Roman"/>
          <w:i/>
          <w:iCs/>
          <w:lang w:val="en-US"/>
        </w:rPr>
        <w:t xml:space="preserve">Reform of Family Law </w:t>
      </w:r>
      <w:r w:rsidRPr="006D4393">
        <w:rPr>
          <w:rFonts w:ascii="Times New Roman" w:hAnsi="Times New Roman"/>
          <w:lang w:val="en-US"/>
        </w:rPr>
        <w:t>(31 August 2018) para 1.2.</w:t>
      </w:r>
    </w:p>
  </w:footnote>
  <w:footnote w:id="6">
    <w:p w14:paraId="1A173737" w14:textId="77777777" w:rsidR="001A3D80" w:rsidRPr="006D4393" w:rsidRDefault="001A3D80" w:rsidP="001A3D80">
      <w:pPr>
        <w:pStyle w:val="FootnoteText"/>
        <w:rPr>
          <w:rFonts w:ascii="Times New Roman" w:hAnsi="Times New Roman"/>
          <w:lang w:val="en-US"/>
        </w:rPr>
      </w:pPr>
      <w:r w:rsidRPr="006D4393">
        <w:rPr>
          <w:rStyle w:val="FootnoteReference"/>
          <w:rFonts w:ascii="Times New Roman" w:hAnsi="Times New Roman"/>
        </w:rPr>
        <w:footnoteRef/>
      </w:r>
      <w:r w:rsidRPr="006D4393">
        <w:rPr>
          <w:rFonts w:ascii="Times New Roman" w:hAnsi="Times New Roman"/>
        </w:rPr>
        <w:t xml:space="preserve"> Bina Agarwal, </w:t>
      </w:r>
      <w:proofErr w:type="gramStart"/>
      <w:r w:rsidRPr="006D4393">
        <w:rPr>
          <w:rFonts w:ascii="Times New Roman" w:hAnsi="Times New Roman"/>
        </w:rPr>
        <w:t>‘”Bargaining</w:t>
      </w:r>
      <w:proofErr w:type="gramEnd"/>
      <w:r w:rsidRPr="006D4393">
        <w:rPr>
          <w:rFonts w:ascii="Times New Roman" w:hAnsi="Times New Roman"/>
        </w:rPr>
        <w:t>” and Gender Relations: Within and Beyond the Household’ [1997] 3(1) Feminist Economics 1.</w:t>
      </w:r>
    </w:p>
  </w:footnote>
  <w:footnote w:id="7">
    <w:p w14:paraId="07ADEB09" w14:textId="77777777" w:rsidR="001A3D80" w:rsidRPr="006D4393" w:rsidRDefault="001A3D80" w:rsidP="001A3D80">
      <w:pPr>
        <w:pStyle w:val="FootnoteText"/>
        <w:rPr>
          <w:rFonts w:ascii="Times New Roman" w:hAnsi="Times New Roman"/>
          <w:lang w:val="en-US"/>
        </w:rPr>
      </w:pPr>
      <w:r w:rsidRPr="006D4393">
        <w:rPr>
          <w:rStyle w:val="FootnoteReference"/>
          <w:rFonts w:ascii="Times New Roman" w:hAnsi="Times New Roman"/>
        </w:rPr>
        <w:footnoteRef/>
      </w:r>
      <w:r w:rsidRPr="006D4393">
        <w:rPr>
          <w:rFonts w:ascii="Times New Roman" w:hAnsi="Times New Roman"/>
        </w:rPr>
        <w:t xml:space="preserve"> Albertina Almeida, ‘Goa’s Civil Code Shows That Uniformity Does Not Always Mean Equality’ (</w:t>
      </w:r>
      <w:r w:rsidRPr="006D4393">
        <w:rPr>
          <w:rFonts w:ascii="Times New Roman" w:hAnsi="Times New Roman"/>
          <w:i/>
          <w:iCs/>
        </w:rPr>
        <w:t xml:space="preserve">The Wire, </w:t>
      </w:r>
      <w:r w:rsidRPr="006D4393">
        <w:rPr>
          <w:rFonts w:ascii="Times New Roman" w:hAnsi="Times New Roman"/>
        </w:rPr>
        <w:t>8 August 2016) &lt;</w:t>
      </w:r>
      <w:hyperlink r:id="rId1" w:history="1">
        <w:r w:rsidRPr="006D4393">
          <w:rPr>
            <w:rStyle w:val="Hyperlink"/>
            <w:rFonts w:ascii="Times New Roman" w:hAnsi="Times New Roman"/>
          </w:rPr>
          <w:t>https://thewire.in/law/goas-uniform-civil-code-is-not-the-greatest-model-to-follow</w:t>
        </w:r>
      </w:hyperlink>
      <w:r w:rsidRPr="006D4393">
        <w:rPr>
          <w:rFonts w:ascii="Times New Roman" w:hAnsi="Times New Roman"/>
        </w:rPr>
        <w:t xml:space="preserve">&gt; accessed 22 April 2026.  </w:t>
      </w:r>
    </w:p>
  </w:footnote>
  <w:footnote w:id="8">
    <w:p w14:paraId="361E78A2" w14:textId="77777777" w:rsidR="001A3D80" w:rsidRPr="006D4393" w:rsidRDefault="001A3D80" w:rsidP="001A3D80">
      <w:pPr>
        <w:pStyle w:val="FootnoteText"/>
        <w:rPr>
          <w:rFonts w:ascii="Times New Roman" w:hAnsi="Times New Roman"/>
          <w:lang w:val="en-US"/>
        </w:rPr>
      </w:pPr>
      <w:r w:rsidRPr="006D4393">
        <w:rPr>
          <w:rStyle w:val="FootnoteReference"/>
          <w:rFonts w:ascii="Times New Roman" w:hAnsi="Times New Roman"/>
        </w:rPr>
        <w:footnoteRef/>
      </w:r>
      <w:r w:rsidRPr="006D4393">
        <w:rPr>
          <w:rFonts w:ascii="Times New Roman" w:hAnsi="Times New Roman"/>
        </w:rPr>
        <w:t xml:space="preserve"> </w:t>
      </w:r>
      <w:r w:rsidRPr="006D4393">
        <w:rPr>
          <w:rFonts w:ascii="Times New Roman" w:hAnsi="Times New Roman"/>
          <w:lang w:val="en-US"/>
        </w:rPr>
        <w:t>Portuguese Civil Code 1867, art 1117.</w:t>
      </w:r>
    </w:p>
  </w:footnote>
  <w:footnote w:id="9">
    <w:p w14:paraId="4A06B9D0" w14:textId="77777777" w:rsidR="001A3D80" w:rsidRPr="006D4393" w:rsidRDefault="001A3D80" w:rsidP="001A3D80">
      <w:pPr>
        <w:pStyle w:val="FootnoteText"/>
        <w:rPr>
          <w:rFonts w:ascii="Times New Roman" w:hAnsi="Times New Roman"/>
          <w:lang w:val="en-US"/>
        </w:rPr>
      </w:pPr>
      <w:r w:rsidRPr="006D4393">
        <w:rPr>
          <w:rStyle w:val="FootnoteReference"/>
          <w:rFonts w:ascii="Times New Roman" w:hAnsi="Times New Roman"/>
        </w:rPr>
        <w:footnoteRef/>
      </w:r>
      <w:r w:rsidRPr="006D4393">
        <w:rPr>
          <w:rFonts w:ascii="Times New Roman" w:hAnsi="Times New Roman"/>
        </w:rPr>
        <w:t xml:space="preserve"> </w:t>
      </w:r>
      <w:r w:rsidRPr="006D4393">
        <w:rPr>
          <w:rFonts w:ascii="Times New Roman" w:hAnsi="Times New Roman"/>
          <w:lang w:val="en-US"/>
        </w:rPr>
        <w:t>Goa Act, s 247.</w:t>
      </w:r>
    </w:p>
  </w:footnote>
  <w:footnote w:id="10">
    <w:p w14:paraId="7F134E07" w14:textId="77777777" w:rsidR="001A3D80" w:rsidRPr="006D4393" w:rsidRDefault="001A3D80" w:rsidP="001A3D80">
      <w:pPr>
        <w:pStyle w:val="FootnoteText"/>
        <w:rPr>
          <w:rFonts w:ascii="Times New Roman" w:hAnsi="Times New Roman"/>
          <w:lang w:val="en-US"/>
        </w:rPr>
      </w:pPr>
      <w:r w:rsidRPr="006D4393">
        <w:rPr>
          <w:rStyle w:val="FootnoteReference"/>
          <w:rFonts w:ascii="Times New Roman" w:hAnsi="Times New Roman"/>
        </w:rPr>
        <w:footnoteRef/>
      </w:r>
      <w:r w:rsidRPr="006D4393">
        <w:rPr>
          <w:rFonts w:ascii="Times New Roman" w:hAnsi="Times New Roman"/>
        </w:rPr>
        <w:t xml:space="preserve"> Almeida (n 9).</w:t>
      </w:r>
    </w:p>
  </w:footnote>
  <w:footnote w:id="11">
    <w:p w14:paraId="22A57135" w14:textId="77777777" w:rsidR="001A3D80" w:rsidRPr="006D4393" w:rsidRDefault="001A3D80" w:rsidP="001A3D80">
      <w:pPr>
        <w:pStyle w:val="FootnoteText"/>
        <w:rPr>
          <w:rFonts w:ascii="Times New Roman" w:hAnsi="Times New Roman"/>
          <w:lang w:val="en-US"/>
        </w:rPr>
      </w:pPr>
      <w:r w:rsidRPr="006D4393">
        <w:rPr>
          <w:rStyle w:val="FootnoteReference"/>
          <w:rFonts w:ascii="Times New Roman" w:hAnsi="Times New Roman"/>
        </w:rPr>
        <w:footnoteRef/>
      </w:r>
      <w:r w:rsidRPr="006D4393">
        <w:rPr>
          <w:rFonts w:ascii="Times New Roman" w:hAnsi="Times New Roman"/>
        </w:rPr>
        <w:t xml:space="preserve"> </w:t>
      </w:r>
      <w:r w:rsidRPr="006D4393">
        <w:rPr>
          <w:rFonts w:ascii="Times New Roman" w:hAnsi="Times New Roman"/>
          <w:i/>
          <w:iCs/>
        </w:rPr>
        <w:t xml:space="preserve">Jose Paulo Coutinho </w:t>
      </w:r>
      <w:r w:rsidRPr="006D4393">
        <w:rPr>
          <w:rFonts w:ascii="Times New Roman" w:hAnsi="Times New Roman"/>
        </w:rPr>
        <w:t>[17] (n 1).</w:t>
      </w:r>
    </w:p>
  </w:footnote>
  <w:footnote w:id="12">
    <w:p w14:paraId="3FF4D219" w14:textId="77777777" w:rsidR="001A3D80" w:rsidRPr="006D4393" w:rsidRDefault="001A3D80" w:rsidP="001A3D80">
      <w:pPr>
        <w:pStyle w:val="FootnoteText"/>
        <w:rPr>
          <w:rFonts w:ascii="Times New Roman" w:hAnsi="Times New Roman"/>
          <w:lang w:val="en-US"/>
        </w:rPr>
      </w:pPr>
      <w:r w:rsidRPr="006D4393">
        <w:rPr>
          <w:rStyle w:val="FootnoteReference"/>
          <w:rFonts w:ascii="Times New Roman" w:hAnsi="Times New Roman"/>
        </w:rPr>
        <w:footnoteRef/>
      </w:r>
      <w:r w:rsidRPr="006D4393">
        <w:rPr>
          <w:rFonts w:ascii="Times New Roman" w:hAnsi="Times New Roman"/>
        </w:rPr>
        <w:t xml:space="preserve"> ibid [31]. </w:t>
      </w:r>
    </w:p>
  </w:footnote>
  <w:footnote w:id="13">
    <w:p w14:paraId="2E2CECBD" w14:textId="77777777" w:rsidR="001A3D80" w:rsidRPr="006D4393" w:rsidRDefault="001A3D80" w:rsidP="001A3D80">
      <w:pPr>
        <w:pStyle w:val="FootnoteText"/>
        <w:rPr>
          <w:rFonts w:ascii="Times New Roman" w:hAnsi="Times New Roman"/>
          <w:lang w:val="en-US"/>
        </w:rPr>
      </w:pPr>
      <w:r w:rsidRPr="006D4393">
        <w:rPr>
          <w:rStyle w:val="FootnoteReference"/>
          <w:rFonts w:ascii="Times New Roman" w:hAnsi="Times New Roman"/>
        </w:rPr>
        <w:footnoteRef/>
      </w:r>
      <w:r w:rsidRPr="006D4393">
        <w:rPr>
          <w:rFonts w:ascii="Times New Roman" w:hAnsi="Times New Roman"/>
        </w:rPr>
        <w:t xml:space="preserve"> </w:t>
      </w:r>
      <w:r w:rsidRPr="006D4393">
        <w:rPr>
          <w:rFonts w:ascii="Times New Roman" w:hAnsi="Times New Roman"/>
          <w:lang w:val="en-US"/>
        </w:rPr>
        <w:t>Goa Act, s 4(3).</w:t>
      </w:r>
    </w:p>
  </w:footnote>
  <w:footnote w:id="14">
    <w:p w14:paraId="0C82D878" w14:textId="77777777" w:rsidR="001A3D80" w:rsidRPr="006D4393" w:rsidRDefault="001A3D80" w:rsidP="001A3D80">
      <w:pPr>
        <w:pStyle w:val="FootnoteText"/>
        <w:rPr>
          <w:rFonts w:ascii="Times New Roman" w:hAnsi="Times New Roman"/>
          <w:lang w:val="en-US"/>
        </w:rPr>
      </w:pPr>
      <w:r w:rsidRPr="006D4393">
        <w:rPr>
          <w:rStyle w:val="FootnoteReference"/>
          <w:rFonts w:ascii="Times New Roman" w:hAnsi="Times New Roman"/>
        </w:rPr>
        <w:footnoteRef/>
      </w:r>
      <w:r w:rsidRPr="006D4393">
        <w:rPr>
          <w:rFonts w:ascii="Times New Roman" w:hAnsi="Times New Roman"/>
        </w:rPr>
        <w:t xml:space="preserve"> </w:t>
      </w:r>
      <w:r w:rsidRPr="006D4393">
        <w:rPr>
          <w:rFonts w:ascii="Times New Roman" w:hAnsi="Times New Roman"/>
          <w:lang w:val="en-US"/>
        </w:rPr>
        <w:t>Goa Act, s 2(g).</w:t>
      </w:r>
    </w:p>
  </w:footnote>
  <w:footnote w:id="15">
    <w:p w14:paraId="12B723DA" w14:textId="77777777" w:rsidR="001A3D80" w:rsidRPr="006D4393" w:rsidRDefault="001A3D80" w:rsidP="001A3D80">
      <w:pPr>
        <w:pStyle w:val="FootnoteText"/>
        <w:rPr>
          <w:rFonts w:ascii="Times New Roman" w:hAnsi="Times New Roman"/>
          <w:lang w:val="en-US"/>
        </w:rPr>
      </w:pPr>
      <w:r w:rsidRPr="006D4393">
        <w:rPr>
          <w:rStyle w:val="FootnoteReference"/>
          <w:rFonts w:ascii="Times New Roman" w:hAnsi="Times New Roman"/>
        </w:rPr>
        <w:footnoteRef/>
      </w:r>
      <w:r w:rsidRPr="006D4393">
        <w:rPr>
          <w:rFonts w:ascii="Times New Roman" w:hAnsi="Times New Roman"/>
        </w:rPr>
        <w:t xml:space="preserve"> </w:t>
      </w:r>
      <w:r w:rsidRPr="006D4393">
        <w:rPr>
          <w:rFonts w:ascii="Times New Roman" w:hAnsi="Times New Roman"/>
          <w:lang w:val="en-US"/>
        </w:rPr>
        <w:t>Goa Act, ss 189-193.</w:t>
      </w:r>
    </w:p>
  </w:footnote>
  <w:footnote w:id="16">
    <w:p w14:paraId="16E714C6" w14:textId="77777777" w:rsidR="001A3D80" w:rsidRPr="006D4393" w:rsidRDefault="001A3D80" w:rsidP="001A3D80">
      <w:pPr>
        <w:pStyle w:val="FootnoteText"/>
        <w:rPr>
          <w:rFonts w:ascii="Times New Roman" w:hAnsi="Times New Roman"/>
          <w:lang w:val="en-US"/>
        </w:rPr>
      </w:pPr>
      <w:r w:rsidRPr="006D4393">
        <w:rPr>
          <w:rStyle w:val="FootnoteReference"/>
          <w:rFonts w:ascii="Times New Roman" w:hAnsi="Times New Roman"/>
        </w:rPr>
        <w:footnoteRef/>
      </w:r>
      <w:r w:rsidRPr="006D4393">
        <w:rPr>
          <w:rFonts w:ascii="Times New Roman" w:hAnsi="Times New Roman"/>
        </w:rPr>
        <w:t xml:space="preserve"> </w:t>
      </w:r>
      <w:r w:rsidRPr="006D4393">
        <w:rPr>
          <w:rFonts w:ascii="Times New Roman" w:hAnsi="Times New Roman"/>
          <w:lang w:val="en-US"/>
        </w:rPr>
        <w:t>Goa Act, s 191.</w:t>
      </w:r>
    </w:p>
  </w:footnote>
  <w:footnote w:id="17">
    <w:p w14:paraId="3A14BAB5" w14:textId="77777777" w:rsidR="001A3D80" w:rsidRPr="006D4393" w:rsidRDefault="001A3D80" w:rsidP="001A3D80">
      <w:pPr>
        <w:pStyle w:val="FootnoteText"/>
        <w:rPr>
          <w:rFonts w:ascii="Times New Roman" w:hAnsi="Times New Roman"/>
          <w:lang w:val="en-US"/>
        </w:rPr>
      </w:pPr>
      <w:r w:rsidRPr="006D4393">
        <w:rPr>
          <w:rStyle w:val="FootnoteReference"/>
          <w:rFonts w:ascii="Times New Roman" w:hAnsi="Times New Roman"/>
        </w:rPr>
        <w:footnoteRef/>
      </w:r>
      <w:r w:rsidRPr="006D4393">
        <w:rPr>
          <w:rFonts w:ascii="Times New Roman" w:hAnsi="Times New Roman"/>
        </w:rPr>
        <w:t xml:space="preserve"> </w:t>
      </w:r>
      <w:r w:rsidRPr="006D4393">
        <w:rPr>
          <w:rFonts w:ascii="Times New Roman" w:hAnsi="Times New Roman"/>
          <w:lang w:val="en-US"/>
        </w:rPr>
        <w:t>Goa Act, s 83.</w:t>
      </w:r>
    </w:p>
  </w:footnote>
  <w:footnote w:id="18">
    <w:p w14:paraId="484B963C" w14:textId="77777777" w:rsidR="001A3D80" w:rsidRPr="006D4393" w:rsidRDefault="001A3D80" w:rsidP="001A3D80">
      <w:pPr>
        <w:pStyle w:val="FootnoteText"/>
        <w:rPr>
          <w:rFonts w:ascii="Times New Roman" w:hAnsi="Times New Roman"/>
          <w:lang w:val="en-US"/>
        </w:rPr>
      </w:pPr>
      <w:r w:rsidRPr="006D4393">
        <w:rPr>
          <w:rStyle w:val="FootnoteReference"/>
          <w:rFonts w:ascii="Times New Roman" w:hAnsi="Times New Roman"/>
        </w:rPr>
        <w:footnoteRef/>
      </w:r>
      <w:r w:rsidRPr="006D4393">
        <w:rPr>
          <w:rFonts w:ascii="Times New Roman" w:hAnsi="Times New Roman"/>
        </w:rPr>
        <w:t xml:space="preserve"> Iain Brassington, ‘On Rights of Inheritance and Bequest’ [2019] 23 The Journal of Ethics 119. </w:t>
      </w:r>
    </w:p>
  </w:footnote>
  <w:footnote w:id="19">
    <w:p w14:paraId="0BCCD63D" w14:textId="77777777" w:rsidR="00330AB6" w:rsidRPr="00330AB6" w:rsidRDefault="00330AB6" w:rsidP="00330AB6">
      <w:pPr>
        <w:pStyle w:val="FootnoteText"/>
        <w:rPr>
          <w:rFonts w:ascii="Times New Roman" w:hAnsi="Times New Roman"/>
        </w:rPr>
      </w:pPr>
      <w:r w:rsidRPr="00330AB6">
        <w:rPr>
          <w:rStyle w:val="FootnoteReference"/>
          <w:rFonts w:ascii="Times New Roman" w:hAnsi="Times New Roman"/>
        </w:rPr>
        <w:footnoteRef/>
      </w:r>
      <w:r w:rsidRPr="00330AB6">
        <w:rPr>
          <w:rFonts w:ascii="Times New Roman" w:hAnsi="Times New Roman"/>
        </w:rPr>
        <w:t xml:space="preserve"> </w:t>
      </w:r>
      <w:r w:rsidRPr="00330AB6">
        <w:rPr>
          <w:rFonts w:ascii="Times New Roman" w:hAnsi="Times New Roman"/>
          <w:i/>
          <w:iCs/>
        </w:rPr>
        <w:t xml:space="preserve">Jose Paulo Countinho v Maria Luzia Valentina Pereira and </w:t>
      </w:r>
      <w:proofErr w:type="spellStart"/>
      <w:r w:rsidRPr="00330AB6">
        <w:rPr>
          <w:rFonts w:ascii="Times New Roman" w:hAnsi="Times New Roman"/>
          <w:i/>
          <w:iCs/>
        </w:rPr>
        <w:t>Anr</w:t>
      </w:r>
      <w:proofErr w:type="spellEnd"/>
      <w:r w:rsidRPr="00330AB6">
        <w:rPr>
          <w:rFonts w:ascii="Times New Roman" w:hAnsi="Times New Roman"/>
          <w:i/>
          <w:iCs/>
        </w:rPr>
        <w:t xml:space="preserve"> </w:t>
      </w:r>
      <w:r w:rsidRPr="00330AB6">
        <w:rPr>
          <w:rFonts w:ascii="Times New Roman" w:hAnsi="Times New Roman"/>
        </w:rPr>
        <w:t xml:space="preserve">(2019) SCC </w:t>
      </w:r>
      <w:proofErr w:type="spellStart"/>
      <w:r w:rsidRPr="00330AB6">
        <w:rPr>
          <w:rFonts w:ascii="Times New Roman" w:hAnsi="Times New Roman"/>
        </w:rPr>
        <w:t>OnLine</w:t>
      </w:r>
      <w:proofErr w:type="spellEnd"/>
      <w:r w:rsidRPr="00330AB6">
        <w:rPr>
          <w:rFonts w:ascii="Times New Roman" w:hAnsi="Times New Roman"/>
        </w:rPr>
        <w:t xml:space="preserve"> SC 1190 ¶25.</w:t>
      </w:r>
    </w:p>
  </w:footnote>
  <w:footnote w:id="20">
    <w:p w14:paraId="538EAA31" w14:textId="77777777" w:rsidR="00A94E6E" w:rsidRPr="00330AB6" w:rsidRDefault="00A94E6E" w:rsidP="00A94E6E">
      <w:pPr>
        <w:pStyle w:val="FootnoteText"/>
        <w:rPr>
          <w:rFonts w:ascii="Times New Roman" w:hAnsi="Times New Roman"/>
        </w:rPr>
      </w:pPr>
      <w:r w:rsidRPr="00330AB6">
        <w:rPr>
          <w:rStyle w:val="FootnoteReference"/>
          <w:rFonts w:ascii="Times New Roman" w:hAnsi="Times New Roman"/>
        </w:rPr>
        <w:footnoteRef/>
      </w:r>
      <w:r w:rsidRPr="00330AB6">
        <w:rPr>
          <w:rFonts w:ascii="Times New Roman" w:hAnsi="Times New Roman"/>
        </w:rPr>
        <w:t xml:space="preserve"> Nivedita Menon, ‘Uniform Civil Code: Once Again, Where Is Gender Justice?’ (</w:t>
      </w:r>
      <w:proofErr w:type="spellStart"/>
      <w:r w:rsidRPr="00330AB6">
        <w:rPr>
          <w:rFonts w:ascii="Times New Roman" w:hAnsi="Times New Roman"/>
        </w:rPr>
        <w:t>Kafila</w:t>
      </w:r>
      <w:proofErr w:type="spellEnd"/>
      <w:r w:rsidRPr="00330AB6">
        <w:rPr>
          <w:rFonts w:ascii="Times New Roman" w:hAnsi="Times New Roman"/>
        </w:rPr>
        <w:t>, 15 July 2016)</w:t>
      </w:r>
      <w:hyperlink r:id="rId2" w:history="1">
        <w:r w:rsidRPr="00330AB6">
          <w:rPr>
            <w:rStyle w:val="Hyperlink"/>
            <w:rFonts w:ascii="Times New Roman" w:hAnsi="Times New Roman"/>
          </w:rPr>
          <w:t xml:space="preserve"> http://feministlawarchives.pldindia.org/wp-content/uploads/uniform-civil-code-once-again-where-is-gender-justice.pdf</w:t>
        </w:r>
      </w:hyperlink>
    </w:p>
  </w:footnote>
  <w:footnote w:id="21">
    <w:p w14:paraId="58DE93BB" w14:textId="77777777" w:rsidR="00330AB6" w:rsidRPr="00330AB6" w:rsidRDefault="00330AB6" w:rsidP="00330AB6">
      <w:pPr>
        <w:pStyle w:val="FootnoteText"/>
        <w:rPr>
          <w:rFonts w:ascii="Times New Roman" w:hAnsi="Times New Roman"/>
        </w:rPr>
      </w:pPr>
      <w:r w:rsidRPr="00330AB6">
        <w:rPr>
          <w:rStyle w:val="FootnoteReference"/>
          <w:rFonts w:ascii="Times New Roman" w:hAnsi="Times New Roman"/>
        </w:rPr>
        <w:footnoteRef/>
      </w:r>
      <w:r w:rsidRPr="00330AB6">
        <w:rPr>
          <w:rFonts w:ascii="Times New Roman" w:hAnsi="Times New Roman"/>
        </w:rPr>
        <w:t xml:space="preserve"> Portuguese Code of Civil Procedure, 1867, Art 1057</w:t>
      </w:r>
    </w:p>
  </w:footnote>
  <w:footnote w:id="22">
    <w:p w14:paraId="6DD64293" w14:textId="77777777" w:rsidR="00330AB6" w:rsidRPr="00330AB6" w:rsidRDefault="00330AB6" w:rsidP="00330AB6">
      <w:pPr>
        <w:pStyle w:val="FootnoteText"/>
        <w:rPr>
          <w:rFonts w:ascii="Times New Roman" w:hAnsi="Times New Roman"/>
        </w:rPr>
      </w:pPr>
      <w:r w:rsidRPr="00330AB6">
        <w:rPr>
          <w:rStyle w:val="FootnoteReference"/>
          <w:rFonts w:ascii="Times New Roman" w:hAnsi="Times New Roman"/>
        </w:rPr>
        <w:footnoteRef/>
      </w:r>
      <w:r w:rsidRPr="00330AB6">
        <w:rPr>
          <w:rFonts w:ascii="Times New Roman" w:hAnsi="Times New Roman"/>
        </w:rPr>
        <w:t xml:space="preserve"> Usages and Customs of Gentile Hindus of Goa, 1880, Art 3-4. </w:t>
      </w:r>
    </w:p>
  </w:footnote>
  <w:footnote w:id="23">
    <w:p w14:paraId="4FC4F2D8" w14:textId="77777777" w:rsidR="00330AB6" w:rsidRPr="00330AB6" w:rsidRDefault="00330AB6" w:rsidP="00330AB6">
      <w:pPr>
        <w:pStyle w:val="FootnoteText"/>
        <w:rPr>
          <w:rFonts w:ascii="Times New Roman" w:hAnsi="Times New Roman"/>
        </w:rPr>
      </w:pPr>
      <w:r w:rsidRPr="00330AB6">
        <w:rPr>
          <w:rStyle w:val="FootnoteReference"/>
          <w:rFonts w:ascii="Times New Roman" w:hAnsi="Times New Roman"/>
        </w:rPr>
        <w:footnoteRef/>
      </w:r>
      <w:r w:rsidRPr="00330AB6">
        <w:rPr>
          <w:rFonts w:ascii="Times New Roman" w:hAnsi="Times New Roman"/>
        </w:rPr>
        <w:t xml:space="preserve"> Shaila De Souza, </w:t>
      </w:r>
      <w:r w:rsidRPr="00330AB6">
        <w:rPr>
          <w:rFonts w:ascii="Times New Roman" w:hAnsi="Times New Roman"/>
          <w:i/>
          <w:iCs/>
        </w:rPr>
        <w:t>A Situational Analysis of Women in Goa</w:t>
      </w:r>
      <w:r w:rsidRPr="00330AB6">
        <w:rPr>
          <w:rFonts w:ascii="Times New Roman" w:hAnsi="Times New Roman"/>
        </w:rPr>
        <w:t xml:space="preserve"> (National Commission for Women, 2005) </w:t>
      </w:r>
      <w:hyperlink r:id="rId3" w:tgtFrame="_new" w:history="1">
        <w:r w:rsidRPr="00330AB6">
          <w:rPr>
            <w:rStyle w:val="Hyperlink"/>
            <w:rFonts w:ascii="Times New Roman" w:hAnsi="Times New Roman"/>
          </w:rPr>
          <w:t>http://irgu.unigoa.ac.in/drs/bitstream/handle/unigoa/1815/Situational_Anal_Women_Goa_119.pdf?sequence=1&amp;isAllowed=y</w:t>
        </w:r>
      </w:hyperlink>
    </w:p>
  </w:footnote>
  <w:footnote w:id="24">
    <w:p w14:paraId="51A52275" w14:textId="77777777" w:rsidR="00330AB6" w:rsidRPr="00330AB6" w:rsidRDefault="00330AB6" w:rsidP="00330AB6">
      <w:pPr>
        <w:pStyle w:val="FootnoteText"/>
        <w:rPr>
          <w:rFonts w:ascii="Times New Roman" w:hAnsi="Times New Roman"/>
        </w:rPr>
      </w:pPr>
      <w:r w:rsidRPr="00330AB6">
        <w:rPr>
          <w:rStyle w:val="FootnoteReference"/>
          <w:rFonts w:ascii="Times New Roman" w:hAnsi="Times New Roman"/>
        </w:rPr>
        <w:footnoteRef/>
      </w:r>
      <w:r w:rsidRPr="00330AB6">
        <w:rPr>
          <w:rFonts w:ascii="Times New Roman" w:hAnsi="Times New Roman"/>
        </w:rPr>
        <w:t xml:space="preserve">  Portuguese Civil Code (n 3), Art 1108</w:t>
      </w:r>
    </w:p>
  </w:footnote>
  <w:footnote w:id="25">
    <w:p w14:paraId="4727C21D" w14:textId="77777777" w:rsidR="00330AB6" w:rsidRPr="00330AB6" w:rsidRDefault="00330AB6" w:rsidP="00330AB6">
      <w:pPr>
        <w:pStyle w:val="FootnoteText"/>
        <w:rPr>
          <w:rFonts w:ascii="Times New Roman" w:hAnsi="Times New Roman"/>
        </w:rPr>
      </w:pPr>
      <w:r w:rsidRPr="00330AB6">
        <w:rPr>
          <w:rStyle w:val="FootnoteReference"/>
          <w:rFonts w:ascii="Times New Roman" w:hAnsi="Times New Roman"/>
        </w:rPr>
        <w:footnoteRef/>
      </w:r>
      <w:r w:rsidRPr="00330AB6">
        <w:rPr>
          <w:rFonts w:ascii="Times New Roman" w:hAnsi="Times New Roman"/>
        </w:rPr>
        <w:t xml:space="preserve"> ibid, Art 1117</w:t>
      </w:r>
    </w:p>
  </w:footnote>
  <w:footnote w:id="26">
    <w:p w14:paraId="5B4EA3AE" w14:textId="77777777" w:rsidR="00330AB6" w:rsidRPr="00330AB6" w:rsidRDefault="00330AB6" w:rsidP="00330AB6">
      <w:pPr>
        <w:pStyle w:val="FootnoteText"/>
        <w:rPr>
          <w:rFonts w:ascii="Times New Roman" w:hAnsi="Times New Roman"/>
        </w:rPr>
      </w:pPr>
      <w:r w:rsidRPr="00330AB6">
        <w:rPr>
          <w:rStyle w:val="FootnoteReference"/>
          <w:rFonts w:ascii="Times New Roman" w:hAnsi="Times New Roman"/>
        </w:rPr>
        <w:footnoteRef/>
      </w:r>
      <w:r w:rsidRPr="00330AB6">
        <w:rPr>
          <w:rFonts w:ascii="Times New Roman" w:hAnsi="Times New Roman"/>
        </w:rPr>
        <w:t xml:space="preserve"> Goa Succession, Special Notaries and Inventory Proceeding Act, 2012, Section 52. </w:t>
      </w:r>
    </w:p>
  </w:footnote>
  <w:footnote w:id="27">
    <w:p w14:paraId="72EA3F8C" w14:textId="77777777" w:rsidR="00330AB6" w:rsidRPr="00330AB6" w:rsidRDefault="00330AB6" w:rsidP="00330AB6">
      <w:pPr>
        <w:pStyle w:val="FootnoteText"/>
        <w:rPr>
          <w:rFonts w:ascii="Times New Roman" w:hAnsi="Times New Roman"/>
        </w:rPr>
      </w:pPr>
      <w:r w:rsidRPr="00330AB6">
        <w:rPr>
          <w:rStyle w:val="FootnoteReference"/>
          <w:rFonts w:ascii="Times New Roman" w:hAnsi="Times New Roman"/>
        </w:rPr>
        <w:footnoteRef/>
      </w:r>
      <w:r w:rsidRPr="00330AB6">
        <w:rPr>
          <w:rFonts w:ascii="Times New Roman" w:hAnsi="Times New Roman"/>
        </w:rPr>
        <w:t xml:space="preserve"> Almeida A, ‘Goa’s Civil Code Shows That Uniformity Does Not Always Mean Equality’ (The Wire, 2016).</w:t>
      </w:r>
    </w:p>
  </w:footnote>
  <w:footnote w:id="28">
    <w:p w14:paraId="1F94C8EF" w14:textId="77777777" w:rsidR="00330AB6" w:rsidRPr="00330AB6" w:rsidRDefault="00330AB6" w:rsidP="00330AB6">
      <w:pPr>
        <w:pStyle w:val="FootnoteText"/>
        <w:rPr>
          <w:rFonts w:ascii="Times New Roman" w:hAnsi="Times New Roman"/>
        </w:rPr>
      </w:pPr>
      <w:r w:rsidRPr="00330AB6">
        <w:rPr>
          <w:rStyle w:val="FootnoteReference"/>
          <w:rFonts w:ascii="Times New Roman" w:hAnsi="Times New Roman"/>
        </w:rPr>
        <w:footnoteRef/>
      </w:r>
      <w:r w:rsidRPr="00330AB6">
        <w:rPr>
          <w:rFonts w:ascii="Times New Roman" w:hAnsi="Times New Roman"/>
        </w:rPr>
        <w:t xml:space="preserve"> Portuguese Civil Code, 1966</w:t>
      </w:r>
    </w:p>
  </w:footnote>
  <w:footnote w:id="29">
    <w:p w14:paraId="29ED4208" w14:textId="77777777" w:rsidR="00330AB6" w:rsidRPr="00330AB6" w:rsidRDefault="00330AB6" w:rsidP="00330AB6">
      <w:pPr>
        <w:pStyle w:val="FootnoteText"/>
        <w:rPr>
          <w:rFonts w:ascii="Times New Roman" w:hAnsi="Times New Roman"/>
        </w:rPr>
      </w:pPr>
      <w:r w:rsidRPr="00330AB6">
        <w:rPr>
          <w:rStyle w:val="FootnoteReference"/>
          <w:rFonts w:ascii="Times New Roman" w:hAnsi="Times New Roman"/>
        </w:rPr>
        <w:footnoteRef/>
      </w:r>
      <w:r w:rsidRPr="00330AB6">
        <w:rPr>
          <w:rFonts w:ascii="Times New Roman" w:hAnsi="Times New Roman"/>
        </w:rPr>
        <w:t xml:space="preserve"> Convention on the Elimination of All Forms of Discrimination against Women (adopted 18 December 1979, entered into force 3 September 1981) Art 15</w:t>
      </w:r>
    </w:p>
  </w:footnote>
  <w:footnote w:id="30">
    <w:p w14:paraId="0E0AF225" w14:textId="77777777" w:rsidR="00330AB6" w:rsidRPr="00330AB6" w:rsidRDefault="00330AB6" w:rsidP="00330AB6">
      <w:pPr>
        <w:pStyle w:val="FootnoteText"/>
        <w:rPr>
          <w:rFonts w:ascii="Times New Roman" w:hAnsi="Times New Roman"/>
        </w:rPr>
      </w:pPr>
      <w:r w:rsidRPr="00330AB6">
        <w:rPr>
          <w:rStyle w:val="FootnoteReference"/>
          <w:rFonts w:ascii="Times New Roman" w:hAnsi="Times New Roman"/>
        </w:rPr>
        <w:footnoteRef/>
      </w:r>
      <w:r w:rsidRPr="00330AB6">
        <w:rPr>
          <w:rFonts w:ascii="Times New Roman" w:hAnsi="Times New Roman"/>
        </w:rPr>
        <w:t xml:space="preserve"> UN Sub-Commission on the Promotion and Protection of Human Rights, ‘Women and the Right to Land, Property and Adequate Housing’ (Resolution 2005/15, 11 August 2005).</w:t>
      </w:r>
    </w:p>
  </w:footnote>
  <w:footnote w:id="31">
    <w:p w14:paraId="54F8229F" w14:textId="77777777" w:rsidR="00330AB6" w:rsidRPr="00330AB6" w:rsidRDefault="00330AB6" w:rsidP="00330AB6">
      <w:pPr>
        <w:pStyle w:val="FootnoteText"/>
        <w:rPr>
          <w:rFonts w:ascii="Times New Roman" w:hAnsi="Times New Roman"/>
        </w:rPr>
      </w:pPr>
      <w:r w:rsidRPr="00330AB6">
        <w:rPr>
          <w:rStyle w:val="FootnoteReference"/>
          <w:rFonts w:ascii="Times New Roman" w:hAnsi="Times New Roman"/>
        </w:rPr>
        <w:footnoteRef/>
      </w:r>
      <w:r w:rsidRPr="00330AB6">
        <w:rPr>
          <w:rFonts w:ascii="Times New Roman" w:hAnsi="Times New Roman"/>
        </w:rPr>
        <w:t xml:space="preserve"> Portuguese Civil Code (n 3), Art 1784. </w:t>
      </w:r>
    </w:p>
  </w:footnote>
  <w:footnote w:id="32">
    <w:p w14:paraId="4E551BE8" w14:textId="77777777" w:rsidR="00330AB6" w:rsidRPr="00330AB6" w:rsidRDefault="00330AB6" w:rsidP="00330AB6">
      <w:pPr>
        <w:pStyle w:val="FootnoteText"/>
        <w:rPr>
          <w:rFonts w:ascii="Times New Roman" w:hAnsi="Times New Roman"/>
        </w:rPr>
      </w:pPr>
      <w:r w:rsidRPr="00330AB6">
        <w:rPr>
          <w:rStyle w:val="FootnoteReference"/>
          <w:rFonts w:ascii="Times New Roman" w:hAnsi="Times New Roman"/>
        </w:rPr>
        <w:footnoteRef/>
      </w:r>
      <w:r w:rsidRPr="00330AB6">
        <w:rPr>
          <w:rFonts w:ascii="Times New Roman" w:hAnsi="Times New Roman"/>
        </w:rPr>
        <w:t xml:space="preserve"> Kevin Noble Maillard, ‘The </w:t>
      </w:r>
      <w:proofErr w:type="spellStart"/>
      <w:r w:rsidRPr="00330AB6">
        <w:rPr>
          <w:rFonts w:ascii="Times New Roman" w:hAnsi="Times New Roman"/>
        </w:rPr>
        <w:t>Color</w:t>
      </w:r>
      <w:proofErr w:type="spellEnd"/>
      <w:r w:rsidRPr="00330AB6">
        <w:rPr>
          <w:rFonts w:ascii="Times New Roman" w:hAnsi="Times New Roman"/>
        </w:rPr>
        <w:t xml:space="preserve"> of Testamentary Freedom’ (2009) 62 </w:t>
      </w:r>
      <w:r w:rsidRPr="00330AB6">
        <w:rPr>
          <w:rFonts w:ascii="Times New Roman" w:hAnsi="Times New Roman"/>
          <w:i/>
          <w:iCs/>
        </w:rPr>
        <w:t>SMU Law Review</w:t>
      </w:r>
      <w:r w:rsidRPr="00330AB6">
        <w:rPr>
          <w:rFonts w:ascii="Times New Roman" w:hAnsi="Times New Roman"/>
        </w:rPr>
        <w:t xml:space="preserve"> 1783.</w:t>
      </w:r>
    </w:p>
  </w:footnote>
  <w:footnote w:id="33">
    <w:p w14:paraId="321C6D92" w14:textId="77777777" w:rsidR="00330AB6" w:rsidRPr="00330AB6" w:rsidRDefault="00330AB6" w:rsidP="00330AB6">
      <w:pPr>
        <w:pStyle w:val="FootnoteText"/>
        <w:rPr>
          <w:rFonts w:ascii="Times New Roman" w:hAnsi="Times New Roman"/>
        </w:rPr>
      </w:pPr>
      <w:r w:rsidRPr="00330AB6">
        <w:rPr>
          <w:rStyle w:val="FootnoteReference"/>
          <w:rFonts w:ascii="Times New Roman" w:hAnsi="Times New Roman"/>
        </w:rPr>
        <w:footnoteRef/>
      </w:r>
      <w:r w:rsidRPr="00330AB6">
        <w:rPr>
          <w:rFonts w:ascii="Times New Roman" w:hAnsi="Times New Roman"/>
        </w:rPr>
        <w:t xml:space="preserve"> Melanie B Leslie, ‘The Myth of Testamentary Freedom’ (1996) 38 </w:t>
      </w:r>
      <w:r w:rsidRPr="00330AB6">
        <w:rPr>
          <w:rFonts w:ascii="Times New Roman" w:hAnsi="Times New Roman"/>
          <w:i/>
          <w:iCs/>
        </w:rPr>
        <w:t>Arizona Law Review</w:t>
      </w:r>
      <w:r w:rsidRPr="00330AB6">
        <w:rPr>
          <w:rFonts w:ascii="Times New Roman" w:hAnsi="Times New Roman"/>
        </w:rPr>
        <w:t xml:space="preserve"> 235.</w:t>
      </w:r>
    </w:p>
  </w:footnote>
  <w:footnote w:id="34">
    <w:p w14:paraId="3FAA7C3C" w14:textId="77777777" w:rsidR="00D1633C" w:rsidRPr="00330AB6" w:rsidRDefault="00D1633C" w:rsidP="00D1633C">
      <w:pPr>
        <w:pStyle w:val="FootnoteText"/>
        <w:rPr>
          <w:rFonts w:ascii="Times New Roman" w:hAnsi="Times New Roman"/>
          <w:lang w:val="en-US"/>
        </w:rPr>
      </w:pPr>
      <w:r w:rsidRPr="00330AB6">
        <w:rPr>
          <w:rStyle w:val="FootnoteReference"/>
          <w:rFonts w:ascii="Times New Roman" w:hAnsi="Times New Roman"/>
        </w:rPr>
        <w:footnoteRef/>
      </w:r>
      <w:r w:rsidRPr="00330AB6">
        <w:rPr>
          <w:rFonts w:ascii="Times New Roman" w:hAnsi="Times New Roman"/>
        </w:rPr>
        <w:t xml:space="preserve"> The Constitution of India, 1950, art 44.</w:t>
      </w:r>
    </w:p>
  </w:footnote>
  <w:footnote w:id="35">
    <w:p w14:paraId="0A6CD2B5" w14:textId="77777777" w:rsidR="00D1633C" w:rsidRPr="00330AB6" w:rsidRDefault="00D1633C" w:rsidP="00D1633C">
      <w:pPr>
        <w:pStyle w:val="FootnoteText"/>
        <w:rPr>
          <w:rFonts w:ascii="Times New Roman" w:hAnsi="Times New Roman"/>
          <w:lang w:val="en-US"/>
        </w:rPr>
      </w:pPr>
      <w:r w:rsidRPr="00330AB6">
        <w:rPr>
          <w:rStyle w:val="FootnoteReference"/>
          <w:rFonts w:ascii="Times New Roman" w:hAnsi="Times New Roman"/>
        </w:rPr>
        <w:footnoteRef/>
      </w:r>
      <w:r w:rsidRPr="00330AB6">
        <w:rPr>
          <w:rFonts w:ascii="Times New Roman" w:hAnsi="Times New Roman"/>
        </w:rPr>
        <w:t xml:space="preserve"> Shaila Desouza, </w:t>
      </w:r>
      <w:proofErr w:type="gramStart"/>
      <w:r w:rsidRPr="00330AB6">
        <w:rPr>
          <w:rFonts w:ascii="Times New Roman" w:hAnsi="Times New Roman"/>
        </w:rPr>
        <w:t>‘”Just</w:t>
      </w:r>
      <w:proofErr w:type="gramEnd"/>
      <w:r w:rsidRPr="00330AB6">
        <w:rPr>
          <w:rFonts w:ascii="Times New Roman" w:hAnsi="Times New Roman"/>
        </w:rPr>
        <w:t xml:space="preserve">” Laws are not enough: A Note on the Common Civil Code, Marriage and Inheritance in Goa’ in Sumi Krishna (ed), </w:t>
      </w:r>
      <w:r w:rsidRPr="00330AB6">
        <w:rPr>
          <w:rFonts w:ascii="Times New Roman" w:hAnsi="Times New Roman"/>
          <w:i/>
          <w:iCs/>
        </w:rPr>
        <w:t>Women’s Livelihood Rights: Recasting Citizenship for Development</w:t>
      </w:r>
      <w:r w:rsidRPr="00330AB6">
        <w:rPr>
          <w:rFonts w:ascii="Times New Roman" w:hAnsi="Times New Roman"/>
        </w:rPr>
        <w:t xml:space="preserve"> (Sage 2007) 277.</w:t>
      </w:r>
    </w:p>
  </w:footnote>
  <w:footnote w:id="36">
    <w:p w14:paraId="0BDC131E" w14:textId="77777777" w:rsidR="00D1633C" w:rsidRPr="00330AB6" w:rsidRDefault="00D1633C" w:rsidP="00D1633C">
      <w:pPr>
        <w:pStyle w:val="FootnoteText"/>
        <w:rPr>
          <w:rFonts w:ascii="Times New Roman" w:hAnsi="Times New Roman"/>
          <w:lang w:val="en-US"/>
        </w:rPr>
      </w:pPr>
      <w:r w:rsidRPr="00330AB6">
        <w:rPr>
          <w:rStyle w:val="FootnoteReference"/>
          <w:rFonts w:ascii="Times New Roman" w:hAnsi="Times New Roman"/>
        </w:rPr>
        <w:footnoteRef/>
      </w:r>
      <w:r w:rsidRPr="00330AB6">
        <w:rPr>
          <w:rFonts w:ascii="Times New Roman" w:hAnsi="Times New Roman"/>
        </w:rPr>
        <w:t xml:space="preserve"> </w:t>
      </w:r>
      <w:r w:rsidRPr="00330AB6">
        <w:rPr>
          <w:rFonts w:ascii="Times New Roman" w:hAnsi="Times New Roman"/>
          <w:lang w:val="en-US"/>
        </w:rPr>
        <w:t>Ibid 280.</w:t>
      </w:r>
    </w:p>
  </w:footnote>
  <w:footnote w:id="37">
    <w:p w14:paraId="462CBD1B" w14:textId="4F1D9B1E" w:rsidR="00CD4815" w:rsidRPr="00330AB6" w:rsidRDefault="00CD4815">
      <w:pPr>
        <w:pStyle w:val="FootnoteText"/>
        <w:rPr>
          <w:rFonts w:ascii="Times New Roman" w:hAnsi="Times New Roman"/>
          <w:lang w:val="en-US"/>
        </w:rPr>
      </w:pPr>
      <w:r w:rsidRPr="00330AB6">
        <w:rPr>
          <w:rStyle w:val="FootnoteReference"/>
          <w:rFonts w:ascii="Times New Roman" w:hAnsi="Times New Roman"/>
        </w:rPr>
        <w:footnoteRef/>
      </w:r>
      <w:r w:rsidRPr="00330AB6">
        <w:rPr>
          <w:rFonts w:ascii="Times New Roman" w:hAnsi="Times New Roman"/>
        </w:rPr>
        <w:t xml:space="preserve"> </w:t>
      </w:r>
      <w:r w:rsidRPr="00330AB6">
        <w:rPr>
          <w:rFonts w:ascii="Times New Roman" w:hAnsi="Times New Roman"/>
          <w:lang w:val="en-US"/>
        </w:rPr>
        <w:t>Ibid 283 &amp; 282.</w:t>
      </w:r>
    </w:p>
  </w:footnote>
  <w:footnote w:id="38">
    <w:p w14:paraId="209365A0" w14:textId="7E94EC59" w:rsidR="00CD4815" w:rsidRPr="00330AB6" w:rsidRDefault="00CD4815">
      <w:pPr>
        <w:pStyle w:val="FootnoteText"/>
        <w:rPr>
          <w:rFonts w:ascii="Times New Roman" w:hAnsi="Times New Roman"/>
          <w:lang w:val="en-US"/>
        </w:rPr>
      </w:pPr>
      <w:r w:rsidRPr="00330AB6">
        <w:rPr>
          <w:rStyle w:val="FootnoteReference"/>
          <w:rFonts w:ascii="Times New Roman" w:hAnsi="Times New Roman"/>
        </w:rPr>
        <w:footnoteRef/>
      </w:r>
      <w:r w:rsidRPr="00330AB6">
        <w:rPr>
          <w:rFonts w:ascii="Times New Roman" w:hAnsi="Times New Roman"/>
        </w:rPr>
        <w:t xml:space="preserve"> </w:t>
      </w:r>
      <w:r w:rsidRPr="00330AB6">
        <w:rPr>
          <w:rFonts w:ascii="Times New Roman" w:hAnsi="Times New Roman"/>
          <w:lang w:val="en-US"/>
        </w:rPr>
        <w:t xml:space="preserve">Albertina Almeida, ‘Goa’s Civil Code Shows That Uniformity Does Not Always Mean Equality’ (The Wire, 8 August 2016)  </w:t>
      </w:r>
      <w:hyperlink r:id="rId4" w:history="1">
        <w:r w:rsidRPr="00330AB6">
          <w:rPr>
            <w:rStyle w:val="Hyperlink"/>
            <w:rFonts w:ascii="Times New Roman" w:hAnsi="Times New Roman"/>
            <w:lang w:val="en-US"/>
          </w:rPr>
          <w:t>https://share.google/DySxcunxbXpSvwTF4</w:t>
        </w:r>
      </w:hyperlink>
      <w:r w:rsidRPr="00330AB6">
        <w:rPr>
          <w:rFonts w:ascii="Times New Roman" w:hAnsi="Times New Roman"/>
          <w:lang w:val="en-US"/>
        </w:rPr>
        <w:t>.</w:t>
      </w:r>
    </w:p>
  </w:footnote>
  <w:footnote w:id="39">
    <w:p w14:paraId="14D62391" w14:textId="77777777" w:rsidR="00D1633C" w:rsidRPr="00330AB6" w:rsidRDefault="00D1633C" w:rsidP="00D1633C">
      <w:pPr>
        <w:pStyle w:val="FootnoteText"/>
        <w:rPr>
          <w:rFonts w:ascii="Times New Roman" w:hAnsi="Times New Roman"/>
          <w:lang w:val="en-US"/>
        </w:rPr>
      </w:pPr>
      <w:r w:rsidRPr="00330AB6">
        <w:rPr>
          <w:rStyle w:val="FootnoteReference"/>
          <w:rFonts w:ascii="Times New Roman" w:hAnsi="Times New Roman"/>
        </w:rPr>
        <w:footnoteRef/>
      </w:r>
      <w:r w:rsidRPr="00330AB6">
        <w:rPr>
          <w:rFonts w:ascii="Times New Roman" w:hAnsi="Times New Roman"/>
        </w:rPr>
        <w:t xml:space="preserve"> </w:t>
      </w:r>
      <w:r w:rsidRPr="00330AB6">
        <w:rPr>
          <w:rFonts w:ascii="Times New Roman" w:hAnsi="Times New Roman"/>
          <w:i/>
          <w:iCs/>
        </w:rPr>
        <w:t xml:space="preserve">Jose Paulo Coutinho v. Maria Luiza Valentina Pereira </w:t>
      </w:r>
      <w:r w:rsidRPr="00330AB6">
        <w:rPr>
          <w:rFonts w:ascii="Times New Roman" w:hAnsi="Times New Roman"/>
        </w:rPr>
        <w:t>(2019) 20 SCC 85.</w:t>
      </w:r>
    </w:p>
  </w:footnote>
  <w:footnote w:id="40">
    <w:p w14:paraId="761F37F5" w14:textId="77777777" w:rsidR="00D1633C" w:rsidRPr="00330AB6" w:rsidRDefault="00D1633C" w:rsidP="00D1633C">
      <w:pPr>
        <w:pStyle w:val="FootnoteText"/>
        <w:rPr>
          <w:rFonts w:ascii="Times New Roman" w:hAnsi="Times New Roman"/>
          <w:lang w:val="en-US"/>
        </w:rPr>
      </w:pPr>
      <w:r w:rsidRPr="00330AB6">
        <w:rPr>
          <w:rStyle w:val="FootnoteReference"/>
          <w:rFonts w:ascii="Times New Roman" w:hAnsi="Times New Roman"/>
        </w:rPr>
        <w:footnoteRef/>
      </w:r>
      <w:r w:rsidRPr="00330AB6">
        <w:rPr>
          <w:rFonts w:ascii="Times New Roman" w:hAnsi="Times New Roman"/>
        </w:rPr>
        <w:t xml:space="preserve"> </w:t>
      </w:r>
      <w:r w:rsidRPr="00330AB6">
        <w:rPr>
          <w:rFonts w:ascii="Times New Roman" w:hAnsi="Times New Roman"/>
          <w:i/>
          <w:iCs/>
        </w:rPr>
        <w:t>Mohd Ahmed Khan v Shah Bano Begum</w:t>
      </w:r>
      <w:r w:rsidRPr="00330AB6">
        <w:rPr>
          <w:rFonts w:ascii="Times New Roman" w:hAnsi="Times New Roman"/>
        </w:rPr>
        <w:t xml:space="preserve"> (1985) 2 SCC 556.</w:t>
      </w:r>
    </w:p>
  </w:footnote>
  <w:footnote w:id="41">
    <w:p w14:paraId="26B29A62" w14:textId="77777777" w:rsidR="00D1633C" w:rsidRPr="00330AB6" w:rsidRDefault="00D1633C" w:rsidP="00D1633C">
      <w:pPr>
        <w:pStyle w:val="FootnoteText"/>
        <w:rPr>
          <w:rFonts w:ascii="Times New Roman" w:hAnsi="Times New Roman"/>
          <w:lang w:val="en-US"/>
        </w:rPr>
      </w:pPr>
      <w:r w:rsidRPr="00330AB6">
        <w:rPr>
          <w:rStyle w:val="FootnoteReference"/>
          <w:rFonts w:ascii="Times New Roman" w:hAnsi="Times New Roman"/>
        </w:rPr>
        <w:footnoteRef/>
      </w:r>
      <w:r w:rsidRPr="00330AB6">
        <w:rPr>
          <w:rFonts w:ascii="Times New Roman" w:hAnsi="Times New Roman"/>
        </w:rPr>
        <w:t xml:space="preserve"> </w:t>
      </w:r>
      <w:r w:rsidRPr="00330AB6">
        <w:rPr>
          <w:rFonts w:ascii="Times New Roman" w:hAnsi="Times New Roman"/>
          <w:i/>
          <w:iCs/>
        </w:rPr>
        <w:t>Sarla Mudgal v Union of India</w:t>
      </w:r>
      <w:r w:rsidRPr="00330AB6">
        <w:rPr>
          <w:rFonts w:ascii="Times New Roman" w:hAnsi="Times New Roman"/>
        </w:rPr>
        <w:t xml:space="preserve"> (1995) 3 SCC 635.</w:t>
      </w:r>
    </w:p>
  </w:footnote>
  <w:footnote w:id="42">
    <w:p w14:paraId="2CD95621" w14:textId="77777777" w:rsidR="00D1633C" w:rsidRPr="00330AB6" w:rsidRDefault="00D1633C" w:rsidP="00D1633C">
      <w:pPr>
        <w:pStyle w:val="FootnoteText"/>
        <w:rPr>
          <w:rFonts w:ascii="Times New Roman" w:hAnsi="Times New Roman"/>
          <w:lang w:val="en-US"/>
        </w:rPr>
      </w:pPr>
      <w:r w:rsidRPr="00330AB6">
        <w:rPr>
          <w:rStyle w:val="FootnoteReference"/>
          <w:rFonts w:ascii="Times New Roman" w:hAnsi="Times New Roman"/>
        </w:rPr>
        <w:footnoteRef/>
      </w:r>
      <w:r w:rsidRPr="00330AB6">
        <w:rPr>
          <w:rFonts w:ascii="Times New Roman" w:hAnsi="Times New Roman"/>
        </w:rPr>
        <w:t xml:space="preserve"> </w:t>
      </w:r>
      <w:proofErr w:type="spellStart"/>
      <w:r w:rsidRPr="00330AB6">
        <w:rPr>
          <w:rFonts w:ascii="Times New Roman" w:hAnsi="Times New Roman"/>
          <w:i/>
          <w:iCs/>
        </w:rPr>
        <w:t>Shayara</w:t>
      </w:r>
      <w:proofErr w:type="spellEnd"/>
      <w:r w:rsidRPr="00330AB6">
        <w:rPr>
          <w:rFonts w:ascii="Times New Roman" w:hAnsi="Times New Roman"/>
          <w:i/>
          <w:iCs/>
        </w:rPr>
        <w:t xml:space="preserve"> Bano v Union of India</w:t>
      </w:r>
      <w:r w:rsidRPr="00330AB6">
        <w:rPr>
          <w:rFonts w:ascii="Times New Roman" w:hAnsi="Times New Roman"/>
        </w:rPr>
        <w:t xml:space="preserve"> (2017) 9 SCC 1.</w:t>
      </w:r>
    </w:p>
  </w:footnote>
  <w:footnote w:id="43">
    <w:p w14:paraId="28C9F021" w14:textId="77777777" w:rsidR="00D1633C" w:rsidRPr="00330AB6" w:rsidRDefault="00D1633C" w:rsidP="00D1633C">
      <w:pPr>
        <w:pStyle w:val="FootnoteText"/>
        <w:rPr>
          <w:rFonts w:ascii="Times New Roman" w:hAnsi="Times New Roman"/>
          <w:lang w:val="en-US"/>
        </w:rPr>
      </w:pPr>
      <w:r w:rsidRPr="00330AB6">
        <w:rPr>
          <w:rStyle w:val="FootnoteReference"/>
          <w:rFonts w:ascii="Times New Roman" w:hAnsi="Times New Roman"/>
        </w:rPr>
        <w:footnoteRef/>
      </w:r>
      <w:r w:rsidRPr="00330AB6">
        <w:rPr>
          <w:rFonts w:ascii="Times New Roman" w:hAnsi="Times New Roman"/>
        </w:rPr>
        <w:t xml:space="preserve"> </w:t>
      </w:r>
      <w:r w:rsidRPr="00330AB6">
        <w:rPr>
          <w:rFonts w:ascii="Times New Roman" w:hAnsi="Times New Roman"/>
          <w:i/>
          <w:iCs/>
        </w:rPr>
        <w:t>John Vallamattom v Union of India</w:t>
      </w:r>
      <w:r w:rsidRPr="00330AB6">
        <w:rPr>
          <w:rFonts w:ascii="Times New Roman" w:hAnsi="Times New Roman"/>
        </w:rPr>
        <w:t xml:space="preserve"> (2003) 6 SCC 611.</w:t>
      </w:r>
    </w:p>
  </w:footnote>
  <w:footnote w:id="44">
    <w:p w14:paraId="660DE80B" w14:textId="77777777" w:rsidR="00D1633C" w:rsidRPr="00330AB6" w:rsidRDefault="00D1633C" w:rsidP="00D1633C">
      <w:pPr>
        <w:pStyle w:val="FootnoteText"/>
        <w:rPr>
          <w:rFonts w:ascii="Times New Roman" w:hAnsi="Times New Roman"/>
          <w:lang w:val="en-US"/>
        </w:rPr>
      </w:pPr>
      <w:r w:rsidRPr="00330AB6">
        <w:rPr>
          <w:rStyle w:val="FootnoteReference"/>
          <w:rFonts w:ascii="Times New Roman" w:hAnsi="Times New Roman"/>
        </w:rPr>
        <w:footnoteRef/>
      </w:r>
      <w:r w:rsidRPr="00330AB6">
        <w:rPr>
          <w:rFonts w:ascii="Times New Roman" w:hAnsi="Times New Roman"/>
        </w:rPr>
        <w:t xml:space="preserve"> </w:t>
      </w:r>
      <w:r w:rsidRPr="00330AB6">
        <w:rPr>
          <w:rFonts w:ascii="Times New Roman" w:hAnsi="Times New Roman"/>
          <w:i/>
          <w:iCs/>
        </w:rPr>
        <w:t xml:space="preserve">M. </w:t>
      </w:r>
      <w:proofErr w:type="spellStart"/>
      <w:r w:rsidRPr="00330AB6">
        <w:rPr>
          <w:rFonts w:ascii="Times New Roman" w:hAnsi="Times New Roman"/>
          <w:i/>
          <w:iCs/>
        </w:rPr>
        <w:t>Kadirvelu</w:t>
      </w:r>
      <w:proofErr w:type="spellEnd"/>
      <w:r w:rsidRPr="00330AB6">
        <w:rPr>
          <w:rFonts w:ascii="Times New Roman" w:hAnsi="Times New Roman"/>
          <w:i/>
          <w:iCs/>
        </w:rPr>
        <w:t xml:space="preserve"> v. G. Santhanalakshmi</w:t>
      </w:r>
      <w:r w:rsidRPr="00330AB6">
        <w:rPr>
          <w:rFonts w:ascii="Times New Roman" w:hAnsi="Times New Roman"/>
        </w:rPr>
        <w:t xml:space="preserve">, Madras High Court (2016) 4 </w:t>
      </w:r>
      <w:proofErr w:type="spellStart"/>
      <w:r w:rsidRPr="00330AB6">
        <w:rPr>
          <w:rFonts w:ascii="Times New Roman" w:hAnsi="Times New Roman"/>
        </w:rPr>
        <w:t>Mad.LJ</w:t>
      </w:r>
      <w:proofErr w:type="spellEnd"/>
      <w:r w:rsidRPr="00330AB6">
        <w:rPr>
          <w:rFonts w:ascii="Times New Roman" w:hAnsi="Times New Roman"/>
        </w:rPr>
        <w:t xml:space="preserve"> 562.</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33000E"/>
    <w:multiLevelType w:val="multilevel"/>
    <w:tmpl w:val="8EC80144"/>
    <w:lvl w:ilvl="0">
      <w:start w:val="1"/>
      <w:numFmt w:val="decimal"/>
      <w:lvlText w:val="%1."/>
      <w:lvlJc w:val="left"/>
      <w:pPr>
        <w:tabs>
          <w:tab w:val="num" w:pos="786"/>
        </w:tabs>
        <w:ind w:left="786" w:hanging="360"/>
      </w:pPr>
    </w:lvl>
    <w:lvl w:ilvl="1" w:tentative="1">
      <w:start w:val="1"/>
      <w:numFmt w:val="decimal"/>
      <w:lvlText w:val="%2."/>
      <w:lvlJc w:val="left"/>
      <w:pPr>
        <w:tabs>
          <w:tab w:val="num" w:pos="1506"/>
        </w:tabs>
        <w:ind w:left="1506" w:hanging="360"/>
      </w:pPr>
    </w:lvl>
    <w:lvl w:ilvl="2" w:tentative="1">
      <w:start w:val="1"/>
      <w:numFmt w:val="decimal"/>
      <w:lvlText w:val="%3."/>
      <w:lvlJc w:val="left"/>
      <w:pPr>
        <w:tabs>
          <w:tab w:val="num" w:pos="2226"/>
        </w:tabs>
        <w:ind w:left="2226" w:hanging="360"/>
      </w:pPr>
    </w:lvl>
    <w:lvl w:ilvl="3" w:tentative="1">
      <w:start w:val="1"/>
      <w:numFmt w:val="decimal"/>
      <w:lvlText w:val="%4."/>
      <w:lvlJc w:val="left"/>
      <w:pPr>
        <w:tabs>
          <w:tab w:val="num" w:pos="2946"/>
        </w:tabs>
        <w:ind w:left="2946" w:hanging="360"/>
      </w:pPr>
    </w:lvl>
    <w:lvl w:ilvl="4" w:tentative="1">
      <w:start w:val="1"/>
      <w:numFmt w:val="decimal"/>
      <w:lvlText w:val="%5."/>
      <w:lvlJc w:val="left"/>
      <w:pPr>
        <w:tabs>
          <w:tab w:val="num" w:pos="3666"/>
        </w:tabs>
        <w:ind w:left="3666" w:hanging="360"/>
      </w:pPr>
    </w:lvl>
    <w:lvl w:ilvl="5" w:tentative="1">
      <w:start w:val="1"/>
      <w:numFmt w:val="decimal"/>
      <w:lvlText w:val="%6."/>
      <w:lvlJc w:val="left"/>
      <w:pPr>
        <w:tabs>
          <w:tab w:val="num" w:pos="4386"/>
        </w:tabs>
        <w:ind w:left="4386" w:hanging="360"/>
      </w:pPr>
    </w:lvl>
    <w:lvl w:ilvl="6" w:tentative="1">
      <w:start w:val="1"/>
      <w:numFmt w:val="decimal"/>
      <w:lvlText w:val="%7."/>
      <w:lvlJc w:val="left"/>
      <w:pPr>
        <w:tabs>
          <w:tab w:val="num" w:pos="5106"/>
        </w:tabs>
        <w:ind w:left="5106" w:hanging="360"/>
      </w:pPr>
    </w:lvl>
    <w:lvl w:ilvl="7" w:tentative="1">
      <w:start w:val="1"/>
      <w:numFmt w:val="decimal"/>
      <w:lvlText w:val="%8."/>
      <w:lvlJc w:val="left"/>
      <w:pPr>
        <w:tabs>
          <w:tab w:val="num" w:pos="5826"/>
        </w:tabs>
        <w:ind w:left="5826" w:hanging="360"/>
      </w:pPr>
    </w:lvl>
    <w:lvl w:ilvl="8" w:tentative="1">
      <w:start w:val="1"/>
      <w:numFmt w:val="decimal"/>
      <w:lvlText w:val="%9."/>
      <w:lvlJc w:val="left"/>
      <w:pPr>
        <w:tabs>
          <w:tab w:val="num" w:pos="6546"/>
        </w:tabs>
        <w:ind w:left="6546" w:hanging="360"/>
      </w:pPr>
    </w:lvl>
  </w:abstractNum>
  <w:abstractNum w:abstractNumId="1" w15:restartNumberingAfterBreak="0">
    <w:nsid w:val="25513AD1"/>
    <w:multiLevelType w:val="multilevel"/>
    <w:tmpl w:val="D4289B86"/>
    <w:lvl w:ilvl="0">
      <w:start w:val="1"/>
      <w:numFmt w:val="decimal"/>
      <w:lvlText w:val="%1."/>
      <w:lvlJc w:val="left"/>
      <w:pPr>
        <w:tabs>
          <w:tab w:val="num" w:pos="720"/>
        </w:tabs>
        <w:ind w:left="720" w:hanging="360"/>
      </w:pPr>
    </w:lvl>
    <w:lvl w:ilvl="1">
      <w:start w:val="1"/>
      <w:numFmt w:val="lowerLetter"/>
      <w:lvlText w:val="%2."/>
      <w:lvlJc w:val="left"/>
      <w:pPr>
        <w:ind w:left="1440" w:hanging="360"/>
      </w:pPr>
      <w:rPr>
        <w:rFonts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2DA30617"/>
    <w:multiLevelType w:val="hybridMultilevel"/>
    <w:tmpl w:val="383E1216"/>
    <w:lvl w:ilvl="0" w:tplc="44A26F96">
      <w:start w:val="1"/>
      <w:numFmt w:val="decimal"/>
      <w:lvlText w:val="%1)"/>
      <w:lvlJc w:val="left"/>
      <w:pPr>
        <w:ind w:left="360" w:hanging="360"/>
      </w:pPr>
      <w:rPr>
        <w:rFonts w:hint="default"/>
        <w:color w:val="000000"/>
      </w:r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3" w15:restartNumberingAfterBreak="0">
    <w:nsid w:val="48F065DE"/>
    <w:multiLevelType w:val="hybridMultilevel"/>
    <w:tmpl w:val="644E88D2"/>
    <w:lvl w:ilvl="0" w:tplc="C56AFCA8">
      <w:start w:val="1"/>
      <w:numFmt w:val="upperLetter"/>
      <w:lvlText w:val="%1."/>
      <w:lvlJc w:val="left"/>
      <w:pPr>
        <w:ind w:left="720" w:hanging="360"/>
      </w:pPr>
      <w:rPr>
        <w:rFonts w:hint="default"/>
        <w:color w:val="000000" w:themeColor="text1"/>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4" w15:restartNumberingAfterBreak="0">
    <w:nsid w:val="49296FFA"/>
    <w:multiLevelType w:val="hybridMultilevel"/>
    <w:tmpl w:val="8C74E424"/>
    <w:lvl w:ilvl="0" w:tplc="2764944C">
      <w:start w:val="1"/>
      <w:numFmt w:val="lowerRoman"/>
      <w:lvlText w:val="%1)"/>
      <w:lvlJc w:val="left"/>
      <w:pPr>
        <w:ind w:left="1080" w:hanging="72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5" w15:restartNumberingAfterBreak="0">
    <w:nsid w:val="659B4283"/>
    <w:multiLevelType w:val="hybridMultilevel"/>
    <w:tmpl w:val="79A06968"/>
    <w:lvl w:ilvl="0" w:tplc="3EF24A7A">
      <w:start w:val="1"/>
      <w:numFmt w:val="decimal"/>
      <w:lvlText w:val="%1."/>
      <w:lvlJc w:val="left"/>
      <w:pPr>
        <w:ind w:left="360" w:hanging="360"/>
      </w:pPr>
      <w:rPr>
        <w:rFonts w:hint="default"/>
        <w:i w:val="0"/>
        <w:iCs w:val="0"/>
        <w:strike w:val="0"/>
      </w:r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6" w15:restartNumberingAfterBreak="0">
    <w:nsid w:val="676F51AD"/>
    <w:multiLevelType w:val="hybridMultilevel"/>
    <w:tmpl w:val="B9C2F124"/>
    <w:lvl w:ilvl="0" w:tplc="68AC07FC">
      <w:start w:val="1"/>
      <w:numFmt w:val="bullet"/>
      <w:lvlText w:val="-"/>
      <w:lvlJc w:val="left"/>
      <w:pPr>
        <w:ind w:left="720" w:hanging="360"/>
      </w:pPr>
      <w:rPr>
        <w:rFonts w:ascii="Times New Roman" w:eastAsiaTheme="minorHAnsi" w:hAnsi="Times New Roman" w:cs="Times New Roman" w:hint="default"/>
        <w:i/>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7" w15:restartNumberingAfterBreak="0">
    <w:nsid w:val="69733136"/>
    <w:multiLevelType w:val="hybridMultilevel"/>
    <w:tmpl w:val="65F62C34"/>
    <w:lvl w:ilvl="0" w:tplc="4009000F">
      <w:start w:val="1"/>
      <w:numFmt w:val="decimal"/>
      <w:lvlText w:val="%1."/>
      <w:lvlJc w:val="left"/>
      <w:pPr>
        <w:ind w:left="720" w:hanging="360"/>
      </w:pPr>
    </w:lvl>
    <w:lvl w:ilvl="1" w:tplc="40090019">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16cid:durableId="388652966">
    <w:abstractNumId w:val="6"/>
  </w:num>
  <w:num w:numId="2" w16cid:durableId="435365093">
    <w:abstractNumId w:val="4"/>
  </w:num>
  <w:num w:numId="3" w16cid:durableId="610624228">
    <w:abstractNumId w:val="1"/>
    <w:lvlOverride w:ilvl="0">
      <w:lvl w:ilvl="0">
        <w:numFmt w:val="upperLetter"/>
        <w:lvlText w:val="%1."/>
        <w:lvlJc w:val="left"/>
      </w:lvl>
    </w:lvlOverride>
  </w:num>
  <w:num w:numId="4" w16cid:durableId="1929314622">
    <w:abstractNumId w:val="0"/>
  </w:num>
  <w:num w:numId="5" w16cid:durableId="1096747939">
    <w:abstractNumId w:val="2"/>
  </w:num>
  <w:num w:numId="6" w16cid:durableId="522742883">
    <w:abstractNumId w:val="7"/>
  </w:num>
  <w:num w:numId="7" w16cid:durableId="462890233">
    <w:abstractNumId w:val="5"/>
  </w:num>
  <w:num w:numId="8" w16cid:durableId="1640837175">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4"/>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9376A"/>
    <w:rsid w:val="000C3BC5"/>
    <w:rsid w:val="0019376A"/>
    <w:rsid w:val="001A3D80"/>
    <w:rsid w:val="001B3CCC"/>
    <w:rsid w:val="0023512B"/>
    <w:rsid w:val="002B4A3B"/>
    <w:rsid w:val="002D40F6"/>
    <w:rsid w:val="002E577D"/>
    <w:rsid w:val="002F6729"/>
    <w:rsid w:val="00330AB6"/>
    <w:rsid w:val="00356319"/>
    <w:rsid w:val="003A3C3F"/>
    <w:rsid w:val="00445E5A"/>
    <w:rsid w:val="00471199"/>
    <w:rsid w:val="005E30AE"/>
    <w:rsid w:val="006B5D9A"/>
    <w:rsid w:val="00701403"/>
    <w:rsid w:val="007649FD"/>
    <w:rsid w:val="00896225"/>
    <w:rsid w:val="008C31FC"/>
    <w:rsid w:val="00A94E6E"/>
    <w:rsid w:val="00B021BC"/>
    <w:rsid w:val="00B76815"/>
    <w:rsid w:val="00BC4DFC"/>
    <w:rsid w:val="00BE6403"/>
    <w:rsid w:val="00C61DE3"/>
    <w:rsid w:val="00CA4533"/>
    <w:rsid w:val="00CD4815"/>
    <w:rsid w:val="00D05C3D"/>
    <w:rsid w:val="00D1633C"/>
    <w:rsid w:val="00D6785D"/>
    <w:rsid w:val="00DA0260"/>
    <w:rsid w:val="00DA613D"/>
    <w:rsid w:val="00DA6BB6"/>
    <w:rsid w:val="00E04FB4"/>
    <w:rsid w:val="00E51BA5"/>
    <w:rsid w:val="00E62450"/>
    <w:rsid w:val="00EC75BC"/>
    <w:rsid w:val="00F27275"/>
    <w:rsid w:val="00FF51BC"/>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41DAB5D1"/>
  <w15:chartTrackingRefBased/>
  <w15:docId w15:val="{75E5825F-A7FF-5D4F-9260-9BE6C5746C4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HAnsi" w:hAnsi="Times New Roman" w:cs="Times New Roman"/>
        <w:bCs/>
        <w:i/>
        <w:iCs/>
        <w:smallCaps/>
        <w:color w:val="000000" w:themeColor="text1"/>
        <w:kern w:val="2"/>
        <w:sz w:val="24"/>
        <w:szCs w:val="24"/>
        <w:u w:val="single"/>
        <w:lang w:val="en-IN" w:eastAsia="en-US" w:bidi="ar-SA"/>
        <w14:ligatures w14:val="standardContextual"/>
      </w:rPr>
    </w:rPrDefault>
    <w:pPrDefault>
      <w:pPr>
        <w:spacing w:line="360"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9376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19376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19376A"/>
    <w:pPr>
      <w:keepNext/>
      <w:keepLines/>
      <w:spacing w:before="160" w:after="80"/>
      <w:outlineLvl w:val="2"/>
    </w:pPr>
    <w:rPr>
      <w:rFonts w:asciiTheme="minorHAnsi" w:eastAsiaTheme="majorEastAsia" w:hAnsiTheme="minorHAnsi"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9376A"/>
    <w:pPr>
      <w:keepNext/>
      <w:keepLines/>
      <w:spacing w:before="80" w:after="40"/>
      <w:outlineLvl w:val="3"/>
    </w:pPr>
    <w:rPr>
      <w:rFonts w:asciiTheme="minorHAnsi" w:eastAsiaTheme="majorEastAsia" w:hAnsiTheme="minorHAnsi" w:cstheme="majorBidi"/>
      <w:i w:val="0"/>
      <w:iCs w:val="0"/>
      <w:color w:val="0F4761" w:themeColor="accent1" w:themeShade="BF"/>
    </w:rPr>
  </w:style>
  <w:style w:type="paragraph" w:styleId="Heading5">
    <w:name w:val="heading 5"/>
    <w:basedOn w:val="Normal"/>
    <w:next w:val="Normal"/>
    <w:link w:val="Heading5Char"/>
    <w:uiPriority w:val="9"/>
    <w:semiHidden/>
    <w:unhideWhenUsed/>
    <w:qFormat/>
    <w:rsid w:val="0019376A"/>
    <w:pPr>
      <w:keepNext/>
      <w:keepLines/>
      <w:spacing w:before="80" w:after="40"/>
      <w:outlineLvl w:val="4"/>
    </w:pPr>
    <w:rPr>
      <w:rFonts w:asciiTheme="minorHAnsi" w:eastAsiaTheme="majorEastAsia" w:hAnsiTheme="minorHAnsi" w:cstheme="majorBidi"/>
      <w:color w:val="0F4761" w:themeColor="accent1" w:themeShade="BF"/>
    </w:rPr>
  </w:style>
  <w:style w:type="paragraph" w:styleId="Heading6">
    <w:name w:val="heading 6"/>
    <w:basedOn w:val="Normal"/>
    <w:next w:val="Normal"/>
    <w:link w:val="Heading6Char"/>
    <w:uiPriority w:val="9"/>
    <w:semiHidden/>
    <w:unhideWhenUsed/>
    <w:qFormat/>
    <w:rsid w:val="0019376A"/>
    <w:pPr>
      <w:keepNext/>
      <w:keepLines/>
      <w:spacing w:before="40"/>
      <w:outlineLvl w:val="5"/>
    </w:pPr>
    <w:rPr>
      <w:rFonts w:asciiTheme="minorHAnsi" w:eastAsiaTheme="majorEastAsia" w:hAnsiTheme="minorHAnsi" w:cstheme="majorBidi"/>
      <w:i w:val="0"/>
      <w:iCs w:val="0"/>
      <w:color w:val="595959" w:themeColor="text1" w:themeTint="A6"/>
    </w:rPr>
  </w:style>
  <w:style w:type="paragraph" w:styleId="Heading7">
    <w:name w:val="heading 7"/>
    <w:basedOn w:val="Normal"/>
    <w:next w:val="Normal"/>
    <w:link w:val="Heading7Char"/>
    <w:uiPriority w:val="9"/>
    <w:semiHidden/>
    <w:unhideWhenUsed/>
    <w:qFormat/>
    <w:rsid w:val="0019376A"/>
    <w:pPr>
      <w:keepNext/>
      <w:keepLines/>
      <w:spacing w:before="4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19376A"/>
    <w:pPr>
      <w:keepNext/>
      <w:keepLines/>
      <w:outlineLvl w:val="7"/>
    </w:pPr>
    <w:rPr>
      <w:rFonts w:asciiTheme="minorHAnsi" w:eastAsiaTheme="majorEastAsia" w:hAnsiTheme="minorHAnsi" w:cstheme="majorBidi"/>
      <w:i w:val="0"/>
      <w:iCs w:val="0"/>
      <w:color w:val="272727" w:themeColor="text1" w:themeTint="D8"/>
    </w:rPr>
  </w:style>
  <w:style w:type="paragraph" w:styleId="Heading9">
    <w:name w:val="heading 9"/>
    <w:basedOn w:val="Normal"/>
    <w:next w:val="Normal"/>
    <w:link w:val="Heading9Char"/>
    <w:uiPriority w:val="9"/>
    <w:semiHidden/>
    <w:unhideWhenUsed/>
    <w:qFormat/>
    <w:rsid w:val="0019376A"/>
    <w:pPr>
      <w:keepNext/>
      <w:keepLines/>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9376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19376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9376A"/>
    <w:rPr>
      <w:rFonts w:asciiTheme="minorHAnsi" w:eastAsiaTheme="majorEastAsia" w:hAnsiTheme="minorHAnsi"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9376A"/>
    <w:rPr>
      <w:rFonts w:asciiTheme="minorHAnsi" w:eastAsiaTheme="majorEastAsia" w:hAnsiTheme="minorHAnsi" w:cstheme="majorBidi"/>
      <w:i w:val="0"/>
      <w:iCs w:val="0"/>
      <w:color w:val="0F4761" w:themeColor="accent1" w:themeShade="BF"/>
    </w:rPr>
  </w:style>
  <w:style w:type="character" w:customStyle="1" w:styleId="Heading5Char">
    <w:name w:val="Heading 5 Char"/>
    <w:basedOn w:val="DefaultParagraphFont"/>
    <w:link w:val="Heading5"/>
    <w:uiPriority w:val="9"/>
    <w:semiHidden/>
    <w:rsid w:val="0019376A"/>
    <w:rPr>
      <w:rFonts w:asciiTheme="minorHAnsi" w:eastAsiaTheme="majorEastAsia" w:hAnsiTheme="minorHAnsi" w:cstheme="majorBidi"/>
      <w:color w:val="0F4761" w:themeColor="accent1" w:themeShade="BF"/>
    </w:rPr>
  </w:style>
  <w:style w:type="character" w:customStyle="1" w:styleId="Heading6Char">
    <w:name w:val="Heading 6 Char"/>
    <w:basedOn w:val="DefaultParagraphFont"/>
    <w:link w:val="Heading6"/>
    <w:uiPriority w:val="9"/>
    <w:semiHidden/>
    <w:rsid w:val="0019376A"/>
    <w:rPr>
      <w:rFonts w:asciiTheme="minorHAnsi" w:eastAsiaTheme="majorEastAsia" w:hAnsiTheme="minorHAnsi" w:cstheme="majorBidi"/>
      <w:i w:val="0"/>
      <w:iCs w:val="0"/>
      <w:color w:val="595959" w:themeColor="text1" w:themeTint="A6"/>
    </w:rPr>
  </w:style>
  <w:style w:type="character" w:customStyle="1" w:styleId="Heading7Char">
    <w:name w:val="Heading 7 Char"/>
    <w:basedOn w:val="DefaultParagraphFont"/>
    <w:link w:val="Heading7"/>
    <w:uiPriority w:val="9"/>
    <w:semiHidden/>
    <w:rsid w:val="0019376A"/>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19376A"/>
    <w:rPr>
      <w:rFonts w:asciiTheme="minorHAnsi" w:eastAsiaTheme="majorEastAsia" w:hAnsiTheme="minorHAnsi" w:cstheme="majorBidi"/>
      <w:i w:val="0"/>
      <w:iCs w:val="0"/>
      <w:color w:val="272727" w:themeColor="text1" w:themeTint="D8"/>
    </w:rPr>
  </w:style>
  <w:style w:type="character" w:customStyle="1" w:styleId="Heading9Char">
    <w:name w:val="Heading 9 Char"/>
    <w:basedOn w:val="DefaultParagraphFont"/>
    <w:link w:val="Heading9"/>
    <w:uiPriority w:val="9"/>
    <w:semiHidden/>
    <w:rsid w:val="0019376A"/>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19376A"/>
    <w:pPr>
      <w:spacing w:after="80" w:line="240" w:lineRule="auto"/>
      <w:contextualSpacing/>
    </w:pPr>
    <w:rPr>
      <w:rFonts w:asciiTheme="majorHAnsi" w:eastAsiaTheme="majorEastAsia" w:hAnsiTheme="majorHAnsi" w:cstheme="majorBidi"/>
      <w:color w:val="auto"/>
      <w:spacing w:val="-10"/>
      <w:kern w:val="28"/>
      <w:sz w:val="56"/>
      <w:szCs w:val="56"/>
    </w:rPr>
  </w:style>
  <w:style w:type="character" w:customStyle="1" w:styleId="TitleChar">
    <w:name w:val="Title Char"/>
    <w:basedOn w:val="DefaultParagraphFont"/>
    <w:link w:val="Title"/>
    <w:uiPriority w:val="10"/>
    <w:rsid w:val="0019376A"/>
    <w:rPr>
      <w:rFonts w:asciiTheme="majorHAnsi" w:eastAsiaTheme="majorEastAsia" w:hAnsiTheme="majorHAnsi" w:cstheme="majorBidi"/>
      <w:color w:val="auto"/>
      <w:spacing w:val="-10"/>
      <w:kern w:val="28"/>
      <w:sz w:val="56"/>
      <w:szCs w:val="56"/>
    </w:rPr>
  </w:style>
  <w:style w:type="paragraph" w:styleId="Subtitle">
    <w:name w:val="Subtitle"/>
    <w:basedOn w:val="Normal"/>
    <w:next w:val="Normal"/>
    <w:link w:val="SubtitleChar"/>
    <w:uiPriority w:val="11"/>
    <w:qFormat/>
    <w:rsid w:val="0019376A"/>
    <w:pPr>
      <w:numPr>
        <w:ilvl w:val="1"/>
      </w:numPr>
      <w:spacing w:after="160"/>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9376A"/>
    <w:rPr>
      <w:rFonts w:asciiTheme="minorHAnsi" w:eastAsiaTheme="majorEastAsia" w:hAnsiTheme="minorHAnsi" w:cstheme="majorBidi"/>
      <w:color w:val="595959" w:themeColor="text1" w:themeTint="A6"/>
      <w:spacing w:val="15"/>
      <w:sz w:val="28"/>
      <w:szCs w:val="28"/>
    </w:rPr>
  </w:style>
  <w:style w:type="paragraph" w:styleId="Quote">
    <w:name w:val="Quote"/>
    <w:basedOn w:val="Normal"/>
    <w:next w:val="Normal"/>
    <w:link w:val="QuoteChar"/>
    <w:uiPriority w:val="29"/>
    <w:qFormat/>
    <w:rsid w:val="0019376A"/>
    <w:pPr>
      <w:spacing w:before="160" w:after="160"/>
      <w:jc w:val="center"/>
    </w:pPr>
    <w:rPr>
      <w:i w:val="0"/>
      <w:iCs w:val="0"/>
      <w:color w:val="404040" w:themeColor="text1" w:themeTint="BF"/>
    </w:rPr>
  </w:style>
  <w:style w:type="character" w:customStyle="1" w:styleId="QuoteChar">
    <w:name w:val="Quote Char"/>
    <w:basedOn w:val="DefaultParagraphFont"/>
    <w:link w:val="Quote"/>
    <w:uiPriority w:val="29"/>
    <w:rsid w:val="0019376A"/>
    <w:rPr>
      <w:i w:val="0"/>
      <w:iCs w:val="0"/>
      <w:color w:val="404040" w:themeColor="text1" w:themeTint="BF"/>
    </w:rPr>
  </w:style>
  <w:style w:type="paragraph" w:styleId="ListParagraph">
    <w:name w:val="List Paragraph"/>
    <w:basedOn w:val="Normal"/>
    <w:uiPriority w:val="34"/>
    <w:qFormat/>
    <w:rsid w:val="0019376A"/>
    <w:pPr>
      <w:ind w:left="720"/>
      <w:contextualSpacing/>
    </w:pPr>
  </w:style>
  <w:style w:type="character" w:styleId="IntenseEmphasis">
    <w:name w:val="Intense Emphasis"/>
    <w:basedOn w:val="DefaultParagraphFont"/>
    <w:uiPriority w:val="21"/>
    <w:qFormat/>
    <w:rsid w:val="0019376A"/>
    <w:rPr>
      <w:i w:val="0"/>
      <w:iCs w:val="0"/>
      <w:color w:val="0F4761" w:themeColor="accent1" w:themeShade="BF"/>
    </w:rPr>
  </w:style>
  <w:style w:type="paragraph" w:styleId="IntenseQuote">
    <w:name w:val="Intense Quote"/>
    <w:basedOn w:val="Normal"/>
    <w:next w:val="Normal"/>
    <w:link w:val="IntenseQuoteChar"/>
    <w:uiPriority w:val="30"/>
    <w:qFormat/>
    <w:rsid w:val="0019376A"/>
    <w:pPr>
      <w:pBdr>
        <w:top w:val="single" w:sz="4" w:space="10" w:color="0F4761" w:themeColor="accent1" w:themeShade="BF"/>
        <w:bottom w:val="single" w:sz="4" w:space="10" w:color="0F4761" w:themeColor="accent1" w:themeShade="BF"/>
      </w:pBdr>
      <w:spacing w:before="360" w:after="360"/>
      <w:ind w:left="864" w:right="864"/>
      <w:jc w:val="center"/>
    </w:pPr>
    <w:rPr>
      <w:i w:val="0"/>
      <w:iCs w:val="0"/>
      <w:color w:val="0F4761" w:themeColor="accent1" w:themeShade="BF"/>
    </w:rPr>
  </w:style>
  <w:style w:type="character" w:customStyle="1" w:styleId="IntenseQuoteChar">
    <w:name w:val="Intense Quote Char"/>
    <w:basedOn w:val="DefaultParagraphFont"/>
    <w:link w:val="IntenseQuote"/>
    <w:uiPriority w:val="30"/>
    <w:rsid w:val="0019376A"/>
    <w:rPr>
      <w:i w:val="0"/>
      <w:iCs w:val="0"/>
      <w:color w:val="0F4761" w:themeColor="accent1" w:themeShade="BF"/>
    </w:rPr>
  </w:style>
  <w:style w:type="character" w:styleId="IntenseReference">
    <w:name w:val="Intense Reference"/>
    <w:basedOn w:val="DefaultParagraphFont"/>
    <w:uiPriority w:val="32"/>
    <w:qFormat/>
    <w:rsid w:val="0019376A"/>
    <w:rPr>
      <w:b/>
      <w:bCs w:val="0"/>
      <w:smallCaps w:val="0"/>
      <w:color w:val="0F4761" w:themeColor="accent1" w:themeShade="BF"/>
      <w:spacing w:val="5"/>
    </w:rPr>
  </w:style>
  <w:style w:type="paragraph" w:styleId="NormalWeb">
    <w:name w:val="Normal (Web)"/>
    <w:basedOn w:val="Normal"/>
    <w:uiPriority w:val="99"/>
    <w:semiHidden/>
    <w:unhideWhenUsed/>
    <w:rsid w:val="00E51BA5"/>
  </w:style>
  <w:style w:type="paragraph" w:styleId="FootnoteText">
    <w:name w:val="footnote text"/>
    <w:basedOn w:val="Normal"/>
    <w:link w:val="FootnoteTextChar"/>
    <w:uiPriority w:val="99"/>
    <w:semiHidden/>
    <w:unhideWhenUsed/>
    <w:rsid w:val="00D1633C"/>
    <w:pPr>
      <w:spacing w:line="240" w:lineRule="auto"/>
      <w:jc w:val="left"/>
    </w:pPr>
    <w:rPr>
      <w:rFonts w:ascii="Calibri" w:hAnsi="Calibri"/>
      <w:bCs w:val="0"/>
      <w:i w:val="0"/>
      <w:iCs w:val="0"/>
      <w:smallCaps w:val="0"/>
      <w:color w:val="auto"/>
      <w:sz w:val="20"/>
      <w:szCs w:val="20"/>
      <w:u w:val="none"/>
      <w:lang w:val="en-GB"/>
    </w:rPr>
  </w:style>
  <w:style w:type="character" w:customStyle="1" w:styleId="FootnoteTextChar">
    <w:name w:val="Footnote Text Char"/>
    <w:basedOn w:val="DefaultParagraphFont"/>
    <w:link w:val="FootnoteText"/>
    <w:uiPriority w:val="99"/>
    <w:semiHidden/>
    <w:rsid w:val="00D1633C"/>
    <w:rPr>
      <w:rFonts w:ascii="Calibri" w:hAnsi="Calibri"/>
      <w:bCs w:val="0"/>
      <w:i w:val="0"/>
      <w:iCs w:val="0"/>
      <w:smallCaps w:val="0"/>
      <w:color w:val="auto"/>
      <w:sz w:val="20"/>
      <w:szCs w:val="20"/>
      <w:u w:val="none"/>
      <w:lang w:val="en-GB"/>
    </w:rPr>
  </w:style>
  <w:style w:type="character" w:styleId="FootnoteReference">
    <w:name w:val="footnote reference"/>
    <w:basedOn w:val="DefaultParagraphFont"/>
    <w:uiPriority w:val="99"/>
    <w:semiHidden/>
    <w:unhideWhenUsed/>
    <w:rsid w:val="00D1633C"/>
    <w:rPr>
      <w:vertAlign w:val="superscript"/>
    </w:rPr>
  </w:style>
  <w:style w:type="character" w:customStyle="1" w:styleId="Hyperlink1">
    <w:name w:val="Hyperlink1"/>
    <w:basedOn w:val="DefaultParagraphFont"/>
    <w:uiPriority w:val="99"/>
    <w:unhideWhenUsed/>
    <w:rsid w:val="00D1633C"/>
    <w:rPr>
      <w:color w:val="0563C1"/>
      <w:u w:val="single"/>
    </w:rPr>
  </w:style>
  <w:style w:type="character" w:styleId="Hyperlink">
    <w:name w:val="Hyperlink"/>
    <w:basedOn w:val="DefaultParagraphFont"/>
    <w:uiPriority w:val="99"/>
    <w:unhideWhenUsed/>
    <w:rsid w:val="00D1633C"/>
    <w:rPr>
      <w:color w:val="467886" w:themeColor="hyperlink"/>
      <w:u w:val="single"/>
    </w:rPr>
  </w:style>
  <w:style w:type="character" w:styleId="UnresolvedMention">
    <w:name w:val="Unresolved Mention"/>
    <w:basedOn w:val="DefaultParagraphFont"/>
    <w:uiPriority w:val="99"/>
    <w:semiHidden/>
    <w:unhideWhenUsed/>
    <w:rsid w:val="00CD4815"/>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43890872">
      <w:bodyDiv w:val="1"/>
      <w:marLeft w:val="0"/>
      <w:marRight w:val="0"/>
      <w:marTop w:val="0"/>
      <w:marBottom w:val="0"/>
      <w:divBdr>
        <w:top w:val="none" w:sz="0" w:space="0" w:color="auto"/>
        <w:left w:val="none" w:sz="0" w:space="0" w:color="auto"/>
        <w:bottom w:val="none" w:sz="0" w:space="0" w:color="auto"/>
        <w:right w:val="none" w:sz="0" w:space="0" w:color="auto"/>
      </w:divBdr>
      <w:divsChild>
        <w:div w:id="158055188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487870604">
      <w:bodyDiv w:val="1"/>
      <w:marLeft w:val="0"/>
      <w:marRight w:val="0"/>
      <w:marTop w:val="0"/>
      <w:marBottom w:val="0"/>
      <w:divBdr>
        <w:top w:val="none" w:sz="0" w:space="0" w:color="auto"/>
        <w:left w:val="none" w:sz="0" w:space="0" w:color="auto"/>
        <w:bottom w:val="none" w:sz="0" w:space="0" w:color="auto"/>
        <w:right w:val="none" w:sz="0" w:space="0" w:color="auto"/>
      </w:divBdr>
    </w:div>
    <w:div w:id="684213575">
      <w:bodyDiv w:val="1"/>
      <w:marLeft w:val="0"/>
      <w:marRight w:val="0"/>
      <w:marTop w:val="0"/>
      <w:marBottom w:val="0"/>
      <w:divBdr>
        <w:top w:val="none" w:sz="0" w:space="0" w:color="auto"/>
        <w:left w:val="none" w:sz="0" w:space="0" w:color="auto"/>
        <w:bottom w:val="none" w:sz="0" w:space="0" w:color="auto"/>
        <w:right w:val="none" w:sz="0" w:space="0" w:color="auto"/>
      </w:divBdr>
    </w:div>
    <w:div w:id="756706815">
      <w:bodyDiv w:val="1"/>
      <w:marLeft w:val="0"/>
      <w:marRight w:val="0"/>
      <w:marTop w:val="0"/>
      <w:marBottom w:val="0"/>
      <w:divBdr>
        <w:top w:val="none" w:sz="0" w:space="0" w:color="auto"/>
        <w:left w:val="none" w:sz="0" w:space="0" w:color="auto"/>
        <w:bottom w:val="none" w:sz="0" w:space="0" w:color="auto"/>
        <w:right w:val="none" w:sz="0" w:space="0" w:color="auto"/>
      </w:divBdr>
    </w:div>
    <w:div w:id="781268115">
      <w:bodyDiv w:val="1"/>
      <w:marLeft w:val="0"/>
      <w:marRight w:val="0"/>
      <w:marTop w:val="0"/>
      <w:marBottom w:val="0"/>
      <w:divBdr>
        <w:top w:val="none" w:sz="0" w:space="0" w:color="auto"/>
        <w:left w:val="none" w:sz="0" w:space="0" w:color="auto"/>
        <w:bottom w:val="none" w:sz="0" w:space="0" w:color="auto"/>
        <w:right w:val="none" w:sz="0" w:space="0" w:color="auto"/>
      </w:divBdr>
    </w:div>
    <w:div w:id="812211651">
      <w:bodyDiv w:val="1"/>
      <w:marLeft w:val="0"/>
      <w:marRight w:val="0"/>
      <w:marTop w:val="0"/>
      <w:marBottom w:val="0"/>
      <w:divBdr>
        <w:top w:val="none" w:sz="0" w:space="0" w:color="auto"/>
        <w:left w:val="none" w:sz="0" w:space="0" w:color="auto"/>
        <w:bottom w:val="none" w:sz="0" w:space="0" w:color="auto"/>
        <w:right w:val="none" w:sz="0" w:space="0" w:color="auto"/>
      </w:divBdr>
      <w:divsChild>
        <w:div w:id="12335256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844590068">
      <w:bodyDiv w:val="1"/>
      <w:marLeft w:val="0"/>
      <w:marRight w:val="0"/>
      <w:marTop w:val="0"/>
      <w:marBottom w:val="0"/>
      <w:divBdr>
        <w:top w:val="none" w:sz="0" w:space="0" w:color="auto"/>
        <w:left w:val="none" w:sz="0" w:space="0" w:color="auto"/>
        <w:bottom w:val="none" w:sz="0" w:space="0" w:color="auto"/>
        <w:right w:val="none" w:sz="0" w:space="0" w:color="auto"/>
      </w:divBdr>
    </w:div>
    <w:div w:id="872765366">
      <w:bodyDiv w:val="1"/>
      <w:marLeft w:val="0"/>
      <w:marRight w:val="0"/>
      <w:marTop w:val="0"/>
      <w:marBottom w:val="0"/>
      <w:divBdr>
        <w:top w:val="none" w:sz="0" w:space="0" w:color="auto"/>
        <w:left w:val="none" w:sz="0" w:space="0" w:color="auto"/>
        <w:bottom w:val="none" w:sz="0" w:space="0" w:color="auto"/>
        <w:right w:val="none" w:sz="0" w:space="0" w:color="auto"/>
      </w:divBdr>
    </w:div>
    <w:div w:id="944533017">
      <w:bodyDiv w:val="1"/>
      <w:marLeft w:val="0"/>
      <w:marRight w:val="0"/>
      <w:marTop w:val="0"/>
      <w:marBottom w:val="0"/>
      <w:divBdr>
        <w:top w:val="none" w:sz="0" w:space="0" w:color="auto"/>
        <w:left w:val="none" w:sz="0" w:space="0" w:color="auto"/>
        <w:bottom w:val="none" w:sz="0" w:space="0" w:color="auto"/>
        <w:right w:val="none" w:sz="0" w:space="0" w:color="auto"/>
      </w:divBdr>
    </w:div>
    <w:div w:id="1457214924">
      <w:bodyDiv w:val="1"/>
      <w:marLeft w:val="0"/>
      <w:marRight w:val="0"/>
      <w:marTop w:val="0"/>
      <w:marBottom w:val="0"/>
      <w:divBdr>
        <w:top w:val="none" w:sz="0" w:space="0" w:color="auto"/>
        <w:left w:val="none" w:sz="0" w:space="0" w:color="auto"/>
        <w:bottom w:val="none" w:sz="0" w:space="0" w:color="auto"/>
        <w:right w:val="none" w:sz="0" w:space="0" w:color="auto"/>
      </w:divBdr>
    </w:div>
    <w:div w:id="2054964583">
      <w:bodyDiv w:val="1"/>
      <w:marLeft w:val="0"/>
      <w:marRight w:val="0"/>
      <w:marTop w:val="0"/>
      <w:marBottom w:val="0"/>
      <w:divBdr>
        <w:top w:val="none" w:sz="0" w:space="0" w:color="auto"/>
        <w:left w:val="none" w:sz="0" w:space="0" w:color="auto"/>
        <w:bottom w:val="none" w:sz="0" w:space="0" w:color="auto"/>
        <w:right w:val="none" w:sz="0" w:space="0" w:color="auto"/>
      </w:divBdr>
    </w:div>
    <w:div w:id="211690037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_rels/footnotes.xml.rels><?xml version="1.0" encoding="UTF-8" standalone="yes"?>
<Relationships xmlns="http://schemas.openxmlformats.org/package/2006/relationships"><Relationship Id="rId3" Type="http://schemas.openxmlformats.org/officeDocument/2006/relationships/hyperlink" Target="http://irgu.unigoa.ac.in/drs/bitstream/handle/unigoa/1815/Situational_Anal_Women_Goa_119.pdf?sequence=1&amp;isAllowed=y" TargetMode="External"/><Relationship Id="rId2" Type="http://schemas.openxmlformats.org/officeDocument/2006/relationships/hyperlink" Target="http://feministlawarchives.pldindia.org/wp-content/uploads/uniform-civil-code-once-again-where-is-gender-justice.pdf" TargetMode="External"/><Relationship Id="rId1" Type="http://schemas.openxmlformats.org/officeDocument/2006/relationships/hyperlink" Target="https://thewire.in/law/goas-uniform-civil-code-is-not-the-greatest-model-to-follow" TargetMode="External"/><Relationship Id="rId4" Type="http://schemas.openxmlformats.org/officeDocument/2006/relationships/hyperlink" Target="https://share.google/DySxcunxbXpSvwTF4"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A5F8112-4898-3C42-8BF4-AEAAD06190F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TotalTime>
  <Pages>15</Pages>
  <Words>4679</Words>
  <Characters>26673</Characters>
  <Application>Microsoft Office Word</Application>
  <DocSecurity>0</DocSecurity>
  <Lines>222</Lines>
  <Paragraphs>62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31290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c:creator>
  <cp:keywords/>
  <dc:description/>
  <cp:lastModifiedBy>K SADHANA</cp:lastModifiedBy>
  <cp:revision>3</cp:revision>
  <dcterms:created xsi:type="dcterms:W3CDTF">2026-05-01T15:16:00Z</dcterms:created>
  <dcterms:modified xsi:type="dcterms:W3CDTF">2026-05-01T15:38:00Z</dcterms:modified>
</cp:coreProperties>
</file>