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ETATS GENERES PAR LE PROGRAMME</w:t>
      </w:r>
    </w:p>
    <w:p>
      <w:r>
        <w:br/>
      </w:r>
    </w:p>
    <w:p>
      <w:pPr>
        <w:jc w:val="both"/>
      </w:pPr>
      <w:r>
        <w:t>Le logiciel assure l'édition automatique de l'ensemble des documents commerciaux et fiscaux nécessaires à la bonne gestion de l'unité :</w:t>
      </w:r>
    </w:p>
    <w:p>
      <w:pPr>
        <w:spacing w:after="240"/>
      </w:pPr>
      <w:r>
        <w:rPr>
          <w:b/>
          <w:sz w:val="24"/>
        </w:rPr>
        <w:t xml:space="preserve">• Factures de Vente : </w:t>
      </w:r>
      <w:r>
        <w:rPr>
          <w:sz w:val="24"/>
        </w:rPr>
        <w:t>Document commercial normalisé incluant le calcul automatique des montants HT, TVA, et Droit de Timbre. Chaque facture est numérotée séquentiellement.</w:t>
      </w:r>
    </w:p>
    <w:p>
      <w:pPr>
        <w:spacing w:after="240"/>
      </w:pPr>
      <w:r>
        <w:rPr>
          <w:b/>
          <w:sz w:val="24"/>
        </w:rPr>
        <w:t xml:space="preserve">• Bons de Livraison : </w:t>
      </w:r>
      <w:r>
        <w:rPr>
          <w:sz w:val="24"/>
        </w:rPr>
        <w:t>Générés systématiquement avec chaque facture, ils servent de justificatif de sortie de stock et de transport.</w:t>
      </w:r>
    </w:p>
    <w:p>
      <w:pPr>
        <w:spacing w:after="240"/>
      </w:pPr>
      <w:r>
        <w:rPr>
          <w:b/>
          <w:sz w:val="24"/>
        </w:rPr>
        <w:t xml:space="preserve">• Bordereaux de Versement : </w:t>
      </w:r>
      <w:r>
        <w:rPr>
          <w:sz w:val="24"/>
        </w:rPr>
        <w:t>État préparatoire pour la banque, regroupant les chèques et virements encaissés une journée donnée.</w:t>
      </w:r>
    </w:p>
    <w:p>
      <w:pPr>
        <w:spacing w:after="240"/>
      </w:pPr>
      <w:r>
        <w:rPr>
          <w:b/>
          <w:sz w:val="24"/>
        </w:rPr>
        <w:t xml:space="preserve">• État 104 (Chiffre d'Affaires) : </w:t>
      </w:r>
      <w:r>
        <w:rPr>
          <w:sz w:val="24"/>
        </w:rPr>
        <w:t>Tableau récapitulatif fiscal du Chiffre d'Affaires par client. Il détaille l'Article d'Imposition, le NIF, et les montants cumulés sur la période sélectionnée.</w:t>
      </w:r>
    </w:p>
    <w:p>
      <w:pPr>
        <w:spacing w:after="240"/>
      </w:pPr>
      <w:r>
        <w:rPr>
          <w:b/>
          <w:sz w:val="24"/>
        </w:rPr>
        <w:t xml:space="preserve">• État des Stocks (Inventaire) : </w:t>
      </w:r>
      <w:r>
        <w:rPr>
          <w:sz w:val="24"/>
        </w:rPr>
        <w:t>Situation en temps réel des quantités physiques disponibles pour chaque produit (Ciment, Sacs, Vrac).</w:t>
      </w:r>
    </w:p>
    <w:p>
      <w:pPr>
        <w:spacing w:after="240"/>
      </w:pPr>
      <w:r>
        <w:rPr>
          <w:b/>
          <w:sz w:val="24"/>
        </w:rPr>
        <w:t xml:space="preserve">• État des Mouvements de Stocks (Valorisé) : </w:t>
      </w:r>
      <w:r>
        <w:rPr>
          <w:sz w:val="24"/>
        </w:rPr>
        <w:t>Rapport détaillé traçant l'historique des Entrées (Réceptions usine) et des Sorties (Ventes), avec une valorisation financière des mouvements.</w:t>
      </w:r>
    </w:p>
    <w:p>
      <w:pPr>
        <w:spacing w:after="240"/>
      </w:pPr>
      <w:r>
        <w:rPr>
          <w:b/>
          <w:sz w:val="24"/>
        </w:rPr>
        <w:t xml:space="preserve">• Situation Journalière &amp; Globale : </w:t>
      </w:r>
      <w:r>
        <w:rPr>
          <w:sz w:val="24"/>
        </w:rPr>
        <w:t>Tableau de bord imprimable résumant l'activité de la journée : Quantités vendues, CA réalisé, et situation de la trésorerie.</w:t>
      </w:r>
    </w:p>
    <w:p>
      <w:pPr>
        <w:spacing w:after="240"/>
      </w:pPr>
      <w:r>
        <w:rPr>
          <w:b/>
          <w:sz w:val="24"/>
        </w:rPr>
        <w:t xml:space="preserve">• Relevé de Compte Client (Solde) : </w:t>
      </w:r>
      <w:r>
        <w:rPr>
          <w:sz w:val="24"/>
        </w:rPr>
        <w:t>Fiche détaillée par client montrant l'historique chronologique de ses opérations (Factures vs Paiements) et son solde actuel (Débit/Crédit).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