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8504"/>
      </w:tblGrid>
      <w:tr>
        <w:tc>
          <w:tcPr>
            <w:tcW w:type="dxa" w:w="538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ANALYSE DES FACTURES ANNULÉES</w:t>
              <w:br/>
            </w:r>
          </w:p>
        </w:tc>
      </w:tr>
    </w:tbl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1587"/>
        <w:gridCol w:w="3175"/>
      </w:tblGrid>
      <w:tr>
        <w:trPr>
          <w:tblHeader/>
        </w:trPr>
        <w:tc>
          <w:tcPr>
            <w:tcW w:type="dxa" w:w="2693"/>
            <w:shd w:fill="D3D3D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693"/>
            <w:shd w:fill="D3D3D3"/>
          </w:tcPr>
          <w:p>
            <w:r>
              <w:rPr>
                <w:b/>
              </w:rPr>
              <w:t>NUMERO</w:t>
            </w:r>
          </w:p>
        </w:tc>
        <w:tc>
          <w:tcPr>
            <w:tcW w:type="dxa" w:w="2693"/>
            <w:shd w:fill="D3D3D3"/>
          </w:tcPr>
          <w:p>
            <w:r>
              <w:rPr>
                <w:b/>
              </w:rPr>
              <w:t>MONTANT HT</w:t>
            </w:r>
          </w:p>
        </w:tc>
        <w:tc>
          <w:tcPr>
            <w:tcW w:type="dxa" w:w="2693"/>
            <w:shd w:fill="D3D3D3"/>
          </w:tcPr>
          <w:p>
            <w:r>
              <w:rPr>
                <w:b/>
              </w:rPr>
              <w:t>MOTIF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color w:val="FF8C00"/>
              </w:rPr>
              <w:t>2026-01-14</w:t>
            </w:r>
          </w:p>
        </w:tc>
        <w:tc>
          <w:tcPr>
            <w:tcW w:type="dxa" w:w="1191"/>
          </w:tcPr>
          <w:p>
            <w:r>
              <w:rPr>
                <w:b/>
                <w:color w:val="FF8C00"/>
              </w:rPr>
              <w:t>FAC-0013-2026</w:t>
            </w:r>
          </w:p>
        </w:tc>
        <w:tc>
          <w:tcPr>
            <w:tcW w:type="dxa" w:w="1587"/>
          </w:tcPr>
          <w:p>
            <w:r>
              <w:rPr>
                <w:b/>
                <w:color w:val="FF8C00"/>
              </w:rPr>
              <w:t>345 600,00</w:t>
            </w:r>
          </w:p>
        </w:tc>
        <w:tc>
          <w:tcPr>
            <w:tcW w:type="dxa" w:w="3175"/>
          </w:tcPr>
          <w:p>
            <w:r>
              <w:rPr>
                <w:b/>
                <w:color w:val="FF8C00"/>
              </w:rPr>
              <w:t>CHARGEMENT ANNULE</w:t>
            </w:r>
          </w:p>
        </w:tc>
      </w:tr>
      <w:tr>
        <w:tc>
          <w:tcPr>
            <w:tcW w:type="dxa" w:w="1191"/>
          </w:tcPr>
          <w:p>
            <w:r>
              <w:rPr>
                <w:b/>
                <w:color w:val="FF8C00"/>
              </w:rPr>
              <w:t>2026-01-14</w:t>
            </w:r>
          </w:p>
        </w:tc>
        <w:tc>
          <w:tcPr>
            <w:tcW w:type="dxa" w:w="1191"/>
          </w:tcPr>
          <w:p>
            <w:r>
              <w:rPr>
                <w:b/>
                <w:color w:val="FF8C00"/>
              </w:rPr>
              <w:t>FAC-0010-2026</w:t>
            </w:r>
          </w:p>
        </w:tc>
        <w:tc>
          <w:tcPr>
            <w:tcW w:type="dxa" w:w="1587"/>
          </w:tcPr>
          <w:p>
            <w:r>
              <w:rPr>
                <w:b/>
                <w:color w:val="FF8C00"/>
              </w:rPr>
              <w:t>100,00</w:t>
            </w:r>
          </w:p>
        </w:tc>
        <w:tc>
          <w:tcPr>
            <w:tcW w:type="dxa" w:w="3175"/>
          </w:tcPr>
          <w:p>
            <w:r>
              <w:rPr>
                <w:b/>
                <w:color w:val="FF8C00"/>
              </w:rPr>
              <w:t>ERREUR SAISIE</w:t>
            </w:r>
          </w:p>
        </w:tc>
      </w:tr>
    </w:tbl>
    <w:p/>
    <w:p>
      <w:r>
        <w:rPr>
          <w:b/>
          <w:color w:val="FF0000"/>
          <w:sz w:val="28"/>
        </w:rPr>
        <w:t>TOTAL MANQUE À GAGNER (HT): 345 700,00 DA</w:t>
      </w:r>
    </w:p>
    <w:p/>
    <w:p>
      <w:r>
        <w:rPr>
          <w:b/>
        </w:rPr>
        <w:t>SYNTHÈSE PAR MOTIF:</w:t>
      </w:r>
    </w:p>
    <w:p>
      <w:pPr>
        <w:pStyle w:val="ListBullet"/>
      </w:pPr>
      <w:r>
        <w:t>- CHARGEMENT ANNULE: 1 fois</w:t>
      </w:r>
    </w:p>
    <w:p>
      <w:pPr>
        <w:pStyle w:val="ListBullet"/>
      </w:pPr>
      <w:r>
        <w:t>- ERREUR SAISIE: 1 fois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