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Période du : 2026-01-01 au 2026-01-25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curve_202601251124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Interprétation du Diagramme :</w:t>
        <w:br/>
      </w:r>
      <w:r>
        <w:rPr>
          <w:sz w:val="18"/>
        </w:rPr>
        <w:t>Les barres classent vos clients par volume de chiffre d'affaires. La ligne rouge montre le cumul. La zone où la ligne coupe la barre des 80% identifie vos clients stratégiques (Classe 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pie_202601251124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7D32"/>
          <w:sz w:val="18"/>
        </w:rPr>
        <w:t xml:space="preserve">Classe A (Vert) : </w:t>
      </w:r>
      <w:r>
        <w:rPr>
          <w:sz w:val="18"/>
        </w:rPr>
        <w:t>Représente 80% de votre activité. Ce sont vos clients piliers. Toute baisse de leur part est un risque majeur pour l'unité.</w:t>
        <w:br/>
      </w:r>
      <w:r>
        <w:rPr>
          <w:b/>
          <w:color w:val="1565C0"/>
          <w:sz w:val="18"/>
        </w:rPr>
        <w:t xml:space="preserve">Classe B (Bleu) : </w:t>
      </w:r>
      <w:r>
        <w:rPr>
          <w:sz w:val="18"/>
        </w:rPr>
        <w:t>Représente les 15% suivants. Ce sont vos clients en développement ou à fort potentiel.</w:t>
        <w:br/>
      </w:r>
      <w:r>
        <w:rPr>
          <w:b/>
          <w:color w:val="757575"/>
          <w:sz w:val="18"/>
        </w:rPr>
        <w:t xml:space="preserve">Classe C (Gris) : </w:t>
      </w:r>
      <w:r>
        <w:rPr>
          <w:sz w:val="18"/>
        </w:rPr>
        <w:t>Représente les derniers 5%. Ce sont des clients occasionnels qui génèrent un grand volume administratif pour un faible revenu.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540"/>
            <w:shd w:fill="E8EAF6"/>
          </w:tcPr>
          <w:p>
            <w:pPr>
              <w:jc w:val="center"/>
            </w:pPr>
            <w:r>
              <w:rPr>
                <w:b/>
                <w:color w:val="1A237E"/>
              </w:rPr>
              <w:t xml:space="preserve">Analyse de l'unité : </w:t>
            </w:r>
            <w:r>
              <w:rPr>
                <w:color w:val="1A237E"/>
              </w:rPr>
              <w:t>Votre activité est concentrée sur 2 clients qui réalisent à eux seuls 80% du chiffre d'affaires.</w:t>
            </w:r>
            <w:r>
              <w:rPr>
                <w:b/>
                <w:color w:val="1A237E"/>
              </w:rPr>
              <w:t xml:space="preserve"> Attention à la forte dépendance envers ce petit groupe.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850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Rang</w:t>
            </w:r>
          </w:p>
        </w:tc>
        <w:tc>
          <w:tcPr>
            <w:tcW w:type="dxa" w:w="45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Chiffre d'Affaires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% Cumulé</w:t>
            </w:r>
          </w:p>
        </w:tc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Classe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8"/>
            <w:shd w:fill="E8F5E9"/>
          </w:tcPr>
          <w:p>
            <w:r>
              <w:t>COSIDER CONSTRUCTION P37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4 950 228.64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61.42%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8"/>
            <w:shd w:fill="E8F5E9"/>
          </w:tcPr>
          <w:p>
            <w:r>
              <w:t>INFRARAIL EPE SPA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1 774 718.40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83.44%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3F2FD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8"/>
            <w:shd w:fill="E3F2FD"/>
          </w:tcPr>
          <w:p>
            <w:r>
              <w:t>COSIDER CONSTRUCTION CPB P26</w:t>
            </w:r>
          </w:p>
        </w:tc>
        <w:tc>
          <w:tcPr>
            <w:tcW w:type="dxa" w:w="2108"/>
            <w:shd w:fill="E3F2FD"/>
          </w:tcPr>
          <w:p>
            <w:pPr>
              <w:jc w:val="right"/>
            </w:pPr>
            <w:r>
              <w:t>1 334 989.60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rPr>
                <w:b/>
                <w:color w:val="1565C0"/>
              </w:rPr>
              <w:t>B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268"/>
      <w:gridCol w:w="5669"/>
      <w:gridCol w:w="2268"/>
    </w:tblGrid>
    <w:tr>
      <w:tc>
        <w:tcPr>
          <w:tcW w:type="dxa" w:w="3402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708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08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</w:tcPr>
        <w:p>
          <w:pPr>
            <w:jc w:val="center"/>
          </w:pPr>
          <w:r>
            <w:rPr>
              <w:rFonts w:ascii="Cambria" w:hAnsi="Cambria"/>
              <w:b/>
              <w:color w:val="1A237E"/>
              <w:sz w:val="28"/>
            </w:rPr>
            <w:t>ANALYSE DE PERFORMANCE COMMERCIALE (PARETO)</w:t>
          </w:r>
        </w:p>
      </w:tc>
      <w:tc>
        <w:tcPr>
          <w:tcW w:type="dxa" w:w="3402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