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RÉCAPITULATIF ANNUEL DES CRÉANCES ET RECOUVREMENTS CLIENTS</w:t>
              <w:br/>
            </w:r>
            <w:r>
              <w:rPr>
                <w:rFonts w:ascii="Helvetica" w:hAnsi="Helvetica"/>
                <w:sz w:val="22"/>
              </w:rPr>
              <w:t>SITUATION AU 25/01/2026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587"/>
        <w:gridCol w:w="1587"/>
        <w:gridCol w:w="1587"/>
        <w:gridCol w:w="119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Raison Sociale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au 01/01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Achats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Paiements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Final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% Recouvrement</w:t>
            </w:r>
          </w:p>
        </w:tc>
      </w:tr>
      <w:tr>
        <w:tc>
          <w:tcPr>
            <w:tcW w:type="dxa" w:w="2381"/>
          </w:tcPr>
          <w:p>
            <w:r>
              <w:t xml:space="preserve"> HYDRO CANAL SPA 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CPB P26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-1 601 987,52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1 334 989,60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-2 936 977,12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P37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-9 510 727,52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4 950 228,64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12 000 000,00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-2 460 956,16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83.0%</w:t>
            </w:r>
          </w:p>
        </w:tc>
      </w:tr>
      <w:tr>
        <w:tc>
          <w:tcPr>
            <w:tcW w:type="dxa" w:w="2381"/>
          </w:tcPr>
          <w:p>
            <w:r>
              <w:t>COSIDER GEOTECHNIQUE A 071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BLIDA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BOUIRA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EL HARACH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TIZI OUZOU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ETUSA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INFRARAIL EPE SPA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-9 627 847,25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1 774 718,40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-11 402 565,65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  <w:shd w:fill="E0E0E0"/>
          </w:tcPr>
          <w:p>
            <w:r>
              <w:rPr>
                <w:b/>
              </w:rPr>
              <w:t>SOLDE GLOBAL AU 25/01/2026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-48 303 684,37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8 059 936,64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12 000 000,00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-44 363 621,01</w:t>
            </w:r>
          </w:p>
        </w:tc>
        <w:tc>
          <w:tcPr>
            <w:tcW w:type="dxa" w:w="1191"/>
            <w:shd w:fill="E0E0E0"/>
          </w:tcPr>
          <w:p>
            <w:r>
              <w:rPr>
                <w:b/>
              </w:rPr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