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8504"/>
      </w:tblGrid>
      <w:tr>
        <w:tc>
          <w:tcPr>
            <w:tcW w:type="dxa" w:w="53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ÉTAT DE COUVERTURE DES CRÉANCES</w:t>
              <w:br/>
            </w:r>
            <w:r>
              <w:rPr>
                <w:rFonts w:ascii="Helvetica" w:hAnsi="Helvetica"/>
                <w:sz w:val="22"/>
              </w:rPr>
              <w:t>(MOIS 01/2026)</w:t>
              <w:br/>
            </w:r>
            <w:r>
              <w:rPr>
                <w:rFonts w:ascii="Helvetica" w:hAnsi="Helvetica"/>
                <w:sz w:val="22"/>
              </w:rPr>
              <w:t>Date: 23/01/2026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color w:val="FF0000"/>
          <w:sz w:val="24"/>
        </w:rPr>
        <w:t>Taux de Recouvrement Global : 0.00%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843"/>
        <w:gridCol w:w="1843"/>
        <w:gridCol w:w="1843"/>
        <w:gridCol w:w="1843"/>
      </w:tblGrid>
      <w:tr>
        <w:trPr>
          <w:tblHeader/>
        </w:trPr>
        <w:tc>
          <w:tcPr>
            <w:tcW w:type="dxa" w:w="2154"/>
            <w:shd w:fill="D3D3D3"/>
          </w:tcPr>
          <w:p>
            <w:pPr>
              <w:jc w:val="center"/>
            </w:pPr>
            <w:r>
              <w:rPr>
                <w:b/>
              </w:rPr>
              <w:t>Client</w:t>
            </w:r>
          </w:p>
        </w:tc>
        <w:tc>
          <w:tcPr>
            <w:tcW w:type="dxa" w:w="2154"/>
            <w:shd w:fill="D3D3D3"/>
          </w:tcPr>
          <w:p>
            <w:pPr>
              <w:jc w:val="center"/>
            </w:pPr>
            <w:r>
              <w:rPr>
                <w:b/>
              </w:rPr>
              <w:t>Dette M-1</w:t>
              <w:br/>
              <w:t>(Cible)</w:t>
            </w:r>
          </w:p>
        </w:tc>
        <w:tc>
          <w:tcPr>
            <w:tcW w:type="dxa" w:w="2154"/>
            <w:shd w:fill="D3D3D3"/>
          </w:tcPr>
          <w:p>
            <w:pPr>
              <w:jc w:val="center"/>
            </w:pPr>
            <w:r>
              <w:rPr>
                <w:b/>
              </w:rPr>
              <w:t>Paiements M</w:t>
              <w:br/>
              <w:t>(Réalisé)</w:t>
            </w:r>
          </w:p>
        </w:tc>
        <w:tc>
          <w:tcPr>
            <w:tcW w:type="dxa" w:w="2154"/>
            <w:shd w:fill="D3D3D3"/>
          </w:tcPr>
          <w:p>
            <w:pPr>
              <w:jc w:val="center"/>
            </w:pPr>
            <w:r>
              <w:rPr>
                <w:b/>
              </w:rPr>
              <w:t>Reste à Payer</w:t>
              <w:br/>
              <w:t>(Ecart)</w:t>
            </w:r>
          </w:p>
        </w:tc>
        <w:tc>
          <w:tcPr>
            <w:tcW w:type="dxa" w:w="2154"/>
            <w:shd w:fill="D3D3D3"/>
          </w:tcPr>
          <w:p>
            <w:pPr>
              <w:jc w:val="center"/>
            </w:pPr>
            <w:r>
              <w:rPr>
                <w:b/>
              </w:rPr>
              <w:t>Statut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 xml:space="preserve"> HYDRO CANAL SPA 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10 372 225,60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10 372 225,60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COSIDER CONSTRUCTION CPB P26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1 601 987,52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1 601 987,52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COSIDER CONSTRUCTION P37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9 510 727,52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9 510 727,52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COSIDER GEOTECHNIQUE A 071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456 003,24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456 003,24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DIVINDUS DMC BLIDA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8 302 348,61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8 302 348,61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DIVINDUS DMC BOUIRA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5 869 636,72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5 869 636,72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DIVINDUS DMC EL HARACH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1 127 655,59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1 127 655,59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DIVINDUS DMC TIZI OUZOU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1 473 252,59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1 473 252,59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FF0000"/>
              </w:rPr>
              <w:t>INFRARAIL EPE SPA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9 627 847,25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0,00</w:t>
            </w:r>
          </w:p>
        </w:tc>
        <w:tc>
          <w:tcPr>
            <w:tcW w:type="dxa" w:w="1843"/>
          </w:tcPr>
          <w:p>
            <w:pPr>
              <w:jc w:val="right"/>
            </w:pPr>
            <w:r>
              <w:t>9 627 847,25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b/>
                <w:color w:val="FF0000"/>
              </w:rPr>
              <w:t>ALERTE RECOUVREMENT</w:t>
            </w:r>
          </w:p>
        </w:tc>
      </w:tr>
      <w:tr>
        <w:tc>
          <w:tcPr>
            <w:tcW w:type="dxa" w:w="3402"/>
            <w:shd w:fill="E0E0E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43"/>
            <w:shd w:fill="E0E0E0"/>
          </w:tcPr>
          <w:p>
            <w:pPr>
              <w:jc w:val="right"/>
            </w:pPr>
            <w:r>
              <w:rPr>
                <w:b/>
              </w:rPr>
              <w:t>48 341 684,64</w:t>
            </w:r>
          </w:p>
        </w:tc>
        <w:tc>
          <w:tcPr>
            <w:tcW w:type="dxa" w:w="1843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843"/>
            <w:shd w:fill="E0E0E0"/>
          </w:tcPr>
          <w:p>
            <w:r>
              <w:rPr>
                <w:b/>
              </w:rPr>
            </w:r>
          </w:p>
        </w:tc>
        <w:tc>
          <w:tcPr>
            <w:tcW w:type="dxa" w:w="1843"/>
            <w:shd w:fill="E0E0E0"/>
          </w:tcPr>
          <w:p>
            <w:r>
              <w:rPr>
                <w:b/>
              </w:rPr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969"/>
        <w:gridCol w:w="3402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Service Recouvrement</w:t>
            </w:r>
          </w:p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Direction Commerciale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