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339"/>
      </w:tblGrid>
      <w:tr>
        <w:tc>
          <w:tcPr>
            <w:tcW w:type="dxa" w:w="72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70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color w:val="1A237E"/>
                <w:sz w:val="40"/>
              </w:rPr>
              <w:t>TABLEAU DE BORD MAÎTRE (COCKPIT)</w:t>
            </w:r>
          </w:p>
          <w:p>
            <w:pPr>
              <w:jc w:val="center"/>
            </w:pPr>
            <w:r>
              <w:t>Période: 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85"/>
            <w:shd w:fill="1E88E5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PERFORMANCE VENTES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8 059 936.64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▲ 100.0% vs M-1</w:t>
            </w:r>
          </w:p>
        </w:tc>
        <w:tc>
          <w:tcPr>
            <w:tcW w:type="dxa" w:w="3685"/>
            <w:shd w:fill="43A04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SANTÉ FINANCIÈRE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0.0%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Recouvrement</w:t>
            </w:r>
          </w:p>
        </w:tc>
        <w:tc>
          <w:tcPr>
            <w:tcW w:type="dxa" w:w="3685"/>
            <w:shd w:fill="FB8C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RISQUE CRÉANCE (+30J)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0.00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Montant à Risque</w:t>
            </w:r>
          </w:p>
        </w:tc>
        <w:tc>
          <w:tcPr>
            <w:tcW w:type="dxa" w:w="3685"/>
            <w:shd w:fill="E53935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ALERTE OPÉRATIONNELLE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0.0%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Taux Annulation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thermo_2026012323035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bar_202601232303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37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line_2026012323035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FF0000"/>
          <w:sz w:val="24"/>
        </w:rPr>
        <w:t>ALERTES DE SÉCURITÉ (Code Rouge)</w:t>
      </w:r>
    </w:p>
    <w:p>
      <w:r>
        <w:t>Aucune alerte critique détectée.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