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Période du : 2026-01-01 au 2026-01-23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curve_202601232147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reto_pie_202601232147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Rang</w:t>
            </w:r>
          </w:p>
        </w:tc>
        <w:tc>
          <w:tcPr>
            <w:tcW w:type="dxa" w:w="45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Chiffre d'Affaires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% Cumulé</w:t>
            </w:r>
          </w:p>
        </w:tc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Classe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8"/>
            <w:shd w:fill="E8F5E9"/>
          </w:tcPr>
          <w:p>
            <w:r>
              <w:t>COSIDER CONSTRUCTION P37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4 950 228.64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61.42%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8F5E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8"/>
            <w:shd w:fill="E8F5E9"/>
          </w:tcPr>
          <w:p>
            <w:r>
              <w:t>INFRARAIL EPE SPA</w:t>
            </w:r>
          </w:p>
        </w:tc>
        <w:tc>
          <w:tcPr>
            <w:tcW w:type="dxa" w:w="2108"/>
            <w:shd w:fill="E8F5E9"/>
          </w:tcPr>
          <w:p>
            <w:pPr>
              <w:jc w:val="right"/>
            </w:pPr>
            <w:r>
              <w:t>1 774 718.40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t>83.44%</w:t>
            </w:r>
          </w:p>
        </w:tc>
        <w:tc>
          <w:tcPr>
            <w:tcW w:type="dxa" w:w="2108"/>
            <w:shd w:fill="E8F5E9"/>
          </w:tcPr>
          <w:p>
            <w:pPr>
              <w:jc w:val="center"/>
            </w:pPr>
            <w:r>
              <w:rPr>
                <w:b/>
                <w:color w:val="2E7D32"/>
              </w:rPr>
              <w:t>A</w:t>
            </w:r>
          </w:p>
        </w:tc>
      </w:tr>
      <w:tr>
        <w:tc>
          <w:tcPr>
            <w:tcW w:type="dxa" w:w="2108"/>
            <w:shd w:fill="E3F2FD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8"/>
            <w:shd w:fill="E3F2FD"/>
          </w:tcPr>
          <w:p>
            <w:r>
              <w:t>COSIDER CONSTRUCTION CPB P26</w:t>
            </w:r>
          </w:p>
        </w:tc>
        <w:tc>
          <w:tcPr>
            <w:tcW w:type="dxa" w:w="2108"/>
            <w:shd w:fill="E3F2FD"/>
          </w:tcPr>
          <w:p>
            <w:pPr>
              <w:jc w:val="right"/>
            </w:pPr>
            <w:r>
              <w:t>1 334 989.60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t>100.00%</w:t>
            </w:r>
          </w:p>
        </w:tc>
        <w:tc>
          <w:tcPr>
            <w:tcW w:type="dxa" w:w="2108"/>
            <w:shd w:fill="E3F2FD"/>
          </w:tcPr>
          <w:p>
            <w:pPr>
              <w:jc w:val="center"/>
            </w:pPr>
            <w:r>
              <w:rPr>
                <w:b/>
                <w:color w:val="1565C0"/>
              </w:rPr>
              <w:t>B</w:t>
            </w:r>
          </w:p>
        </w:tc>
      </w:tr>
    </w:tbl>
    <w:p/>
    <w:p>
      <w:r>
        <w:rPr>
          <w:b/>
        </w:rPr>
        <w:t>ANALYSE : 2 clients (66.7%) réalisent 80% du Chiffre d'Affaires.</w:t>
      </w: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268"/>
      <w:gridCol w:w="5669"/>
      <w:gridCol w:w="2268"/>
    </w:tblGrid>
    <w:tr>
      <w:tc>
        <w:tcPr>
          <w:tcW w:type="dxa" w:w="3402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7081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081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</w:tcPr>
        <w:p>
          <w:pPr>
            <w:jc w:val="center"/>
          </w:pPr>
          <w:r>
            <w:rPr>
              <w:rFonts w:ascii="Cambria" w:hAnsi="Cambria"/>
              <w:b/>
              <w:color w:val="1A237E"/>
              <w:sz w:val="28"/>
            </w:rPr>
            <w:t>ANALYSE DE PERFORMANCE COMMERCIALE (PARETO)</w:t>
          </w:r>
        </w:p>
      </w:tc>
      <w:tc>
        <w:tcPr>
          <w:tcW w:type="dxa" w:w="3402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