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DES MOUVEMENTS DES STOCKS (VALORISES)</w:t>
              <w:br/>
            </w:r>
            <w:r>
              <w:rPr>
                <w:rFonts w:ascii="Helvetica" w:hAnsi="Helvetica"/>
                <w:sz w:val="22"/>
              </w:rPr>
              <w:t>PRODUIT : CEMII A-L 42.5 N VRAC</w:t>
              <w:br/>
              <w:t>UNITE : Tonne</w:t>
              <w:br/>
            </w:r>
            <w:r>
              <w:rPr>
                <w:rFonts w:ascii="Helvetica" w:hAnsi="Helvetica"/>
                <w:sz w:val="22"/>
              </w:rPr>
              <w:t>DU : 2026-01-01   AU : 2026-01-23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blHeader/>
        </w:trPr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INITIAL</w:t>
            </w:r>
          </w:p>
        </w:tc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P.UNITAIRE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RECEPTIONS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VENTES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FINAL</w:t>
            </w:r>
          </w:p>
        </w:tc>
      </w:tr>
      <w:tr>
        <w:trPr>
          <w:tblHeader/>
        </w:trPr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</w:tr>
      <w:tr>
        <w:tc>
          <w:tcPr>
            <w:tcW w:type="dxa" w:w="992"/>
          </w:tcPr>
          <w:p>
            <w:r>
              <w:t>01/01/2026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543 877,60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543 877,60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