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before="400"/>
        <w:jc w:val="center"/>
      </w:pPr>
      <w:r>
        <w:rPr>
          <w:rFonts w:ascii="Arial" w:cs="Arial" w:eastAsia="Arial" w:hAnsi="Arial"/>
          <w:b/>
          <w:bCs/>
          <w:color w:val="1F3864"/>
          <w:sz w:val="56"/>
          <w:szCs w:val="56"/>
        </w:rPr>
        <w:t xml:space="preserve">PROJET INFRASTRUCTURE</w:t>
      </w:r>
    </w:p>
    <w:p>
      <w:pPr>
        <w:spacing w:after="100" w:before="100"/>
        <w:jc w:val="center"/>
      </w:pPr>
      <w:r>
        <w:rPr>
          <w:rFonts w:ascii="Arial" w:cs="Arial" w:eastAsia="Arial" w:hAnsi="Arial"/>
          <w:color w:val="2E75B6"/>
          <w:sz w:val="36"/>
          <w:szCs w:val="36"/>
        </w:rPr>
        <w:t xml:space="preserve">Active Directory, DNS, DHCP &amp; GPO</w:t>
      </w:r>
    </w:p>
    <w:p>
      <w:pPr>
        <w:pBdr>
          <w:bottom w:val="single" w:color="2E75B6" w:sz="8" w:space="1"/>
        </w:pBdr>
        <w:spacing w:after="400" w:before="200"/>
        <w:jc w:val="center"/>
      </w:pPr>
    </w:p>
    <w:p>
      <w:pPr>
        <w:spacing w:after="120" w:before="300"/>
        <w:jc w:val="center"/>
      </w:pPr>
      <w:r>
        <w:rPr>
          <w:rFonts w:ascii="Arial" w:cs="Arial" w:eastAsia="Arial" w:hAnsi="Arial"/>
          <w:b/>
          <w:bCs/>
          <w:sz w:val="26"/>
          <w:szCs w:val="26"/>
        </w:rPr>
        <w:t xml:space="preserve">Auteur : Djamarou</w:t>
      </w:r>
    </w:p>
    <w:p>
      <w:pPr>
        <w:spacing w:after="80" w:before="80"/>
        <w:jc w:val="center"/>
      </w:pPr>
      <w:r>
        <w:rPr>
          <w:rFonts w:ascii="Arial" w:cs="Arial" w:eastAsia="Arial" w:hAnsi="Arial"/>
          <w:sz w:val="24"/>
          <w:szCs w:val="24"/>
        </w:rPr>
        <w:t xml:space="preserve">Entreprise : DLK-ENTREPRISE</w:t>
      </w:r>
    </w:p>
    <w:p>
      <w:pPr>
        <w:spacing w:after="80" w:before="80"/>
        <w:jc w:val="center"/>
      </w:pPr>
      <w:r>
        <w:rPr>
          <w:rFonts w:ascii="Arial" w:cs="Arial" w:eastAsia="Arial" w:hAnsi="Arial"/>
          <w:sz w:val="24"/>
          <w:szCs w:val="24"/>
        </w:rPr>
        <w:t xml:space="preserve">Domaine : dlk.local</w:t>
      </w:r>
    </w:p>
    <w:p>
      <w:pPr>
        <w:spacing w:after="80" w:before="80"/>
        <w:jc w:val="center"/>
      </w:pPr>
      <w:r>
        <w:rPr>
          <w:rFonts w:ascii="Arial" w:cs="Arial" w:eastAsia="Arial" w:hAnsi="Arial"/>
          <w:sz w:val="24"/>
          <w:szCs w:val="24"/>
        </w:rPr>
        <w:t xml:space="preserve">Année : 2026</w:t>
      </w:r>
    </w:p>
    <w:p>
      <w:pPr>
        <w:spacing w:after="80" w:before="80"/>
        <w:jc w:val="center"/>
      </w:pPr>
      <w:r>
        <w:rPr>
          <w:rFonts w:ascii="Arial" w:cs="Arial" w:eastAsia="Arial" w:hAnsi="Arial"/>
          <w:i/>
          <w:iCs/>
          <w:color w:val="555555"/>
          <w:sz w:val="24"/>
          <w:szCs w:val="24"/>
        </w:rPr>
        <w:t xml:space="preserve">BTS SIO – Option SISR – 1ère année</w:t>
      </w:r>
    </w:p>
    <w:p>
      <w:r>
        <w:br w:type="page"/>
      </w:r>
    </w:p>
    <w:p>
      <w:pPr>
        <w:pStyle w:val="Heading1"/>
        <w:spacing w:after="180" w:before="360"/>
      </w:pPr>
      <w:r>
        <w:rPr>
          <w:rFonts w:ascii="Arial" w:cs="Arial" w:eastAsia="Arial" w:hAnsi="Arial"/>
          <w:b/>
          <w:bCs/>
          <w:sz w:val="32"/>
          <w:szCs w:val="32"/>
        </w:rPr>
        <w:t xml:space="preserve">1. Introduction</w:t>
      </w:r>
    </w:p>
    <w:p>
      <w:pPr>
        <w:spacing w:after="80" w:before="60"/>
      </w:pPr>
      <w:r>
        <w:rPr>
          <w:rFonts w:ascii="Arial" w:cs="Arial" w:eastAsia="Arial" w:hAnsi="Arial"/>
          <w:sz w:val="22"/>
          <w:szCs w:val="22"/>
        </w:rPr>
        <w:t xml:space="preserve">Ce projet a été réalisé dans le cadre de ma formation BTS SIO (option SISR) en première année. Il consiste à déployer, sur VMware Workstation, une infrastructure réseau complète et professionnelle basée sur Windows Server 2022.</w:t>
      </w:r>
    </w:p>
    <w:p>
      <w:pPr>
        <w:spacing w:after="80" w:before="60"/>
      </w:pPr>
      <w:r>
        <w:rPr>
          <w:rFonts w:ascii="Arial" w:cs="Arial" w:eastAsia="Arial" w:hAnsi="Arial"/>
          <w:sz w:val="22"/>
          <w:szCs w:val="22"/>
        </w:rPr>
        <w:t xml:space="preserve">L’objectif est de créer un environnement d’entreprise fonctionnel incluant : la gestion centralisée des utilisateurs via Active Directory, la résolution de noms via DNS, la distribution automatique des adresses IP via DHCP, et l’application de politiques de sécurité via les GPO.</w:t>
      </w:r>
    </w:p>
    <w:p>
      <w:pPr>
        <w:spacing w:after="80" w:before="60"/>
      </w:pPr>
      <w:r>
        <w:rPr>
          <w:rFonts w:ascii="Arial" w:cs="Arial" w:eastAsia="Arial" w:hAnsi="Arial"/>
          <w:sz w:val="22"/>
          <w:szCs w:val="22"/>
        </w:rPr>
        <w:t xml:space="preserve">Un poste client Windows 10 est ensuite joint au domaine pour valider l’ensemble de l’infrastructure.</w:t>
      </w:r>
    </w:p>
    <w:p>
      <w:pPr>
        <w:pBdr>
          <w:bottom w:val="single" w:color="2E75B6" w:sz="4" w:space="1"/>
        </w:pBdr>
        <w:spacing w:after="120" w:before="120"/>
      </w:pPr>
    </w:p>
    <w:p>
      <w:pPr>
        <w:pStyle w:val="Heading1"/>
        <w:spacing w:after="180" w:before="360"/>
      </w:pPr>
      <w:r>
        <w:rPr>
          <w:rFonts w:ascii="Arial" w:cs="Arial" w:eastAsia="Arial" w:hAnsi="Arial"/>
          <w:b/>
          <w:bCs/>
          <w:sz w:val="32"/>
          <w:szCs w:val="32"/>
        </w:rPr>
        <w:t xml:space="preserve">2. Objectifs du projet</w:t>
      </w:r>
    </w:p>
    <w:p>
      <w:pPr>
        <w:pStyle w:val="ListParagraph"/>
        <w:numPr>
          <w:ilvl w:val="0"/>
          <w:numId w:val="2"/>
        </w:numPr>
        <w:spacing w:after="60" w:before="40"/>
      </w:pPr>
      <w:r>
        <w:rPr>
          <w:rFonts w:ascii="Arial" w:cs="Arial" w:eastAsia="Arial" w:hAnsi="Arial"/>
          <w:sz w:val="22"/>
          <w:szCs w:val="22"/>
        </w:rPr>
        <w:t xml:space="preserve">Installer Windows Server 2022 sur une machine virtuelle VMware</w:t>
      </w:r>
    </w:p>
    <w:p>
      <w:pPr>
        <w:pStyle w:val="ListParagraph"/>
        <w:numPr>
          <w:ilvl w:val="0"/>
          <w:numId w:val="2"/>
        </w:numPr>
        <w:spacing w:after="60" w:before="40"/>
      </w:pPr>
      <w:r>
        <w:rPr>
          <w:rFonts w:ascii="Arial" w:cs="Arial" w:eastAsia="Arial" w:hAnsi="Arial"/>
          <w:sz w:val="22"/>
          <w:szCs w:val="22"/>
        </w:rPr>
        <w:t xml:space="preserve">Configurer une adresse IP fixe sur le serveur</w:t>
      </w:r>
    </w:p>
    <w:p>
      <w:pPr>
        <w:pStyle w:val="ListParagraph"/>
        <w:numPr>
          <w:ilvl w:val="0"/>
          <w:numId w:val="2"/>
        </w:numPr>
        <w:spacing w:after="60" w:before="40"/>
      </w:pPr>
      <w:r>
        <w:rPr>
          <w:rFonts w:ascii="Arial" w:cs="Arial" w:eastAsia="Arial" w:hAnsi="Arial"/>
          <w:sz w:val="22"/>
          <w:szCs w:val="22"/>
        </w:rPr>
        <w:t xml:space="preserve">Déployer le rôle Active Directory Domain Services (AD DS)</w:t>
      </w:r>
    </w:p>
    <w:p>
      <w:pPr>
        <w:pStyle w:val="ListParagraph"/>
        <w:numPr>
          <w:ilvl w:val="0"/>
          <w:numId w:val="2"/>
        </w:numPr>
        <w:spacing w:after="60" w:before="40"/>
      </w:pPr>
      <w:r>
        <w:rPr>
          <w:rFonts w:ascii="Arial" w:cs="Arial" w:eastAsia="Arial" w:hAnsi="Arial"/>
          <w:sz w:val="22"/>
          <w:szCs w:val="22"/>
        </w:rPr>
        <w:t xml:space="preserve">Créer le domaine dlk.local</w:t>
      </w:r>
    </w:p>
    <w:p>
      <w:pPr>
        <w:pStyle w:val="ListParagraph"/>
        <w:numPr>
          <w:ilvl w:val="0"/>
          <w:numId w:val="2"/>
        </w:numPr>
        <w:spacing w:after="60" w:before="40"/>
      </w:pPr>
      <w:r>
        <w:rPr>
          <w:rFonts w:ascii="Arial" w:cs="Arial" w:eastAsia="Arial" w:hAnsi="Arial"/>
          <w:sz w:val="22"/>
          <w:szCs w:val="22"/>
        </w:rPr>
        <w:t xml:space="preserve">Configurer le DNS (zones directe et inversée, redirecteurs)</w:t>
      </w:r>
    </w:p>
    <w:p>
      <w:pPr>
        <w:pStyle w:val="ListParagraph"/>
        <w:numPr>
          <w:ilvl w:val="0"/>
          <w:numId w:val="2"/>
        </w:numPr>
        <w:spacing w:after="60" w:before="40"/>
      </w:pPr>
      <w:r>
        <w:rPr>
          <w:rFonts w:ascii="Arial" w:cs="Arial" w:eastAsia="Arial" w:hAnsi="Arial"/>
          <w:sz w:val="22"/>
          <w:szCs w:val="22"/>
        </w:rPr>
        <w:t xml:space="preserve">Installer et configurer le service DHCP</w:t>
      </w:r>
    </w:p>
    <w:p>
      <w:pPr>
        <w:pStyle w:val="ListParagraph"/>
        <w:numPr>
          <w:ilvl w:val="0"/>
          <w:numId w:val="2"/>
        </w:numPr>
        <w:spacing w:after="60" w:before="40"/>
      </w:pPr>
      <w:r>
        <w:rPr>
          <w:rFonts w:ascii="Arial" w:cs="Arial" w:eastAsia="Arial" w:hAnsi="Arial"/>
          <w:sz w:val="22"/>
          <w:szCs w:val="22"/>
        </w:rPr>
        <w:t xml:space="preserve">Créer les unités d’organisation (OU) et les groupes</w:t>
      </w:r>
    </w:p>
    <w:p>
      <w:pPr>
        <w:pStyle w:val="ListParagraph"/>
        <w:numPr>
          <w:ilvl w:val="0"/>
          <w:numId w:val="2"/>
        </w:numPr>
        <w:spacing w:after="60" w:before="40"/>
      </w:pPr>
      <w:r>
        <w:rPr>
          <w:rFonts w:ascii="Arial" w:cs="Arial" w:eastAsia="Arial" w:hAnsi="Arial"/>
          <w:sz w:val="22"/>
          <w:szCs w:val="22"/>
        </w:rPr>
        <w:t xml:space="preserve">Créer les utilisateurs du domaine</w:t>
      </w:r>
    </w:p>
    <w:p>
      <w:pPr>
        <w:pStyle w:val="ListParagraph"/>
        <w:numPr>
          <w:ilvl w:val="0"/>
          <w:numId w:val="2"/>
        </w:numPr>
        <w:spacing w:after="60" w:before="40"/>
      </w:pPr>
      <w:r>
        <w:rPr>
          <w:rFonts w:ascii="Arial" w:cs="Arial" w:eastAsia="Arial" w:hAnsi="Arial"/>
          <w:sz w:val="22"/>
          <w:szCs w:val="22"/>
        </w:rPr>
        <w:t xml:space="preserve">Appliquer des GPO de sécurité (blocage CMD, Panneau de configuration, Regedit)</w:t>
      </w:r>
    </w:p>
    <w:p>
      <w:pPr>
        <w:pStyle w:val="ListParagraph"/>
        <w:numPr>
          <w:ilvl w:val="0"/>
          <w:numId w:val="2"/>
        </w:numPr>
        <w:spacing w:after="60" w:before="40"/>
      </w:pPr>
      <w:r>
        <w:rPr>
          <w:rFonts w:ascii="Arial" w:cs="Arial" w:eastAsia="Arial" w:hAnsi="Arial"/>
          <w:sz w:val="22"/>
          <w:szCs w:val="22"/>
        </w:rPr>
        <w:t xml:space="preserve">Joindre un poste Windows 10 au domaine</w:t>
      </w:r>
    </w:p>
    <w:p>
      <w:pPr>
        <w:pStyle w:val="ListParagraph"/>
        <w:numPr>
          <w:ilvl w:val="0"/>
          <w:numId w:val="2"/>
        </w:numPr>
        <w:spacing w:after="60" w:before="40"/>
      </w:pPr>
      <w:r>
        <w:rPr>
          <w:rFonts w:ascii="Arial" w:cs="Arial" w:eastAsia="Arial" w:hAnsi="Arial"/>
          <w:sz w:val="22"/>
          <w:szCs w:val="22"/>
        </w:rPr>
        <w:t xml:space="preserve">Tester et valider l’infrastructure complète</w:t>
      </w:r>
    </w:p>
    <w:p>
      <w:pPr>
        <w:pBdr>
          <w:bottom w:val="single" w:color="2E75B6" w:sz="4" w:space="1"/>
        </w:pBdr>
        <w:spacing w:after="120" w:before="120"/>
      </w:pPr>
    </w:p>
    <w:p>
      <w:pPr>
        <w:pStyle w:val="Heading1"/>
        <w:spacing w:after="180" w:before="360"/>
      </w:pPr>
      <w:r>
        <w:rPr>
          <w:rFonts w:ascii="Arial" w:cs="Arial" w:eastAsia="Arial" w:hAnsi="Arial"/>
          <w:b/>
          <w:bCs/>
          <w:sz w:val="32"/>
          <w:szCs w:val="32"/>
        </w:rPr>
        <w:t xml:space="preserve">3. Architecture réseau</w:t>
      </w:r>
    </w:p>
    <w:p>
      <w:pPr>
        <w:spacing w:after="80" w:before="60"/>
      </w:pPr>
      <w:r>
        <w:rPr>
          <w:rFonts w:ascii="Arial" w:cs="Arial" w:eastAsia="Arial" w:hAnsi="Arial"/>
          <w:sz w:val="22"/>
          <w:szCs w:val="22"/>
        </w:rPr>
        <w:t xml:space="preserve">Le schéma ci-dessous présente l’architecture globale déployée dans VMware Workstation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40" w:before="40"/>
            </w:pPr>
            <w:r>
              <w:rPr>
                <w:rFonts w:ascii="Courier New" w:cs="Courier New" w:eastAsia="Courier New" w:hAnsi="Courier New"/>
                <w:color w:val="1a1a2e"/>
                <w:sz w:val="20"/>
                <w:szCs w:val="20"/>
              </w:rPr>
              <w:t xml:space="preserve">  VMware Workstation – Réseau VMnet8 (NAT)</w:t>
            </w:r>
          </w:p>
          <w:p>
            <w:pPr>
              <w:spacing w:after="40" w:before="40"/>
            </w:pPr>
            <w:r>
              <w:rPr>
                <w:rFonts w:ascii="Courier New" w:cs="Courier New" w:eastAsia="Courier New" w:hAnsi="Courier New"/>
                <w:color w:val="1a1a2e"/>
                <w:sz w:val="20"/>
                <w:szCs w:val="20"/>
              </w:rPr>
              <w:t xml:space="preserve">  ────────────────────────────────────────</w:t>
            </w:r>
          </w:p>
          <w:p>
            <w:pPr>
              <w:spacing w:after="40" w:before="40"/>
            </w:pPr>
            <w:r>
              <w:rPr>
                <w:rFonts w:ascii="Courier New" w:cs="Courier New" w:eastAsia="Courier New" w:hAnsi="Courier New"/>
                <w:color w:val="1a1a2e"/>
                <w:sz w:val="20"/>
                <w:szCs w:val="20"/>
              </w:rPr>
              <w:t xml:space="preserve">  Serveur : Windows Server 2022</w:t>
            </w:r>
          </w:p>
          <w:p>
            <w:pPr>
              <w:spacing w:after="40" w:before="40"/>
            </w:pPr>
            <w:r>
              <w:rPr>
                <w:rFonts w:ascii="Courier New" w:cs="Courier New" w:eastAsia="Courier New" w:hAnsi="Courier New"/>
                <w:color w:val="1a1a2e"/>
                <w:sz w:val="20"/>
                <w:szCs w:val="20"/>
              </w:rPr>
              <w:t xml:space="preserve">    → IP fixe   : 192.168.8.10</w:t>
            </w:r>
          </w:p>
          <w:p>
            <w:pPr>
              <w:spacing w:after="40" w:before="40"/>
            </w:pPr>
            <w:r>
              <w:rPr>
                <w:rFonts w:ascii="Courier New" w:cs="Courier New" w:eastAsia="Courier New" w:hAnsi="Courier New"/>
                <w:color w:val="1a1a2e"/>
                <w:sz w:val="20"/>
                <w:szCs w:val="20"/>
              </w:rPr>
              <w:t xml:space="preserve">    → Services  : AD DS | DNS | DHCP | GPO</w:t>
            </w:r>
          </w:p>
          <w:p>
            <w:pPr>
              <w:spacing w:after="40" w:before="40"/>
            </w:pPr>
            <w:r>
              <w:rPr>
                <w:rFonts w:ascii="Courier New" w:cs="Courier New" w:eastAsia="Courier New" w:hAnsi="Courier New"/>
                <w:color w:val="1a1a2e"/>
                <w:sz w:val="20"/>
                <w:szCs w:val="20"/>
              </w:rPr>
              <w:t xml:space="preserve">    → Domaine   : dlk.local</w:t>
            </w:r>
          </w:p>
          <w:p>
            <w:pPr>
              <w:spacing w:after="40" w:before="40"/>
            </w:pPr>
            <w:r>
              <w:rPr>
                <w:rFonts w:ascii="Courier New" w:cs="Courier New" w:eastAsia="Courier New" w:hAnsi="Courier New"/>
                <w:color w:val="1a1a2e"/>
                <w:sz w:val="20"/>
                <w:szCs w:val="20"/>
              </w:rPr>
              <w:t xml:space="preserve">  ────────────────────────────────────────</w:t>
            </w:r>
          </w:p>
          <w:p>
            <w:pPr>
              <w:spacing w:after="40" w:before="40"/>
            </w:pPr>
            <w:r>
              <w:rPr>
                <w:rFonts w:ascii="Courier New" w:cs="Courier New" w:eastAsia="Courier New" w:hAnsi="Courier New"/>
                <w:color w:val="1a1a2e"/>
                <w:sz w:val="20"/>
                <w:szCs w:val="20"/>
              </w:rPr>
              <w:t xml:space="preserve">  Client  : Windows 10</w:t>
            </w:r>
          </w:p>
          <w:p>
            <w:pPr>
              <w:spacing w:after="40" w:before="40"/>
            </w:pPr>
            <w:r>
              <w:rPr>
                <w:rFonts w:ascii="Courier New" w:cs="Courier New" w:eastAsia="Courier New" w:hAnsi="Courier New"/>
                <w:color w:val="1a1a2e"/>
                <w:sz w:val="20"/>
                <w:szCs w:val="20"/>
              </w:rPr>
              <w:t xml:space="preserve">    → IP auto   : 192.168.8.50 (via DHCP)</w:t>
            </w:r>
          </w:p>
          <w:p>
            <w:pPr>
              <w:spacing w:after="40" w:before="40"/>
            </w:pPr>
            <w:r>
              <w:rPr>
                <w:rFonts w:ascii="Courier New" w:cs="Courier New" w:eastAsia="Courier New" w:hAnsi="Courier New"/>
                <w:color w:val="1a1a2e"/>
                <w:sz w:val="20"/>
                <w:szCs w:val="20"/>
              </w:rPr>
              <w:t xml:space="preserve">    → DNS       : 192.168.8.10</w:t>
            </w:r>
          </w:p>
          <w:p>
            <w:pPr>
              <w:spacing w:after="40" w:before="40"/>
            </w:pPr>
            <w:r>
              <w:rPr>
                <w:rFonts w:ascii="Courier New" w:cs="Courier New" w:eastAsia="Courier New" w:hAnsi="Courier New"/>
                <w:color w:val="1a1a2e"/>
                <w:sz w:val="20"/>
                <w:szCs w:val="20"/>
              </w:rPr>
              <w:t xml:space="preserve">    → Domaine   : dlk.local</w:t>
            </w:r>
          </w:p>
          <w:p>
            <w:pPr>
              <w:spacing w:after="40" w:before="40"/>
            </w:pPr>
            <w:r>
              <w:rPr>
                <w:rFonts w:ascii="Courier New" w:cs="Courier New" w:eastAsia="Courier New" w:hAnsi="Courier New"/>
                <w:color w:val="1a1a2e"/>
                <w:sz w:val="20"/>
                <w:szCs w:val="20"/>
              </w:rPr>
              <w:t xml:space="preserve">  ────────────────────────────────────────</w:t>
            </w:r>
          </w:p>
          <w:p>
            <w:pPr>
              <w:spacing w:after="40" w:before="40"/>
            </w:pPr>
            <w:r>
              <w:rPr>
                <w:rFonts w:ascii="Courier New" w:cs="Courier New" w:eastAsia="Courier New" w:hAnsi="Courier New"/>
                <w:color w:val="1a1a2e"/>
                <w:sz w:val="20"/>
                <w:szCs w:val="20"/>
              </w:rPr>
              <w:t xml:space="preserve">  Réseau : 192.168.8.0/24  |  Masque : 255.255.255.0</w:t>
            </w:r>
          </w:p>
          <w:p>
            <w:pPr>
              <w:spacing w:after="40" w:before="40"/>
            </w:pPr>
            <w:r>
              <w:rPr>
                <w:rFonts w:ascii="Courier New" w:cs="Courier New" w:eastAsia="Courier New" w:hAnsi="Courier New"/>
                <w:color w:val="1a1a2e"/>
                <w:sz w:val="20"/>
                <w:szCs w:val="20"/>
              </w:rPr>
              <w:t xml:space="preserve">  Passerelle : 192.168.8.2  |  DNS ext. : 8.8.8.8 / 1.1.1.1</w:t>
            </w:r>
          </w:p>
        </w:tc>
      </w:tr>
    </w:tbl>
    <w:p>
      <w:pPr>
        <w:spacing w:after="80" w:before="60"/>
      </w:pPr>
      <w:r>
        <w:rPr>
          <w:rFonts w:ascii="Arial" w:cs="Arial" w:eastAsia="Arial" w:hAnsi="Arial"/>
          <w:sz w:val="22"/>
          <w:szCs w:val="22"/>
        </w:rPr>
        <w:t xml:space="preserve"/>
      </w:r>
    </w:p>
    <w:p>
      <w:pPr>
        <w:pBdr>
          <w:bottom w:val="single" w:color="2E75B6" w:sz="4" w:space="1"/>
        </w:pBdr>
        <w:spacing w:after="120" w:before="120"/>
      </w:pPr>
    </w:p>
    <w:p>
      <w:pPr>
        <w:pStyle w:val="Heading1"/>
        <w:spacing w:after="180" w:before="360"/>
      </w:pPr>
      <w:r>
        <w:rPr>
          <w:rFonts w:ascii="Arial" w:cs="Arial" w:eastAsia="Arial" w:hAnsi="Arial"/>
          <w:b/>
          <w:bCs/>
          <w:sz w:val="32"/>
          <w:szCs w:val="32"/>
        </w:rPr>
        <w:t xml:space="preserve">4. Configuration de la machine virtuelle (VMware)</w:t>
      </w:r>
    </w:p>
    <w:p>
      <w:pPr>
        <w:spacing w:after="80" w:before="60"/>
      </w:pPr>
      <w:r>
        <w:rPr>
          <w:rFonts w:ascii="Arial" w:cs="Arial" w:eastAsia="Arial" w:hAnsi="Arial"/>
          <w:sz w:val="22"/>
          <w:szCs w:val="22"/>
        </w:rPr>
        <w:t xml:space="preserve">La machine virtuelle du serveur a été créée avec la configuration suivante :</w:t>
      </w:r>
    </w:p>
    <w:p>
      <w:pPr>
        <w:pStyle w:val="ListParagraph"/>
        <w:numPr>
          <w:ilvl w:val="0"/>
          <w:numId w:val="2"/>
        </w:numPr>
        <w:spacing w:after="60" w:before="40"/>
      </w:pPr>
      <w:r>
        <w:rPr>
          <w:rFonts w:ascii="Arial" w:cs="Arial" w:eastAsia="Arial" w:hAnsi="Arial"/>
          <w:sz w:val="22"/>
          <w:szCs w:val="22"/>
        </w:rPr>
        <w:t xml:space="preserve">Processeurs : 2 vCPU</w:t>
      </w:r>
    </w:p>
    <w:p>
      <w:pPr>
        <w:pStyle w:val="ListParagraph"/>
        <w:numPr>
          <w:ilvl w:val="0"/>
          <w:numId w:val="2"/>
        </w:numPr>
        <w:spacing w:after="60" w:before="40"/>
      </w:pPr>
      <w:r>
        <w:rPr>
          <w:rFonts w:ascii="Arial" w:cs="Arial" w:eastAsia="Arial" w:hAnsi="Arial"/>
          <w:sz w:val="22"/>
          <w:szCs w:val="22"/>
        </w:rPr>
        <w:t xml:space="preserve">Mémoire RAM : 2 Go</w:t>
      </w:r>
    </w:p>
    <w:p>
      <w:pPr>
        <w:pStyle w:val="ListParagraph"/>
        <w:numPr>
          <w:ilvl w:val="0"/>
          <w:numId w:val="2"/>
        </w:numPr>
        <w:spacing w:after="60" w:before="40"/>
      </w:pPr>
      <w:r>
        <w:rPr>
          <w:rFonts w:ascii="Arial" w:cs="Arial" w:eastAsia="Arial" w:hAnsi="Arial"/>
          <w:sz w:val="22"/>
          <w:szCs w:val="22"/>
        </w:rPr>
        <w:t xml:space="preserve">Disque dur : 60 Go (NVMe)</w:t>
      </w:r>
    </w:p>
    <w:p>
      <w:pPr>
        <w:pStyle w:val="ListParagraph"/>
        <w:numPr>
          <w:ilvl w:val="0"/>
          <w:numId w:val="2"/>
        </w:numPr>
        <w:spacing w:after="60" w:before="40"/>
      </w:pPr>
      <w:r>
        <w:rPr>
          <w:rFonts w:ascii="Arial" w:cs="Arial" w:eastAsia="Arial" w:hAnsi="Arial"/>
          <w:sz w:val="22"/>
          <w:szCs w:val="22"/>
        </w:rPr>
        <w:t xml:space="preserve">Carte réseau : Personnalisée – VMnet8 (NAT)</w:t>
      </w:r>
    </w:p>
    <w:p>
      <w:pPr>
        <w:spacing w:after="80" w:before="60"/>
      </w:pPr>
      <w:r>
        <w:rPr>
          <w:rFonts w:ascii="Arial" w:cs="Arial" w:eastAsia="Arial" w:hAnsi="Arial"/>
          <w:sz w:val="22"/>
          <w:szCs w:val="22"/>
        </w:rPr>
        <w:t xml:space="preserve">Le mode NAT permet au serveur d’accéder à Internet tout en restant isolé sur un réseau privé virtuel, ce qui est idéal pour un environnement de test.</w:t>
      </w:r>
    </w:p>
    <w:p>
      <w:pPr>
        <w:spacing w:after="160" w:before="80"/>
        <w:jc w:val="center"/>
      </w:pPr>
      <w:r>
        <w:drawing>
          <wp:inline distT="0" distB="0" distL="0" distR="0">
            <wp:extent cx="43815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4295775"/>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1 – Paramètres de la machine virtuelle VMware (VMnet8, 2 CPU, 2 Go RAM, 60 Go)</w:t>
      </w:r>
    </w:p>
    <w:p>
      <w:pPr>
        <w:pBdr>
          <w:bottom w:val="single" w:color="2E75B6" w:sz="4" w:space="1"/>
        </w:pBdr>
        <w:spacing w:after="120" w:before="120"/>
      </w:pPr>
    </w:p>
    <w:p>
      <w:pPr>
        <w:pStyle w:val="Heading1"/>
        <w:spacing w:after="180" w:before="360"/>
      </w:pPr>
      <w:r>
        <w:rPr>
          <w:rFonts w:ascii="Arial" w:cs="Arial" w:eastAsia="Arial" w:hAnsi="Arial"/>
          <w:b/>
          <w:bCs/>
          <w:sz w:val="32"/>
          <w:szCs w:val="32"/>
        </w:rPr>
        <w:t xml:space="preserve">5. Installation de Windows Server 2022</w:t>
      </w:r>
    </w:p>
    <w:p>
      <w:pPr>
        <w:spacing w:after="80" w:before="60"/>
      </w:pPr>
      <w:r>
        <w:rPr>
          <w:rFonts w:ascii="Arial" w:cs="Arial" w:eastAsia="Arial" w:hAnsi="Arial"/>
          <w:sz w:val="22"/>
          <w:szCs w:val="22"/>
        </w:rPr>
        <w:t xml:space="preserve">Windows Server 2022 Standard a été installé depuis un fichier ISO monté sur la machine virtuelle. Après l’installation, le serveur a reçu le nom : WIN-NPF8IFRCTPA.</w:t>
      </w:r>
    </w:p>
    <w:p>
      <w:pPr>
        <w:spacing w:after="80" w:before="60"/>
      </w:pPr>
      <w:r>
        <w:rPr>
          <w:rFonts w:ascii="Arial" w:cs="Arial" w:eastAsia="Arial" w:hAnsi="Arial"/>
          <w:sz w:val="22"/>
          <w:szCs w:val="22"/>
        </w:rPr>
        <w:t xml:space="preserve">Le système fonctionne sur VMware, Inc. VMware20,1 et présente toutes les caractéristiques d’un serveur d’entreprise standard.</w:t>
      </w:r>
    </w:p>
    <w:p>
      <w:pPr>
        <w:pBdr>
          <w:bottom w:val="single" w:color="2E75B6" w:sz="4" w:space="1"/>
        </w:pBdr>
        <w:spacing w:after="120" w:before="120"/>
      </w:pPr>
    </w:p>
    <w:p>
      <w:pPr>
        <w:pStyle w:val="Heading1"/>
        <w:spacing w:after="180" w:before="360"/>
      </w:pPr>
      <w:r>
        <w:rPr>
          <w:rFonts w:ascii="Arial" w:cs="Arial" w:eastAsia="Arial" w:hAnsi="Arial"/>
          <w:b/>
          <w:bCs/>
          <w:sz w:val="32"/>
          <w:szCs w:val="32"/>
        </w:rPr>
        <w:t xml:space="preserve">6. Configuration réseau du serveur</w:t>
      </w:r>
    </w:p>
    <w:p>
      <w:pPr>
        <w:spacing w:after="80" w:before="60"/>
      </w:pPr>
      <w:r>
        <w:rPr>
          <w:rFonts w:ascii="Arial" w:cs="Arial" w:eastAsia="Arial" w:hAnsi="Arial"/>
          <w:sz w:val="22"/>
          <w:szCs w:val="22"/>
        </w:rPr>
        <w:t xml:space="preserve">Avant toute installation de rôle, il est indispensable d’attribuer une adresse IP fixe au serveur. Un serveur Active Directory ou DNS ne doit jamais changer d’adresse IP.</w:t>
      </w:r>
    </w:p>
    <w:p>
      <w:pPr>
        <w:spacing w:after="80" w:before="60"/>
      </w:pPr>
      <w:r>
        <w:rPr>
          <w:rFonts w:ascii="Arial" w:cs="Arial" w:eastAsia="Arial" w:hAnsi="Arial"/>
          <w:sz w:val="22"/>
          <w:szCs w:val="22"/>
        </w:rPr>
        <w:t xml:space="preserve">Paramètres configurés :</w:t>
      </w:r>
    </w:p>
    <w:p>
      <w:pPr>
        <w:pStyle w:val="ListParagraph"/>
        <w:numPr>
          <w:ilvl w:val="0"/>
          <w:numId w:val="2"/>
        </w:numPr>
        <w:spacing w:after="60" w:before="40"/>
      </w:pPr>
      <w:r>
        <w:rPr>
          <w:rFonts w:ascii="Arial" w:cs="Arial" w:eastAsia="Arial" w:hAnsi="Arial"/>
          <w:sz w:val="22"/>
          <w:szCs w:val="22"/>
        </w:rPr>
        <w:t xml:space="preserve">Adresse IP : 192.168.8.10</w:t>
      </w:r>
    </w:p>
    <w:p>
      <w:pPr>
        <w:pStyle w:val="ListParagraph"/>
        <w:numPr>
          <w:ilvl w:val="0"/>
          <w:numId w:val="2"/>
        </w:numPr>
        <w:spacing w:after="60" w:before="40"/>
      </w:pPr>
      <w:r>
        <w:rPr>
          <w:rFonts w:ascii="Arial" w:cs="Arial" w:eastAsia="Arial" w:hAnsi="Arial"/>
          <w:sz w:val="22"/>
          <w:szCs w:val="22"/>
        </w:rPr>
        <w:t xml:space="preserve">Masque de sous-réseau : 255.255.255.0</w:t>
      </w:r>
    </w:p>
    <w:p>
      <w:pPr>
        <w:pStyle w:val="ListParagraph"/>
        <w:numPr>
          <w:ilvl w:val="0"/>
          <w:numId w:val="2"/>
        </w:numPr>
        <w:spacing w:after="60" w:before="40"/>
      </w:pPr>
      <w:r>
        <w:rPr>
          <w:rFonts w:ascii="Arial" w:cs="Arial" w:eastAsia="Arial" w:hAnsi="Arial"/>
          <w:sz w:val="22"/>
          <w:szCs w:val="22"/>
        </w:rPr>
        <w:t xml:space="preserve">Passerelle par défaut : 192.168.8.2</w:t>
      </w:r>
    </w:p>
    <w:p>
      <w:pPr>
        <w:pStyle w:val="ListParagraph"/>
        <w:numPr>
          <w:ilvl w:val="0"/>
          <w:numId w:val="2"/>
        </w:numPr>
        <w:spacing w:after="60" w:before="40"/>
      </w:pPr>
      <w:r>
        <w:rPr>
          <w:rFonts w:ascii="Arial" w:cs="Arial" w:eastAsia="Arial" w:hAnsi="Arial"/>
          <w:sz w:val="22"/>
          <w:szCs w:val="22"/>
        </w:rPr>
        <w:t xml:space="preserve">Serveur DNS préféré : 192.168.8.10 (lui-même)</w:t>
      </w:r>
    </w:p>
    <w:p>
      <w:pPr>
        <w:spacing w:after="160" w:before="80"/>
        <w:jc w:val="center"/>
      </w:pPr>
      <w:r>
        <w:drawing>
          <wp:inline distT="0" distB="0" distL="0" distR="0">
            <wp:extent cx="4381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1813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2 – Propriétés du serveur local – IP 192.168.8.10, domaine dlk.local</w:t>
      </w:r>
    </w:p>
    <w:p>
      <w:pPr>
        <w:pBdr>
          <w:bottom w:val="single" w:color="2E75B6" w:sz="4" w:space="1"/>
        </w:pBdr>
        <w:spacing w:after="120" w:before="120"/>
      </w:pPr>
    </w:p>
    <w:p>
      <w:pPr>
        <w:pStyle w:val="Heading1"/>
        <w:spacing w:after="180" w:before="360"/>
      </w:pPr>
      <w:r>
        <w:rPr>
          <w:rFonts w:ascii="Arial" w:cs="Arial" w:eastAsia="Arial" w:hAnsi="Arial"/>
          <w:b/>
          <w:bCs/>
          <w:sz w:val="32"/>
          <w:szCs w:val="32"/>
        </w:rPr>
        <w:t xml:space="preserve">7. Installation du rôle Active Directory Domain Services (AD DS)</w:t>
      </w:r>
    </w:p>
    <w:p>
      <w:pPr>
        <w:spacing w:after="80" w:before="60"/>
      </w:pPr>
      <w:r>
        <w:rPr>
          <w:rFonts w:ascii="Arial" w:cs="Arial" w:eastAsia="Arial" w:hAnsi="Arial"/>
          <w:sz w:val="22"/>
          <w:szCs w:val="22"/>
        </w:rPr>
        <w:t xml:space="preserve">Le rôle AD DS a été installé via l’Assistant Ajout de rôles et fonctionnalités du Gestionnaire de serveur. Ce rôle est le cœur de l’infrastructure : il permet de gérer centralement les utilisateurs, les ordinateurs et les politiques de sécurité.</w:t>
      </w:r>
    </w:p>
    <w:p>
      <w:pPr>
        <w:spacing w:after="80" w:before="60"/>
      </w:pPr>
      <w:r>
        <w:rPr>
          <w:rFonts w:ascii="Arial" w:cs="Arial" w:eastAsia="Arial" w:hAnsi="Arial"/>
          <w:sz w:val="22"/>
          <w:szCs w:val="22"/>
        </w:rPr>
        <w:t xml:space="preserve">Les outils d’administration suivants ont été installés automatiquement :</w:t>
      </w:r>
    </w:p>
    <w:p>
      <w:pPr>
        <w:pStyle w:val="ListParagraph"/>
        <w:numPr>
          <w:ilvl w:val="0"/>
          <w:numId w:val="2"/>
        </w:numPr>
        <w:spacing w:after="60" w:before="40"/>
      </w:pPr>
      <w:r>
        <w:rPr>
          <w:rFonts w:ascii="Arial" w:cs="Arial" w:eastAsia="Arial" w:hAnsi="Arial"/>
          <w:sz w:val="22"/>
          <w:szCs w:val="22"/>
        </w:rPr>
        <w:t xml:space="preserve">Outils AD DS et AD LDS</w:t>
      </w:r>
    </w:p>
    <w:p>
      <w:pPr>
        <w:pStyle w:val="ListParagraph"/>
        <w:numPr>
          <w:ilvl w:val="0"/>
          <w:numId w:val="2"/>
        </w:numPr>
        <w:spacing w:after="60" w:before="40"/>
      </w:pPr>
      <w:r>
        <w:rPr>
          <w:rFonts w:ascii="Arial" w:cs="Arial" w:eastAsia="Arial" w:hAnsi="Arial"/>
          <w:sz w:val="22"/>
          <w:szCs w:val="22"/>
        </w:rPr>
        <w:t xml:space="preserve">Module Active Directory pour Windows PowerShell</w:t>
      </w:r>
    </w:p>
    <w:p>
      <w:pPr>
        <w:pStyle w:val="ListParagraph"/>
        <w:numPr>
          <w:ilvl w:val="0"/>
          <w:numId w:val="2"/>
        </w:numPr>
        <w:spacing w:after="60" w:before="40"/>
      </w:pPr>
      <w:r>
        <w:rPr>
          <w:rFonts w:ascii="Arial" w:cs="Arial" w:eastAsia="Arial" w:hAnsi="Arial"/>
          <w:sz w:val="22"/>
          <w:szCs w:val="22"/>
        </w:rPr>
        <w:t xml:space="preserve">Centre d’administration Active Directory</w:t>
      </w:r>
    </w:p>
    <w:p>
      <w:pPr>
        <w:spacing w:after="16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286125"/>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3 – Assistant Ajout de rôles – fonctionnalités requises pour AD DS</w:t>
      </w:r>
    </w:p>
    <w:p>
      <w:pPr>
        <w:pBdr>
          <w:bottom w:val="single" w:color="2E75B6" w:sz="4" w:space="1"/>
        </w:pBdr>
        <w:spacing w:after="120" w:before="120"/>
      </w:pPr>
    </w:p>
    <w:p>
      <w:pPr>
        <w:pStyle w:val="Heading1"/>
        <w:spacing w:after="180" w:before="360"/>
      </w:pPr>
      <w:r>
        <w:rPr>
          <w:rFonts w:ascii="Arial" w:cs="Arial" w:eastAsia="Arial" w:hAnsi="Arial"/>
          <w:b/>
          <w:bCs/>
          <w:sz w:val="32"/>
          <w:szCs w:val="32"/>
        </w:rPr>
        <w:t xml:space="preserve">8. Promotion en contrôleur de domaine – Création du domaine dlk.local</w:t>
      </w:r>
    </w:p>
    <w:p>
      <w:pPr>
        <w:spacing w:after="80" w:before="60"/>
      </w:pPr>
      <w:r>
        <w:rPr>
          <w:rFonts w:ascii="Arial" w:cs="Arial" w:eastAsia="Arial" w:hAnsi="Arial"/>
          <w:sz w:val="22"/>
          <w:szCs w:val="22"/>
        </w:rPr>
        <w:t xml:space="preserve">Après l’installation du rôle, le serveur a été promu en tant que contrôleur de domaine. L’opération choisie est « Ajouter une nouvelle forêt » car c’est un nouveau domaine créé de zéro.</w:t>
      </w:r>
    </w:p>
    <w:p>
      <w:pPr>
        <w:spacing w:after="80" w:before="60"/>
      </w:pPr>
      <w:r>
        <w:rPr>
          <w:rFonts w:ascii="Arial" w:cs="Arial" w:eastAsia="Arial" w:hAnsi="Arial"/>
          <w:sz w:val="22"/>
          <w:szCs w:val="22"/>
        </w:rPr>
        <w:t xml:space="preserve">Nom de domaine racine choisi : dlk.local</w:t>
      </w:r>
    </w:p>
    <w:p>
      <w:pPr>
        <w:spacing w:after="80" w:before="60"/>
      </w:pPr>
      <w:r>
        <w:rPr>
          <w:rFonts w:ascii="Arial" w:cs="Arial" w:eastAsia="Arial" w:hAnsi="Arial"/>
          <w:sz w:val="22"/>
          <w:szCs w:val="22"/>
        </w:rPr>
        <w:t xml:space="preserve">Ce nom de domaine est utilisé en interne. L’extension «.local» indique qu’il s’agit d’un domaine privé non accessible depuis Internet.</w:t>
      </w:r>
    </w:p>
    <w:p>
      <w:pPr>
        <w:spacing w:after="160" w:before="80"/>
        <w:jc w:val="center"/>
      </w:pPr>
      <w:r>
        <w:drawing>
          <wp:inline distT="0" distB="0" distL="0" distR="0">
            <wp:extent cx="4381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3528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4 – Configuration de déploiement – Création de la nouvelle forêt dlk.local</w:t>
      </w:r>
    </w:p>
    <w:p>
      <w:pPr>
        <w:pBdr>
          <w:bottom w:val="single" w:color="2E75B6" w:sz="4" w:space="1"/>
        </w:pBdr>
        <w:spacing w:after="120" w:before="120"/>
      </w:pPr>
    </w:p>
    <w:p>
      <w:pPr>
        <w:pStyle w:val="Heading1"/>
        <w:spacing w:after="180" w:before="360"/>
      </w:pPr>
      <w:r>
        <w:rPr>
          <w:rFonts w:ascii="Arial" w:cs="Arial" w:eastAsia="Arial" w:hAnsi="Arial"/>
          <w:b/>
          <w:bCs/>
          <w:sz w:val="32"/>
          <w:szCs w:val="32"/>
        </w:rPr>
        <w:t xml:space="preserve">9. Configuration du DNS</w:t>
      </w:r>
    </w:p>
    <w:p>
      <w:pPr>
        <w:pStyle w:val="Heading2"/>
        <w:spacing w:after="120" w:before="240"/>
      </w:pPr>
      <w:r>
        <w:rPr>
          <w:rFonts w:ascii="Arial" w:cs="Arial" w:eastAsia="Arial" w:hAnsi="Arial"/>
          <w:b/>
          <w:bCs/>
          <w:sz w:val="28"/>
          <w:szCs w:val="28"/>
        </w:rPr>
        <w:t xml:space="preserve">9.1 Zones de recherche directe</w:t>
      </w:r>
    </w:p>
    <w:p>
      <w:pPr>
        <w:spacing w:after="80" w:before="60"/>
      </w:pPr>
      <w:r>
        <w:rPr>
          <w:rFonts w:ascii="Arial" w:cs="Arial" w:eastAsia="Arial" w:hAnsi="Arial"/>
          <w:sz w:val="22"/>
          <w:szCs w:val="22"/>
        </w:rPr>
        <w:t xml:space="preserve">Le service DNS a été automatiquement installé lors de la promotion en contrôleur de domaine. Deux zones de recherche directe ont été créées :</w:t>
      </w:r>
    </w:p>
    <w:p>
      <w:pPr>
        <w:pStyle w:val="ListParagraph"/>
        <w:numPr>
          <w:ilvl w:val="0"/>
          <w:numId w:val="2"/>
        </w:numPr>
        <w:spacing w:after="60" w:before="40"/>
      </w:pPr>
      <w:r>
        <w:rPr>
          <w:rFonts w:ascii="Arial" w:cs="Arial" w:eastAsia="Arial" w:hAnsi="Arial"/>
          <w:sz w:val="22"/>
          <w:szCs w:val="22"/>
        </w:rPr>
        <w:t xml:space="preserve">_msdcs.dlk.local – zone système utilisée par Active Directory</w:t>
      </w:r>
    </w:p>
    <w:p>
      <w:pPr>
        <w:pStyle w:val="ListParagraph"/>
        <w:numPr>
          <w:ilvl w:val="0"/>
          <w:numId w:val="2"/>
        </w:numPr>
        <w:spacing w:after="60" w:before="40"/>
      </w:pPr>
      <w:r>
        <w:rPr>
          <w:rFonts w:ascii="Arial" w:cs="Arial" w:eastAsia="Arial" w:hAnsi="Arial"/>
          <w:sz w:val="22"/>
          <w:szCs w:val="22"/>
        </w:rPr>
        <w:t xml:space="preserve">dlk.local – zone principale du domaine</w:t>
      </w:r>
    </w:p>
    <w:p>
      <w:pPr>
        <w:spacing w:after="80" w:before="60"/>
      </w:pPr>
      <w:r>
        <w:rPr>
          <w:rFonts w:ascii="Arial" w:cs="Arial" w:eastAsia="Arial" w:hAnsi="Arial"/>
          <w:sz w:val="22"/>
          <w:szCs w:val="22"/>
        </w:rPr>
        <w:t xml:space="preserve">Ces zones permettent de résoudre les noms d’hôtes en adresses IP (ex : serveur.dlk.local → 192.168.8.10).</w:t>
      </w:r>
    </w:p>
    <w:p>
      <w:pPr>
        <w:spacing w:after="160" w:before="80"/>
        <w:jc w:val="center"/>
      </w:pPr>
      <w:r>
        <w:drawing>
          <wp:inline distT="0" distB="0" distL="0" distR="0">
            <wp:extent cx="4381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228975"/>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5 – Gestionnaire DNS – Zones de recherche directe créées</w:t>
      </w:r>
    </w:p>
    <w:p>
      <w:pPr>
        <w:pStyle w:val="Heading2"/>
        <w:spacing w:after="120" w:before="240"/>
      </w:pPr>
      <w:r>
        <w:rPr>
          <w:rFonts w:ascii="Arial" w:cs="Arial" w:eastAsia="Arial" w:hAnsi="Arial"/>
          <w:b/>
          <w:bCs/>
          <w:sz w:val="28"/>
          <w:szCs w:val="28"/>
        </w:rPr>
        <w:t xml:space="preserve">9.2 Zone de recherche inversée</w:t>
      </w:r>
    </w:p>
    <w:p>
      <w:pPr>
        <w:spacing w:after="80" w:before="60"/>
      </w:pPr>
      <w:r>
        <w:rPr>
          <w:rFonts w:ascii="Arial" w:cs="Arial" w:eastAsia="Arial" w:hAnsi="Arial"/>
          <w:sz w:val="22"/>
          <w:szCs w:val="22"/>
        </w:rPr>
        <w:t xml:space="preserve">La zone de recherche inversée permet de faire l’opération inverse : trouver un nom DNS à partir d’une adresse IP. Elle est indispensable pour certains services réseau.</w:t>
      </w:r>
    </w:p>
    <w:p>
      <w:pPr>
        <w:spacing w:after="80" w:before="60"/>
      </w:pPr>
      <w:r>
        <w:rPr>
          <w:rFonts w:ascii="Arial" w:cs="Arial" w:eastAsia="Arial" w:hAnsi="Arial"/>
          <w:sz w:val="22"/>
          <w:szCs w:val="22"/>
        </w:rPr>
        <w:t xml:space="preserve">L’ID réseau saisi : 192.168.8 — ce qui crée la zone : 8.168.192.in-addr.arpa</w:t>
      </w:r>
    </w:p>
    <w:p>
      <w:pPr>
        <w:spacing w:after="16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286125"/>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6 – Assistant Nouvelle zone – Saisie de l’ID réseau 192.168.8</w:t>
      </w:r>
    </w:p>
    <w:p>
      <w:pPr>
        <w:spacing w:after="160" w:before="80"/>
        <w:jc w:val="center"/>
      </w:pPr>
      <w:r>
        <w:drawing>
          <wp:inline distT="0" distB="0" distL="0" distR="0">
            <wp:extent cx="4381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2766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7 – Zone inversée 8.168.192.in-addr.arpa créée avec succès</w:t>
      </w:r>
    </w:p>
    <w:p>
      <w:pPr>
        <w:pStyle w:val="Heading2"/>
        <w:spacing w:after="120" w:before="240"/>
      </w:pPr>
      <w:r>
        <w:rPr>
          <w:rFonts w:ascii="Arial" w:cs="Arial" w:eastAsia="Arial" w:hAnsi="Arial"/>
          <w:b/>
          <w:bCs/>
          <w:sz w:val="28"/>
          <w:szCs w:val="28"/>
        </w:rPr>
        <w:t xml:space="preserve">9.3 Redirecteurs DNS</w:t>
      </w:r>
    </w:p>
    <w:p>
      <w:pPr>
        <w:spacing w:after="80" w:before="60"/>
      </w:pPr>
      <w:r>
        <w:rPr>
          <w:rFonts w:ascii="Arial" w:cs="Arial" w:eastAsia="Arial" w:hAnsi="Arial"/>
          <w:sz w:val="22"/>
          <w:szCs w:val="22"/>
        </w:rPr>
        <w:t xml:space="preserve">Les redirecteurs DNS permettent au serveur de résoudre les noms de domaines publics (ex : google.com) en transmettant les requêtes vers des serveurs DNS externes.</w:t>
      </w:r>
    </w:p>
    <w:p>
      <w:pPr>
        <w:spacing w:after="80" w:before="60"/>
      </w:pPr>
      <w:r>
        <w:rPr>
          <w:rFonts w:ascii="Arial" w:cs="Arial" w:eastAsia="Arial" w:hAnsi="Arial"/>
          <w:sz w:val="22"/>
          <w:szCs w:val="22"/>
        </w:rPr>
        <w:t xml:space="preserve">Deux redirecteurs ont été configurés et validés :</w:t>
      </w:r>
    </w:p>
    <w:p>
      <w:pPr>
        <w:pStyle w:val="ListParagraph"/>
        <w:numPr>
          <w:ilvl w:val="0"/>
          <w:numId w:val="2"/>
        </w:numPr>
        <w:spacing w:after="60" w:before="40"/>
      </w:pPr>
      <w:r>
        <w:rPr>
          <w:rFonts w:ascii="Arial" w:cs="Arial" w:eastAsia="Arial" w:hAnsi="Arial"/>
          <w:sz w:val="22"/>
          <w:szCs w:val="22"/>
        </w:rPr>
        <w:t xml:space="preserve">8.8.8.8 – Google DNS (validé : dns.google)</w:t>
      </w:r>
    </w:p>
    <w:p>
      <w:pPr>
        <w:pStyle w:val="ListParagraph"/>
        <w:numPr>
          <w:ilvl w:val="0"/>
          <w:numId w:val="2"/>
        </w:numPr>
        <w:spacing w:after="60" w:before="40"/>
      </w:pPr>
      <w:r>
        <w:rPr>
          <w:rFonts w:ascii="Arial" w:cs="Arial" w:eastAsia="Arial" w:hAnsi="Arial"/>
          <w:sz w:val="22"/>
          <w:szCs w:val="22"/>
        </w:rPr>
        <w:t xml:space="preserve">1.1.1.1 – Cloudflare DNS (validé : one.one.one.one)</w:t>
      </w:r>
    </w:p>
    <w:p>
      <w:pPr>
        <w:spacing w:after="160" w:before="8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2385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8 – Redirecteurs DNS configurés : 8.8.8.8 et 1.1.1.1 (statut OK)</w:t>
      </w:r>
    </w:p>
    <w:p>
      <w:pPr>
        <w:pBdr>
          <w:bottom w:val="single" w:color="2E75B6" w:sz="4" w:space="1"/>
        </w:pBdr>
        <w:spacing w:after="120" w:before="120"/>
      </w:pPr>
    </w:p>
    <w:p>
      <w:pPr>
        <w:pStyle w:val="Heading1"/>
        <w:spacing w:after="180" w:before="360"/>
      </w:pPr>
      <w:r>
        <w:rPr>
          <w:rFonts w:ascii="Arial" w:cs="Arial" w:eastAsia="Arial" w:hAnsi="Arial"/>
          <w:b/>
          <w:bCs/>
          <w:sz w:val="32"/>
          <w:szCs w:val="32"/>
        </w:rPr>
        <w:t xml:space="preserve">10. Installation et configuration du DHCP</w:t>
      </w:r>
    </w:p>
    <w:p>
      <w:pPr>
        <w:spacing w:after="80" w:before="60"/>
      </w:pPr>
      <w:r>
        <w:rPr>
          <w:rFonts w:ascii="Arial" w:cs="Arial" w:eastAsia="Arial" w:hAnsi="Arial"/>
          <w:sz w:val="22"/>
          <w:szCs w:val="22"/>
        </w:rPr>
        <w:t xml:space="preserve">Le service DHCP (Dynamic Host Configuration Protocol) permet de distribuer automatiquement des adresses IP aux postes clients. Sans DHCP, il faudrait configurer manuellement l’adresse IP de chaque machine.</w:t>
      </w:r>
    </w:p>
    <w:p>
      <w:pPr>
        <w:pStyle w:val="Heading2"/>
        <w:spacing w:after="120" w:before="240"/>
      </w:pPr>
      <w:r>
        <w:rPr>
          <w:rFonts w:ascii="Arial" w:cs="Arial" w:eastAsia="Arial" w:hAnsi="Arial"/>
          <w:b/>
          <w:bCs/>
          <w:sz w:val="28"/>
          <w:szCs w:val="28"/>
        </w:rPr>
        <w:t xml:space="preserve">10.1 Étendue DHCP</w:t>
      </w:r>
    </w:p>
    <w:p>
      <w:pPr>
        <w:spacing w:after="80" w:before="60"/>
      </w:pPr>
      <w:r>
        <w:rPr>
          <w:rFonts w:ascii="Arial" w:cs="Arial" w:eastAsia="Arial" w:hAnsi="Arial"/>
          <w:sz w:val="22"/>
          <w:szCs w:val="22"/>
        </w:rPr>
        <w:t xml:space="preserve">Une étendue nommée « Lan-dlk » a été créée avec les paramètres suivants :</w:t>
      </w:r>
    </w:p>
    <w:p>
      <w:pPr>
        <w:pStyle w:val="ListParagraph"/>
        <w:numPr>
          <w:ilvl w:val="0"/>
          <w:numId w:val="2"/>
        </w:numPr>
        <w:spacing w:after="60" w:before="40"/>
      </w:pPr>
      <w:r>
        <w:rPr>
          <w:rFonts w:ascii="Arial" w:cs="Arial" w:eastAsia="Arial" w:hAnsi="Arial"/>
          <w:sz w:val="22"/>
          <w:szCs w:val="22"/>
        </w:rPr>
        <w:t xml:space="preserve">Adresse IP de début : 192.168.8.50</w:t>
      </w:r>
    </w:p>
    <w:p>
      <w:pPr>
        <w:pStyle w:val="ListParagraph"/>
        <w:numPr>
          <w:ilvl w:val="0"/>
          <w:numId w:val="2"/>
        </w:numPr>
        <w:spacing w:after="60" w:before="40"/>
      </w:pPr>
      <w:r>
        <w:rPr>
          <w:rFonts w:ascii="Arial" w:cs="Arial" w:eastAsia="Arial" w:hAnsi="Arial"/>
          <w:sz w:val="22"/>
          <w:szCs w:val="22"/>
        </w:rPr>
        <w:t xml:space="preserve">Adresse IP de fin : 192.168.8.200</w:t>
      </w:r>
    </w:p>
    <w:p>
      <w:pPr>
        <w:pStyle w:val="ListParagraph"/>
        <w:numPr>
          <w:ilvl w:val="0"/>
          <w:numId w:val="2"/>
        </w:numPr>
        <w:spacing w:after="60" w:before="40"/>
      </w:pPr>
      <w:r>
        <w:rPr>
          <w:rFonts w:ascii="Arial" w:cs="Arial" w:eastAsia="Arial" w:hAnsi="Arial"/>
          <w:sz w:val="22"/>
          <w:szCs w:val="22"/>
        </w:rPr>
        <w:t xml:space="preserve">Masque : 255.255.255.0 (/24)</w:t>
      </w:r>
    </w:p>
    <w:p>
      <w:pPr>
        <w:spacing w:after="160" w:before="80"/>
        <w:jc w:val="center"/>
      </w:pPr>
      <w:r>
        <w:drawing>
          <wp:inline distT="0" distB="0" distL="0" distR="0">
            <wp:extent cx="4381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2956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9 – Définition de la plage DHCP : 192.168.8.50 – 192.168.8.200</w:t>
      </w:r>
    </w:p>
    <w:p>
      <w:pPr>
        <w:pStyle w:val="Heading2"/>
        <w:spacing w:after="120" w:before="240"/>
      </w:pPr>
      <w:r>
        <w:rPr>
          <w:rFonts w:ascii="Arial" w:cs="Arial" w:eastAsia="Arial" w:hAnsi="Arial"/>
          <w:b/>
          <w:bCs/>
          <w:sz w:val="28"/>
          <w:szCs w:val="28"/>
        </w:rPr>
        <w:t xml:space="preserve">10.2 Passerelle par défaut</w:t>
      </w:r>
    </w:p>
    <w:p>
      <w:pPr>
        <w:spacing w:after="80" w:before="60"/>
      </w:pPr>
      <w:r>
        <w:rPr>
          <w:rFonts w:ascii="Arial" w:cs="Arial" w:eastAsia="Arial" w:hAnsi="Arial"/>
          <w:sz w:val="22"/>
          <w:szCs w:val="22"/>
        </w:rPr>
        <w:t xml:space="preserve">La passerelle distribuée aux clients est 192.168.8.2 (routeur/pare-feu de l’infrastructure).</w:t>
      </w:r>
    </w:p>
    <w:p>
      <w:pPr>
        <w:spacing w:after="160" w:before="80"/>
        <w:jc w:val="center"/>
      </w:pPr>
      <w:r>
        <w:drawing>
          <wp:inline distT="0" distB="0" distL="0" distR="0">
            <wp:extent cx="4381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343275"/>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10 – Passerelle par défaut : 192.168.8.2</w:t>
      </w:r>
    </w:p>
    <w:p>
      <w:pPr>
        <w:pStyle w:val="Heading2"/>
        <w:spacing w:after="120" w:before="240"/>
      </w:pPr>
      <w:r>
        <w:rPr>
          <w:rFonts w:ascii="Arial" w:cs="Arial" w:eastAsia="Arial" w:hAnsi="Arial"/>
          <w:b/>
          <w:bCs/>
          <w:sz w:val="28"/>
          <w:szCs w:val="28"/>
        </w:rPr>
        <w:t xml:space="preserve">10.3 Serveur DNS et suffixe de domaine</w:t>
      </w:r>
    </w:p>
    <w:p>
      <w:pPr>
        <w:spacing w:after="80" w:before="60"/>
      </w:pPr>
      <w:r>
        <w:rPr>
          <w:rFonts w:ascii="Arial" w:cs="Arial" w:eastAsia="Arial" w:hAnsi="Arial"/>
          <w:sz w:val="22"/>
          <w:szCs w:val="22"/>
        </w:rPr>
        <w:t xml:space="preserve">Le DHCP distribue également les informations DNS aux clients :</w:t>
      </w:r>
    </w:p>
    <w:p>
      <w:pPr>
        <w:pStyle w:val="ListParagraph"/>
        <w:numPr>
          <w:ilvl w:val="0"/>
          <w:numId w:val="2"/>
        </w:numPr>
        <w:spacing w:after="60" w:before="40"/>
      </w:pPr>
      <w:r>
        <w:rPr>
          <w:rFonts w:ascii="Arial" w:cs="Arial" w:eastAsia="Arial" w:hAnsi="Arial"/>
          <w:sz w:val="22"/>
          <w:szCs w:val="22"/>
        </w:rPr>
        <w:t xml:space="preserve">Domaine parent : dlk.local</w:t>
      </w:r>
    </w:p>
    <w:p>
      <w:pPr>
        <w:pStyle w:val="ListParagraph"/>
        <w:numPr>
          <w:ilvl w:val="0"/>
          <w:numId w:val="2"/>
        </w:numPr>
        <w:spacing w:after="60" w:before="40"/>
      </w:pPr>
      <w:r>
        <w:rPr>
          <w:rFonts w:ascii="Arial" w:cs="Arial" w:eastAsia="Arial" w:hAnsi="Arial"/>
          <w:sz w:val="22"/>
          <w:szCs w:val="22"/>
        </w:rPr>
        <w:t xml:space="preserve">Adresse du serveur DNS : 192.168.8.10</w:t>
      </w:r>
    </w:p>
    <w:p>
      <w:pPr>
        <w:spacing w:after="160" w:before="80"/>
        <w:jc w:val="center"/>
      </w:pPr>
      <w:r>
        <w:drawing>
          <wp:inline distT="0" distB="0" distL="0" distR="0">
            <wp:extent cx="4381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3305175"/>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11 – DNS distribué par DHCP : dlk.local – 192.168.8.10</w:t>
      </w:r>
    </w:p>
    <w:p>
      <w:pPr>
        <w:pStyle w:val="Heading2"/>
        <w:spacing w:after="120" w:before="240"/>
      </w:pPr>
      <w:r>
        <w:rPr>
          <w:rFonts w:ascii="Arial" w:cs="Arial" w:eastAsia="Arial" w:hAnsi="Arial"/>
          <w:b/>
          <w:bCs/>
          <w:sz w:val="28"/>
          <w:szCs w:val="28"/>
        </w:rPr>
        <w:t xml:space="preserve">10.4 Résultat : étendue active</w:t>
      </w:r>
    </w:p>
    <w:p>
      <w:pPr>
        <w:spacing w:after="80" w:before="60"/>
      </w:pPr>
      <w:r>
        <w:rPr>
          <w:rFonts w:ascii="Arial" w:cs="Arial" w:eastAsia="Arial" w:hAnsi="Arial"/>
          <w:sz w:val="22"/>
          <w:szCs w:val="22"/>
        </w:rPr>
        <w:t xml:space="preserve">À la fin de la configuration, l’étendue DHCP « Étendue [192.168.8.0] Lan-dlk » apparaît comme active dans le gestionnaire DHCP.</w:t>
      </w:r>
    </w:p>
    <w:p>
      <w:pPr>
        <w:spacing w:after="160" w:before="80"/>
        <w:jc w:val="center"/>
      </w:pPr>
      <w:r>
        <w:drawing>
          <wp:inline distT="0" distB="0" distL="0" distR="0">
            <wp:extent cx="4381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752725"/>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12 – Étendue DHCP active dans le Gestionnaire DHCP</w:t>
      </w:r>
    </w:p>
    <w:p>
      <w:pPr>
        <w:pBdr>
          <w:bottom w:val="single" w:color="2E75B6" w:sz="4" w:space="1"/>
        </w:pBdr>
        <w:spacing w:after="120" w:before="120"/>
      </w:pPr>
    </w:p>
    <w:p>
      <w:pPr>
        <w:pStyle w:val="Heading1"/>
        <w:spacing w:after="180" w:before="360"/>
      </w:pPr>
      <w:r>
        <w:rPr>
          <w:rFonts w:ascii="Arial" w:cs="Arial" w:eastAsia="Arial" w:hAnsi="Arial"/>
          <w:b/>
          <w:bCs/>
          <w:sz w:val="32"/>
          <w:szCs w:val="32"/>
        </w:rPr>
        <w:t xml:space="preserve">11. Création des Unités d’Organisation (OU) et des groupes</w:t>
      </w:r>
    </w:p>
    <w:p>
      <w:pPr>
        <w:pStyle w:val="Heading2"/>
        <w:spacing w:after="120" w:before="240"/>
      </w:pPr>
      <w:r>
        <w:rPr>
          <w:rFonts w:ascii="Arial" w:cs="Arial" w:eastAsia="Arial" w:hAnsi="Arial"/>
          <w:b/>
          <w:bCs/>
          <w:sz w:val="28"/>
          <w:szCs w:val="28"/>
        </w:rPr>
        <w:t xml:space="preserve">11.1 Structure des Unités d’Organisation</w:t>
      </w:r>
    </w:p>
    <w:p>
      <w:pPr>
        <w:spacing w:after="80" w:before="60"/>
      </w:pPr>
      <w:r>
        <w:rPr>
          <w:rFonts w:ascii="Arial" w:cs="Arial" w:eastAsia="Arial" w:hAnsi="Arial"/>
          <w:sz w:val="22"/>
          <w:szCs w:val="22"/>
        </w:rPr>
        <w:t xml:space="preserve">Les Unités d’Organisation (OU) permettent d’organiser les objets Active Directory (utilisateurs, ordinateurs, groupes) de façon logique, à la manière des dossiers dans un système de fichiers.</w:t>
      </w:r>
    </w:p>
    <w:p>
      <w:pPr>
        <w:spacing w:after="80" w:before="60"/>
      </w:pPr>
      <w:r>
        <w:rPr>
          <w:rFonts w:ascii="Arial" w:cs="Arial" w:eastAsia="Arial" w:hAnsi="Arial"/>
          <w:sz w:val="22"/>
          <w:szCs w:val="22"/>
        </w:rPr>
        <w:t xml:space="preserve">La structure créée reflète l’organigramme de DLK-ENTREPRISE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40" w:before="40"/>
            </w:pPr>
            <w:r>
              <w:rPr>
                <w:rFonts w:ascii="Courier New" w:cs="Courier New" w:eastAsia="Courier New" w:hAnsi="Courier New"/>
                <w:color w:val="1a1a2e"/>
                <w:sz w:val="20"/>
                <w:szCs w:val="20"/>
              </w:rPr>
              <w:t xml:space="preserve">  dlk.local</w:t>
            </w:r>
          </w:p>
          <w:p>
            <w:pPr>
              <w:spacing w:after="40" w:before="40"/>
            </w:pPr>
            <w:r>
              <w:rPr>
                <w:rFonts w:ascii="Courier New" w:cs="Courier New" w:eastAsia="Courier New" w:hAnsi="Courier New"/>
                <w:color w:val="1a1a2e"/>
                <w:sz w:val="20"/>
                <w:szCs w:val="20"/>
              </w:rPr>
              <w:t xml:space="preserve">  └── DLK-ENTREPRISE</w:t>
            </w:r>
          </w:p>
          <w:p>
            <w:pPr>
              <w:spacing w:after="40" w:before="40"/>
            </w:pPr>
            <w:r>
              <w:rPr>
                <w:rFonts w:ascii="Courier New" w:cs="Courier New" w:eastAsia="Courier New" w:hAnsi="Courier New"/>
                <w:color w:val="1a1a2e"/>
                <w:sz w:val="20"/>
                <w:szCs w:val="20"/>
              </w:rPr>
              <w:t xml:space="preserve">      ├── DIRECTION</w:t>
            </w:r>
          </w:p>
          <w:p>
            <w:pPr>
              <w:spacing w:after="40" w:before="40"/>
            </w:pPr>
            <w:r>
              <w:rPr>
                <w:rFonts w:ascii="Courier New" w:cs="Courier New" w:eastAsia="Courier New" w:hAnsi="Courier New"/>
                <w:color w:val="1a1a2e"/>
                <w:sz w:val="20"/>
                <w:szCs w:val="20"/>
              </w:rPr>
              <w:t xml:space="preserve">      ├── Compta</w:t>
            </w:r>
          </w:p>
          <w:p>
            <w:pPr>
              <w:spacing w:after="40" w:before="40"/>
            </w:pPr>
            <w:r>
              <w:rPr>
                <w:rFonts w:ascii="Courier New" w:cs="Courier New" w:eastAsia="Courier New" w:hAnsi="Courier New"/>
                <w:color w:val="1a1a2e"/>
                <w:sz w:val="20"/>
                <w:szCs w:val="20"/>
              </w:rPr>
              <w:t xml:space="preserve">      ├── IT</w:t>
            </w:r>
          </w:p>
          <w:p>
            <w:pPr>
              <w:spacing w:after="40" w:before="40"/>
            </w:pPr>
            <w:r>
              <w:rPr>
                <w:rFonts w:ascii="Courier New" w:cs="Courier New" w:eastAsia="Courier New" w:hAnsi="Courier New"/>
                <w:color w:val="1a1a2e"/>
                <w:sz w:val="20"/>
                <w:szCs w:val="20"/>
              </w:rPr>
              <w:t xml:space="preserve">      ├── RH</w:t>
            </w:r>
          </w:p>
          <w:p>
            <w:pPr>
              <w:spacing w:after="40" w:before="40"/>
            </w:pPr>
            <w:r>
              <w:rPr>
                <w:rFonts w:ascii="Courier New" w:cs="Courier New" w:eastAsia="Courier New" w:hAnsi="Courier New"/>
                <w:color w:val="1a1a2e"/>
                <w:sz w:val="20"/>
                <w:szCs w:val="20"/>
              </w:rPr>
              <w:t xml:space="preserve">      └── Groupes</w:t>
            </w:r>
          </w:p>
        </w:tc>
      </w:tr>
    </w:tbl>
    <w:p>
      <w:pPr>
        <w:spacing w:after="160" w:before="8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32385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13 – Structure des OU dans Utilisateurs et ordinateurs Active Directory</w:t>
      </w:r>
    </w:p>
    <w:p>
      <w:pPr>
        <w:pStyle w:val="Heading2"/>
        <w:spacing w:after="120" w:before="240"/>
      </w:pPr>
      <w:r>
        <w:rPr>
          <w:rFonts w:ascii="Arial" w:cs="Arial" w:eastAsia="Arial" w:hAnsi="Arial"/>
          <w:b/>
          <w:bCs/>
          <w:sz w:val="28"/>
          <w:szCs w:val="28"/>
        </w:rPr>
        <w:t xml:space="preserve">11.2 Groupes de sécurité</w:t>
      </w:r>
    </w:p>
    <w:p>
      <w:pPr>
        <w:spacing w:after="80" w:before="60"/>
      </w:pPr>
      <w:r>
        <w:rPr>
          <w:rFonts w:ascii="Arial" w:cs="Arial" w:eastAsia="Arial" w:hAnsi="Arial"/>
          <w:sz w:val="22"/>
          <w:szCs w:val="22"/>
        </w:rPr>
        <w:t xml:space="preserve">Dans l’OU « Groupes », quatre groupes de sécurité Globaux ont été créés, un par département :</w:t>
      </w:r>
    </w:p>
    <w:p>
      <w:pPr>
        <w:pStyle w:val="ListParagraph"/>
        <w:numPr>
          <w:ilvl w:val="0"/>
          <w:numId w:val="2"/>
        </w:numPr>
        <w:spacing w:after="60" w:before="40"/>
      </w:pPr>
      <w:r>
        <w:rPr>
          <w:rFonts w:ascii="Arial" w:cs="Arial" w:eastAsia="Arial" w:hAnsi="Arial"/>
          <w:sz w:val="22"/>
          <w:szCs w:val="22"/>
        </w:rPr>
        <w:t xml:space="preserve">g-direction</w:t>
      </w:r>
    </w:p>
    <w:p>
      <w:pPr>
        <w:pStyle w:val="ListParagraph"/>
        <w:numPr>
          <w:ilvl w:val="0"/>
          <w:numId w:val="2"/>
        </w:numPr>
        <w:spacing w:after="60" w:before="40"/>
      </w:pPr>
      <w:r>
        <w:rPr>
          <w:rFonts w:ascii="Arial" w:cs="Arial" w:eastAsia="Arial" w:hAnsi="Arial"/>
          <w:sz w:val="22"/>
          <w:szCs w:val="22"/>
        </w:rPr>
        <w:t xml:space="preserve">g-compta</w:t>
      </w:r>
    </w:p>
    <w:p>
      <w:pPr>
        <w:pStyle w:val="ListParagraph"/>
        <w:numPr>
          <w:ilvl w:val="0"/>
          <w:numId w:val="2"/>
        </w:numPr>
        <w:spacing w:after="60" w:before="40"/>
      </w:pPr>
      <w:r>
        <w:rPr>
          <w:rFonts w:ascii="Arial" w:cs="Arial" w:eastAsia="Arial" w:hAnsi="Arial"/>
          <w:sz w:val="22"/>
          <w:szCs w:val="22"/>
        </w:rPr>
        <w:t xml:space="preserve">g-IT</w:t>
      </w:r>
    </w:p>
    <w:p>
      <w:pPr>
        <w:pStyle w:val="ListParagraph"/>
        <w:numPr>
          <w:ilvl w:val="0"/>
          <w:numId w:val="2"/>
        </w:numPr>
        <w:spacing w:after="60" w:before="40"/>
      </w:pPr>
      <w:r>
        <w:rPr>
          <w:rFonts w:ascii="Arial" w:cs="Arial" w:eastAsia="Arial" w:hAnsi="Arial"/>
          <w:sz w:val="22"/>
          <w:szCs w:val="22"/>
        </w:rPr>
        <w:t xml:space="preserve">g-RH</w:t>
      </w:r>
    </w:p>
    <w:p>
      <w:pPr>
        <w:spacing w:after="80" w:before="60"/>
      </w:pPr>
      <w:r>
        <w:rPr>
          <w:rFonts w:ascii="Arial" w:cs="Arial" w:eastAsia="Arial" w:hAnsi="Arial"/>
          <w:sz w:val="22"/>
          <w:szCs w:val="22"/>
        </w:rPr>
        <w:t xml:space="preserve">Chaque groupe permettra de gérer les droits et les restrictions par département, notamment via les GPO.</w:t>
      </w:r>
    </w:p>
    <w:p>
      <w:pPr>
        <w:spacing w:after="160" w:before="80"/>
        <w:jc w:val="center"/>
      </w:pPr>
      <w:r>
        <w:drawing>
          <wp:inline distT="0" distB="0" distL="0" distR="0">
            <wp:extent cx="4381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33147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14 – Création du groupe g-direction (type Sécurité, étendue Globale)</w:t>
      </w:r>
    </w:p>
    <w:p>
      <w:pPr>
        <w:spacing w:after="160" w:before="80"/>
        <w:jc w:val="center"/>
      </w:pPr>
      <w:r>
        <w:drawing>
          <wp:inline distT="0" distB="0" distL="0" distR="0">
            <wp:extent cx="4381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3362325"/>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15 – Les quatre groupes g-direction, g-compta, g-IT, g-RH dans l’OU Groupes</w:t>
      </w:r>
    </w:p>
    <w:p>
      <w:pPr>
        <w:pBdr>
          <w:bottom w:val="single" w:color="2E75B6" w:sz="4" w:space="1"/>
        </w:pBdr>
        <w:spacing w:after="120" w:before="120"/>
      </w:pPr>
    </w:p>
    <w:p>
      <w:pPr>
        <w:pStyle w:val="Heading1"/>
        <w:spacing w:after="180" w:before="360"/>
      </w:pPr>
      <w:r>
        <w:rPr>
          <w:rFonts w:ascii="Arial" w:cs="Arial" w:eastAsia="Arial" w:hAnsi="Arial"/>
          <w:b/>
          <w:bCs/>
          <w:sz w:val="32"/>
          <w:szCs w:val="32"/>
        </w:rPr>
        <w:t xml:space="preserve">12. Création des utilisateurs</w:t>
      </w:r>
    </w:p>
    <w:p>
      <w:pPr>
        <w:spacing w:after="80" w:before="60"/>
      </w:pPr>
      <w:r>
        <w:rPr>
          <w:rFonts w:ascii="Arial" w:cs="Arial" w:eastAsia="Arial" w:hAnsi="Arial"/>
          <w:sz w:val="22"/>
          <w:szCs w:val="22"/>
        </w:rPr>
        <w:t xml:space="preserve">Des utilisateurs ont été créés dans chaque OU et ajoutés aux groupes correspondants. Voici les membres du groupe g-compta, visible dans ses propriétés :</w:t>
      </w:r>
    </w:p>
    <w:p>
      <w:pPr>
        <w:pStyle w:val="ListParagraph"/>
        <w:numPr>
          <w:ilvl w:val="0"/>
          <w:numId w:val="2"/>
        </w:numPr>
        <w:spacing w:after="60" w:before="40"/>
      </w:pPr>
      <w:r>
        <w:rPr>
          <w:rFonts w:ascii="Arial" w:cs="Arial" w:eastAsia="Arial" w:hAnsi="Arial"/>
          <w:sz w:val="22"/>
          <w:szCs w:val="22"/>
        </w:rPr>
        <w:t xml:space="preserve">aka didi – dlk.local/DLK-ENTREPRISE/DIRECTION</w:t>
      </w:r>
    </w:p>
    <w:p>
      <w:pPr>
        <w:pStyle w:val="ListParagraph"/>
        <w:numPr>
          <w:ilvl w:val="0"/>
          <w:numId w:val="2"/>
        </w:numPr>
        <w:spacing w:after="60" w:before="40"/>
      </w:pPr>
      <w:r>
        <w:rPr>
          <w:rFonts w:ascii="Arial" w:cs="Arial" w:eastAsia="Arial" w:hAnsi="Arial"/>
          <w:sz w:val="22"/>
          <w:szCs w:val="22"/>
        </w:rPr>
        <w:t xml:space="preserve">aka mari – dlk.local/DLK-ENTREPRISE/Compta</w:t>
      </w:r>
    </w:p>
    <w:p>
      <w:pPr>
        <w:pStyle w:val="ListParagraph"/>
        <w:numPr>
          <w:ilvl w:val="0"/>
          <w:numId w:val="2"/>
        </w:numPr>
        <w:spacing w:after="60" w:before="40"/>
      </w:pPr>
      <w:r>
        <w:rPr>
          <w:rFonts w:ascii="Arial" w:cs="Arial" w:eastAsia="Arial" w:hAnsi="Arial"/>
          <w:sz w:val="22"/>
          <w:szCs w:val="22"/>
        </w:rPr>
        <w:t xml:space="preserve">jean martin – dlk.local/DLK-ENTREPRISE/Compta</w:t>
      </w:r>
    </w:p>
    <w:p>
      <w:pPr>
        <w:spacing w:after="160" w:before="80"/>
        <w:jc w:val="center"/>
      </w:pPr>
      <w:r>
        <w:drawing>
          <wp:inline distT="0" distB="0" distL="0" distR="0">
            <wp:extent cx="4381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3305175"/>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16 – Propriétés du groupe g-compta – liste des membres</w:t>
      </w:r>
    </w:p>
    <w:p>
      <w:pPr>
        <w:pBdr>
          <w:bottom w:val="single" w:color="2E75B6" w:sz="4" w:space="1"/>
        </w:pBdr>
        <w:spacing w:after="120" w:before="120"/>
      </w:pPr>
    </w:p>
    <w:p>
      <w:pPr>
        <w:pStyle w:val="Heading1"/>
        <w:spacing w:after="180" w:before="360"/>
      </w:pPr>
      <w:r>
        <w:rPr>
          <w:rFonts w:ascii="Arial" w:cs="Arial" w:eastAsia="Arial" w:hAnsi="Arial"/>
          <w:b/>
          <w:bCs/>
          <w:sz w:val="32"/>
          <w:szCs w:val="32"/>
        </w:rPr>
        <w:t xml:space="preserve">13. Politique de sécurité – Objets de stratégie de groupe (GPO)</w:t>
      </w:r>
    </w:p>
    <w:p>
      <w:pPr>
        <w:spacing w:after="80" w:before="60"/>
      </w:pPr>
      <w:r>
        <w:rPr>
          <w:rFonts w:ascii="Arial" w:cs="Arial" w:eastAsia="Arial" w:hAnsi="Arial"/>
          <w:sz w:val="22"/>
          <w:szCs w:val="22"/>
        </w:rPr>
        <w:t xml:space="preserve">Les GPO (Group Policy Objects) permettent d’appliquer automatiquement des paramètres et des restrictions à des utilisateurs ou des ordinateurs du domaine. Dans ce projet, l’objectif est de restreindre l’accès aux outils sensibles pour tous les utilisateurs, sauf ceux du département IT.</w:t>
      </w:r>
    </w:p>
    <w:p>
      <w:pPr>
        <w:pStyle w:val="Heading2"/>
        <w:spacing w:after="120" w:before="240"/>
      </w:pPr>
      <w:r>
        <w:rPr>
          <w:rFonts w:ascii="Arial" w:cs="Arial" w:eastAsia="Arial" w:hAnsi="Arial"/>
          <w:b/>
          <w:bCs/>
          <w:sz w:val="28"/>
          <w:szCs w:val="28"/>
        </w:rPr>
        <w:t xml:space="preserve">13.1 Création de la GPO</w:t>
      </w:r>
    </w:p>
    <w:p>
      <w:pPr>
        <w:spacing w:after="80" w:before="60"/>
      </w:pPr>
      <w:r>
        <w:rPr>
          <w:rFonts w:ascii="Arial" w:cs="Arial" w:eastAsia="Arial" w:hAnsi="Arial"/>
          <w:sz w:val="22"/>
          <w:szCs w:val="22"/>
        </w:rPr>
        <w:t xml:space="preserve">Une GPO nommée « restriction » a été créée. Elle est visible dans les Objets de stratégie de groupe du domaine dlk.local.</w:t>
      </w:r>
    </w:p>
    <w:p>
      <w:pPr>
        <w:spacing w:after="160" w:before="80"/>
        <w:jc w:val="center"/>
      </w:pPr>
      <w:r>
        <w:drawing>
          <wp:inline distT="0" distB="0" distL="0" distR="0">
            <wp:extent cx="3810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22860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17 – GPO « restriction entreprise » créée dans les Objets GPO Starter</w:t>
      </w:r>
    </w:p>
    <w:p>
      <w:pPr>
        <w:pStyle w:val="Heading2"/>
        <w:spacing w:after="120" w:before="240"/>
      </w:pPr>
      <w:r>
        <w:rPr>
          <w:rFonts w:ascii="Arial" w:cs="Arial" w:eastAsia="Arial" w:hAnsi="Arial"/>
          <w:b/>
          <w:bCs/>
          <w:sz w:val="28"/>
          <w:szCs w:val="28"/>
        </w:rPr>
        <w:t xml:space="preserve">13.2 Blocage du Panneau de configuration</w:t>
      </w:r>
    </w:p>
    <w:p>
      <w:pPr>
        <w:spacing w:after="80" w:before="60"/>
      </w:pPr>
      <w:r>
        <w:rPr>
          <w:rFonts w:ascii="Arial" w:cs="Arial" w:eastAsia="Arial" w:hAnsi="Arial"/>
          <w:sz w:val="22"/>
          <w:szCs w:val="22"/>
        </w:rPr>
        <w:t xml:space="preserve">Ce paramètre empêche les utilisateurs d’ouvrir le Panneau de configuration et l’application Paramètres du PC. Il est activé via :</w:t>
      </w:r>
    </w:p>
    <w:p>
      <w:pPr>
        <w:spacing w:after="80" w:before="60"/>
      </w:pPr>
      <w:r>
        <w:rPr>
          <w:rFonts w:ascii="Arial" w:cs="Arial" w:eastAsia="Arial" w:hAnsi="Arial"/>
          <w:sz w:val="22"/>
          <w:szCs w:val="22"/>
        </w:rPr>
        <w:t xml:space="preserve">Configuration utilisateur → Modèles d’administration → Panneau de configuration → Interdire l’accès au Panneau de configuration et à l’application Paramètres du PC</w:t>
      </w:r>
    </w:p>
    <w:p>
      <w:pPr>
        <w:spacing w:after="160" w:before="80"/>
        <w:jc w:val="center"/>
      </w:pPr>
      <w:r>
        <w:drawing>
          <wp:inline distT="0" distB="0" distL="0" distR="0">
            <wp:extent cx="4381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3228975"/>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18 – GPO – Blocage du Panneau de configuration : paramètre « Activé »</w:t>
      </w:r>
    </w:p>
    <w:p>
      <w:pPr>
        <w:pStyle w:val="Heading2"/>
        <w:spacing w:after="120" w:before="240"/>
      </w:pPr>
      <w:r>
        <w:rPr>
          <w:rFonts w:ascii="Arial" w:cs="Arial" w:eastAsia="Arial" w:hAnsi="Arial"/>
          <w:b/>
          <w:bCs/>
          <w:sz w:val="28"/>
          <w:szCs w:val="28"/>
        </w:rPr>
        <w:t xml:space="preserve">13.3 Blocage de l’invite de commandes (CMD)</w:t>
      </w:r>
    </w:p>
    <w:p>
      <w:pPr>
        <w:spacing w:after="80" w:before="60"/>
      </w:pPr>
      <w:r>
        <w:rPr>
          <w:rFonts w:ascii="Arial" w:cs="Arial" w:eastAsia="Arial" w:hAnsi="Arial"/>
          <w:sz w:val="22"/>
          <w:szCs w:val="22"/>
        </w:rPr>
        <w:t xml:space="preserve">Ce paramètre empêche les utilisateurs d’exécuter l’invite de commandes (cmd.exe). Si un utilisateur tente d’ouvrir une fenêtre de commande, un message s’affiche indiquant qu’un paramètre bloque l’action.</w:t>
      </w:r>
    </w:p>
    <w:p>
      <w:pPr>
        <w:spacing w:after="160" w:before="80"/>
        <w:jc w:val="center"/>
      </w:pPr>
      <w:r>
        <w:drawing>
          <wp:inline distT="0" distB="0" distL="0" distR="0">
            <wp:extent cx="4381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3305175"/>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19 – GPO – Désactivation de l’invite de commandes : paramètre « Activé »</w:t>
      </w:r>
    </w:p>
    <w:p>
      <w:pPr>
        <w:pStyle w:val="Heading2"/>
        <w:spacing w:after="120" w:before="240"/>
      </w:pPr>
      <w:r>
        <w:rPr>
          <w:rFonts w:ascii="Arial" w:cs="Arial" w:eastAsia="Arial" w:hAnsi="Arial"/>
          <w:b/>
          <w:bCs/>
          <w:sz w:val="28"/>
          <w:szCs w:val="28"/>
        </w:rPr>
        <w:t xml:space="preserve">13.4 Blocage de l’éditeur de registre (Regedit)</w:t>
      </w:r>
    </w:p>
    <w:p>
      <w:pPr>
        <w:spacing w:after="80" w:before="60"/>
      </w:pPr>
      <w:r>
        <w:rPr>
          <w:rFonts w:ascii="Arial" w:cs="Arial" w:eastAsia="Arial" w:hAnsi="Arial"/>
          <w:sz w:val="22"/>
          <w:szCs w:val="22"/>
        </w:rPr>
        <w:t xml:space="preserve">Ce paramètre empêche les utilisateurs d’accéder à l’éditeur de registre Windows (regedit.exe). Cet outil est dangereux entre de mauvaises mains car il permet de modifier le fonctionnement profond du système.</w:t>
      </w:r>
    </w:p>
    <w:p>
      <w:pPr>
        <w:spacing w:after="160" w:before="80"/>
        <w:jc w:val="center"/>
      </w:pPr>
      <w:r>
        <w:drawing>
          <wp:inline distT="0" distB="0" distL="0" distR="0">
            <wp:extent cx="4381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32766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20 – GPO – Blocage de Regedit : paramètre « Activé »</w:t>
      </w:r>
    </w:p>
    <w:p>
      <w:pPr>
        <w:pStyle w:val="Heading2"/>
        <w:spacing w:after="120" w:before="240"/>
      </w:pPr>
      <w:r>
        <w:rPr>
          <w:rFonts w:ascii="Arial" w:cs="Arial" w:eastAsia="Arial" w:hAnsi="Arial"/>
          <w:b/>
          <w:bCs/>
          <w:sz w:val="28"/>
          <w:szCs w:val="28"/>
        </w:rPr>
        <w:t xml:space="preserve">13.5 Liaison de la GPO aux OU</w:t>
      </w:r>
    </w:p>
    <w:p>
      <w:pPr>
        <w:spacing w:after="80" w:before="60"/>
      </w:pPr>
      <w:r>
        <w:rPr>
          <w:rFonts w:ascii="Arial" w:cs="Arial" w:eastAsia="Arial" w:hAnsi="Arial"/>
          <w:sz w:val="22"/>
          <w:szCs w:val="22"/>
        </w:rPr>
        <w:t xml:space="preserve">La GPO « restriction » a été liée aux OU suivantes :</w:t>
      </w:r>
    </w:p>
    <w:p>
      <w:pPr>
        <w:pStyle w:val="ListParagraph"/>
        <w:numPr>
          <w:ilvl w:val="0"/>
          <w:numId w:val="2"/>
        </w:numPr>
        <w:spacing w:after="60" w:before="40"/>
      </w:pPr>
      <w:r>
        <w:rPr>
          <w:rFonts w:ascii="Arial" w:cs="Arial" w:eastAsia="Arial" w:hAnsi="Arial"/>
          <w:sz w:val="22"/>
          <w:szCs w:val="22"/>
        </w:rPr>
        <w:t xml:space="preserve">DIRECTION – lien actif</w:t>
      </w:r>
    </w:p>
    <w:p>
      <w:pPr>
        <w:pStyle w:val="ListParagraph"/>
        <w:numPr>
          <w:ilvl w:val="0"/>
          <w:numId w:val="2"/>
        </w:numPr>
        <w:spacing w:after="60" w:before="40"/>
      </w:pPr>
      <w:r>
        <w:rPr>
          <w:rFonts w:ascii="Arial" w:cs="Arial" w:eastAsia="Arial" w:hAnsi="Arial"/>
          <w:sz w:val="22"/>
          <w:szCs w:val="22"/>
        </w:rPr>
        <w:t xml:space="preserve">Compta – lien actif</w:t>
      </w:r>
    </w:p>
    <w:p>
      <w:pPr>
        <w:spacing w:after="80" w:before="60"/>
      </w:pPr>
      <w:r>
        <w:rPr>
          <w:rFonts w:ascii="Arial" w:cs="Arial" w:eastAsia="Arial" w:hAnsi="Arial"/>
          <w:sz w:val="22"/>
          <w:szCs w:val="22"/>
        </w:rPr>
        <w:t xml:space="preserve">L’OU IT n’est volontairement pas liée : les techniciens du service informatique doivent conserver un accès complet aux outils d’administration. C’est une bonne pratique de sécurité.</w:t>
      </w:r>
    </w:p>
    <w:p>
      <w:pPr>
        <w:spacing w:after="160" w:before="80"/>
        <w:jc w:val="center"/>
      </w:pPr>
      <w:r>
        <w:drawing>
          <wp:inline distT="0" distB="0" distL="0" distR="0">
            <wp:extent cx="4381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32956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21 – Sélection de l’objet GPO « restriction » à lier à l’OU DIRECTION</w:t>
      </w:r>
    </w:p>
    <w:p>
      <w:pPr>
        <w:spacing w:after="160" w:before="80"/>
        <w:jc w:val="center"/>
      </w:pPr>
      <w:r>
        <w:drawing>
          <wp:inline distT="0" distB="0" distL="0" distR="0">
            <wp:extent cx="4381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32004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22 – GPO « restriction » liée aux OU DIRECTION et Compta</w:t>
      </w:r>
    </w:p>
    <w:p>
      <w:pPr>
        <w:pBdr>
          <w:bottom w:val="single" w:color="2E75B6" w:sz="4" w:space="1"/>
        </w:pBdr>
        <w:spacing w:after="120" w:before="120"/>
      </w:pPr>
    </w:p>
    <w:p>
      <w:pPr>
        <w:pStyle w:val="Heading1"/>
        <w:spacing w:after="180" w:before="360"/>
      </w:pPr>
      <w:r>
        <w:rPr>
          <w:rFonts w:ascii="Arial" w:cs="Arial" w:eastAsia="Arial" w:hAnsi="Arial"/>
          <w:b/>
          <w:bCs/>
          <w:sz w:val="32"/>
          <w:szCs w:val="32"/>
        </w:rPr>
        <w:t xml:space="preserve">14. Jointure du poste Windows 10 au domaine</w:t>
      </w:r>
    </w:p>
    <w:p>
      <w:pPr>
        <w:spacing w:after="80" w:before="60"/>
      </w:pPr>
      <w:r>
        <w:rPr>
          <w:rFonts w:ascii="Arial" w:cs="Arial" w:eastAsia="Arial" w:hAnsi="Arial"/>
          <w:sz w:val="22"/>
          <w:szCs w:val="22"/>
        </w:rPr>
        <w:t xml:space="preserve">Un poste client Windows 10 a été configuré pour rejoindre le domaine dlk.local. Cette étape valide que le serveur fonctionne correctement et que les services AD DS, DNS et DHCP sont opérationnels.</w:t>
      </w:r>
    </w:p>
    <w:p>
      <w:pPr>
        <w:pStyle w:val="Heading2"/>
        <w:spacing w:after="120" w:before="240"/>
      </w:pPr>
      <w:r>
        <w:rPr>
          <w:rFonts w:ascii="Arial" w:cs="Arial" w:eastAsia="Arial" w:hAnsi="Arial"/>
          <w:b/>
          <w:bCs/>
          <w:sz w:val="28"/>
          <w:szCs w:val="28"/>
        </w:rPr>
        <w:t xml:space="preserve">14.1 Configuration réseau du client (via DHCP)</w:t>
      </w:r>
    </w:p>
    <w:p>
      <w:pPr>
        <w:spacing w:after="80" w:before="60"/>
      </w:pPr>
      <w:r>
        <w:rPr>
          <w:rFonts w:ascii="Arial" w:cs="Arial" w:eastAsia="Arial" w:hAnsi="Arial"/>
          <w:sz w:val="22"/>
          <w:szCs w:val="22"/>
        </w:rPr>
        <w:t xml:space="preserve">Le poste client a obtenu automatiquement une adresse IP du serveur DHCP :</w:t>
      </w:r>
    </w:p>
    <w:p>
      <w:pPr>
        <w:pStyle w:val="ListParagraph"/>
        <w:numPr>
          <w:ilvl w:val="0"/>
          <w:numId w:val="2"/>
        </w:numPr>
        <w:spacing w:after="60" w:before="40"/>
      </w:pPr>
      <w:r>
        <w:rPr>
          <w:rFonts w:ascii="Arial" w:cs="Arial" w:eastAsia="Arial" w:hAnsi="Arial"/>
          <w:sz w:val="22"/>
          <w:szCs w:val="22"/>
        </w:rPr>
        <w:t xml:space="preserve">Adresse IPv4 : 192.168.8.50</w:t>
      </w:r>
    </w:p>
    <w:p>
      <w:pPr>
        <w:pStyle w:val="ListParagraph"/>
        <w:numPr>
          <w:ilvl w:val="0"/>
          <w:numId w:val="2"/>
        </w:numPr>
        <w:spacing w:after="60" w:before="40"/>
      </w:pPr>
      <w:r>
        <w:rPr>
          <w:rFonts w:ascii="Arial" w:cs="Arial" w:eastAsia="Arial" w:hAnsi="Arial"/>
          <w:sz w:val="22"/>
          <w:szCs w:val="22"/>
        </w:rPr>
        <w:t xml:space="preserve">Serveur DNS : 192.168.8.10</w:t>
      </w:r>
    </w:p>
    <w:p>
      <w:pPr>
        <w:pStyle w:val="ListParagraph"/>
        <w:numPr>
          <w:ilvl w:val="0"/>
          <w:numId w:val="2"/>
        </w:numPr>
        <w:spacing w:after="60" w:before="40"/>
      </w:pPr>
      <w:r>
        <w:rPr>
          <w:rFonts w:ascii="Arial" w:cs="Arial" w:eastAsia="Arial" w:hAnsi="Arial"/>
          <w:sz w:val="22"/>
          <w:szCs w:val="22"/>
        </w:rPr>
        <w:t xml:space="preserve">Suffixe DNS : dlk.local</w:t>
      </w:r>
    </w:p>
    <w:p>
      <w:pPr>
        <w:pStyle w:val="ListParagraph"/>
        <w:numPr>
          <w:ilvl w:val="0"/>
          <w:numId w:val="2"/>
        </w:numPr>
        <w:spacing w:after="60" w:before="40"/>
      </w:pPr>
      <w:r>
        <w:rPr>
          <w:rFonts w:ascii="Arial" w:cs="Arial" w:eastAsia="Arial" w:hAnsi="Arial"/>
          <w:sz w:val="22"/>
          <w:szCs w:val="22"/>
        </w:rPr>
        <w:t xml:space="preserve">Attribution : Automatique (DHCP)</w:t>
      </w:r>
    </w:p>
    <w:p>
      <w:pPr>
        <w:spacing w:after="160" w:before="80"/>
        <w:jc w:val="center"/>
      </w:pPr>
      <w:r>
        <w:drawing>
          <wp:inline distT="0" distB="0" distL="0" distR="0">
            <wp:extent cx="3619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19500" cy="2657475"/>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23 – Paramètres IP du client Windows 10 obtenus via DHCP</w:t>
      </w:r>
    </w:p>
    <w:p>
      <w:pPr>
        <w:pStyle w:val="Heading2"/>
        <w:spacing w:after="120" w:before="240"/>
      </w:pPr>
      <w:r>
        <w:rPr>
          <w:rFonts w:ascii="Arial" w:cs="Arial" w:eastAsia="Arial" w:hAnsi="Arial"/>
          <w:b/>
          <w:bCs/>
          <w:sz w:val="28"/>
          <w:szCs w:val="28"/>
        </w:rPr>
        <w:t xml:space="preserve">14.2 Jointure au domaine</w:t>
      </w:r>
    </w:p>
    <w:p>
      <w:pPr>
        <w:spacing w:after="80" w:before="60"/>
      </w:pPr>
      <w:r>
        <w:rPr>
          <w:rFonts w:ascii="Arial" w:cs="Arial" w:eastAsia="Arial" w:hAnsi="Arial"/>
          <w:sz w:val="22"/>
          <w:szCs w:val="22"/>
        </w:rPr>
        <w:t xml:space="preserve">Dans les Propriétés système du poste Windows 10, la machine a été jointe au domaine dlk.local. Un message de confirmation a été affiché : « Bienvenue dans le domaine dlk.local. »</w:t>
      </w:r>
    </w:p>
    <w:p>
      <w:pPr>
        <w:spacing w:after="80" w:before="60"/>
      </w:pPr>
      <w:r>
        <w:rPr>
          <w:rFonts w:ascii="Arial" w:cs="Arial" w:eastAsia="Arial" w:hAnsi="Arial"/>
          <w:sz w:val="22"/>
          <w:szCs w:val="22"/>
        </w:rPr>
        <w:t xml:space="preserve">Le nom de la machine est : DESKTOP-HAOT0RD</w:t>
      </w:r>
    </w:p>
    <w:p>
      <w:pPr>
        <w:spacing w:after="160" w:before="80"/>
        <w:jc w:val="center"/>
      </w:pPr>
      <w:r>
        <w:drawing>
          <wp:inline distT="0" distB="0" distL="0" distR="0">
            <wp:extent cx="4381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32194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24 – Jointure au domaine dlk.local réussie – message de bienvenue</w:t>
      </w:r>
    </w:p>
    <w:p>
      <w:pPr>
        <w:pBdr>
          <w:bottom w:val="single" w:color="2E75B6" w:sz="4" w:space="1"/>
        </w:pBdr>
        <w:spacing w:after="120" w:before="120"/>
      </w:pPr>
    </w:p>
    <w:p>
      <w:pPr>
        <w:pStyle w:val="Heading1"/>
        <w:spacing w:after="180" w:before="360"/>
      </w:pPr>
      <w:r>
        <w:rPr>
          <w:rFonts w:ascii="Arial" w:cs="Arial" w:eastAsia="Arial" w:hAnsi="Arial"/>
          <w:b/>
          <w:bCs/>
          <w:sz w:val="32"/>
          <w:szCs w:val="32"/>
        </w:rPr>
        <w:t xml:space="preserve">15. Tests et validation</w:t>
      </w:r>
    </w:p>
    <w:p>
      <w:pPr>
        <w:spacing w:after="80" w:before="60"/>
      </w:pPr>
      <w:r>
        <w:rPr>
          <w:rFonts w:ascii="Arial" w:cs="Arial" w:eastAsia="Arial" w:hAnsi="Arial"/>
          <w:sz w:val="22"/>
          <w:szCs w:val="22"/>
        </w:rPr>
        <w:t xml:space="preserve">Une fois l’infrastructure en place, plusieurs tests ont été réalisés pour valider le bon fonctionnement de l’ensemble.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c>
          <w:tcPr>
            <w:tcW w:type="dxa" w:w="3600"/>
            <w:tcBorders>
              <w:top w:val="single" w:color="BBBBBB" w:sz="2"/>
              <w:left w:val="single" w:color="BBBBBB" w:sz="2"/>
              <w:bottom w:val="single" w:color="BBBBBB" w:sz="2"/>
              <w:right w:val="single" w:color="BBBBBB" w:sz="2"/>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700"/>
            <w:tcBorders>
              <w:top w:val="single" w:color="BBBBBB" w:sz="2"/>
              <w:left w:val="single" w:color="BBBBBB" w:sz="2"/>
              <w:bottom w:val="single" w:color="BBBBBB" w:sz="2"/>
              <w:right w:val="single" w:color="BBBBBB" w:sz="2"/>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Résultat</w:t>
            </w:r>
          </w:p>
        </w:tc>
        <w:tc>
          <w:tcPr>
            <w:tcW w:type="dxa" w:w="2700"/>
            <w:tcBorders>
              <w:top w:val="single" w:color="BBBBBB" w:sz="2"/>
              <w:left w:val="single" w:color="BBBBBB" w:sz="2"/>
              <w:bottom w:val="single" w:color="BBBBBB" w:sz="2"/>
              <w:right w:val="single" w:color="BBBBBB" w:sz="2"/>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Preuve</w:t>
            </w:r>
          </w:p>
        </w:tc>
      </w:tr>
      <w:tr>
        <w:tc>
          <w:tcPr>
            <w:tcW w:type="dxa" w:w="36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sz w:val="20"/>
                <w:szCs w:val="20"/>
              </w:rPr>
              <w:t xml:space="preserve">Résolution DNS (interne)</w:t>
            </w:r>
          </w:p>
        </w:tc>
        <w:tc>
          <w:tcPr>
            <w:tcW w:type="dxa" w:w="27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color w:val="375623"/>
                <w:sz w:val="20"/>
                <w:szCs w:val="20"/>
              </w:rPr>
              <w:t xml:space="preserve">✅ OK</w:t>
            </w:r>
          </w:p>
        </w:tc>
        <w:tc>
          <w:tcPr>
            <w:tcW w:type="dxa" w:w="27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i/>
                <w:iCs/>
                <w:sz w:val="18"/>
                <w:szCs w:val="18"/>
              </w:rPr>
              <w:t xml:space="preserve">Zones dlk.local actives</w:t>
            </w:r>
          </w:p>
        </w:tc>
      </w:tr>
      <w:tr>
        <w:tc>
          <w:tcPr>
            <w:tcW w:type="dxa" w:w="36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sz w:val="20"/>
                <w:szCs w:val="20"/>
              </w:rPr>
              <w:t xml:space="preserve">Redirecteurs DNS (8.8.8.8 / 1.1.1.1)</w:t>
            </w:r>
          </w:p>
        </w:tc>
        <w:tc>
          <w:tcPr>
            <w:tcW w:type="dxa" w:w="27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color w:val="375623"/>
                <w:sz w:val="20"/>
                <w:szCs w:val="20"/>
              </w:rPr>
              <w:t xml:space="preserve">✅ OK</w:t>
            </w:r>
          </w:p>
        </w:tc>
        <w:tc>
          <w:tcPr>
            <w:tcW w:type="dxa" w:w="27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i/>
                <w:iCs/>
                <w:sz w:val="18"/>
                <w:szCs w:val="18"/>
              </w:rPr>
              <w:t xml:space="preserve">Statut Validé dans gestionnaire DNS</w:t>
            </w:r>
          </w:p>
        </w:tc>
      </w:tr>
      <w:tr>
        <w:tc>
          <w:tcPr>
            <w:tcW w:type="dxa" w:w="36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sz w:val="20"/>
                <w:szCs w:val="20"/>
              </w:rPr>
              <w:t xml:space="preserve">Zone inversée DNS</w:t>
            </w:r>
          </w:p>
        </w:tc>
        <w:tc>
          <w:tcPr>
            <w:tcW w:type="dxa" w:w="27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color w:val="375623"/>
                <w:sz w:val="20"/>
                <w:szCs w:val="20"/>
              </w:rPr>
              <w:t xml:space="preserve">✅ OK</w:t>
            </w:r>
          </w:p>
        </w:tc>
        <w:tc>
          <w:tcPr>
            <w:tcW w:type="dxa" w:w="27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i/>
                <w:iCs/>
                <w:sz w:val="18"/>
                <w:szCs w:val="18"/>
              </w:rPr>
              <w:t xml:space="preserve">8.168.192.in-addr.arpa créée</w:t>
            </w:r>
          </w:p>
        </w:tc>
      </w:tr>
      <w:tr>
        <w:tc>
          <w:tcPr>
            <w:tcW w:type="dxa" w:w="36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sz w:val="20"/>
                <w:szCs w:val="20"/>
              </w:rPr>
              <w:t xml:space="preserve">Distribution IP par DHCP</w:t>
            </w:r>
          </w:p>
        </w:tc>
        <w:tc>
          <w:tcPr>
            <w:tcW w:type="dxa" w:w="27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color w:val="375623"/>
                <w:sz w:val="20"/>
                <w:szCs w:val="20"/>
              </w:rPr>
              <w:t xml:space="preserve">✅ OK</w:t>
            </w:r>
          </w:p>
        </w:tc>
        <w:tc>
          <w:tcPr>
            <w:tcW w:type="dxa" w:w="27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i/>
                <w:iCs/>
                <w:sz w:val="18"/>
                <w:szCs w:val="18"/>
              </w:rPr>
              <w:t xml:space="preserve">Client a reçu 192.168.8.50</w:t>
            </w:r>
          </w:p>
        </w:tc>
      </w:tr>
      <w:tr>
        <w:tc>
          <w:tcPr>
            <w:tcW w:type="dxa" w:w="36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sz w:val="20"/>
                <w:szCs w:val="20"/>
              </w:rPr>
              <w:t xml:space="preserve">Jointure domaine Windows 10</w:t>
            </w:r>
          </w:p>
        </w:tc>
        <w:tc>
          <w:tcPr>
            <w:tcW w:type="dxa" w:w="27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color w:val="375623"/>
                <w:sz w:val="20"/>
                <w:szCs w:val="20"/>
              </w:rPr>
              <w:t xml:space="preserve">✅ OK</w:t>
            </w:r>
          </w:p>
        </w:tc>
        <w:tc>
          <w:tcPr>
            <w:tcW w:type="dxa" w:w="27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i/>
                <w:iCs/>
                <w:sz w:val="18"/>
                <w:szCs w:val="18"/>
              </w:rPr>
              <w:t xml:space="preserve">Message « Bienvenue dans dlk.local »</w:t>
            </w:r>
          </w:p>
        </w:tc>
      </w:tr>
      <w:tr>
        <w:tc>
          <w:tcPr>
            <w:tcW w:type="dxa" w:w="36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sz w:val="20"/>
                <w:szCs w:val="20"/>
              </w:rPr>
              <w:t xml:space="preserve">Blocage CMD (GPO)</w:t>
            </w:r>
          </w:p>
        </w:tc>
        <w:tc>
          <w:tcPr>
            <w:tcW w:type="dxa" w:w="27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color w:val="375623"/>
                <w:sz w:val="20"/>
                <w:szCs w:val="20"/>
              </w:rPr>
              <w:t xml:space="preserve">✅ OK</w:t>
            </w:r>
          </w:p>
        </w:tc>
        <w:tc>
          <w:tcPr>
            <w:tcW w:type="dxa" w:w="27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i/>
                <w:iCs/>
                <w:sz w:val="18"/>
                <w:szCs w:val="18"/>
              </w:rPr>
              <w:t xml:space="preserve">Message système – invite désactivée</w:t>
            </w:r>
          </w:p>
        </w:tc>
      </w:tr>
      <w:tr>
        <w:tc>
          <w:tcPr>
            <w:tcW w:type="dxa" w:w="36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sz w:val="20"/>
                <w:szCs w:val="20"/>
              </w:rPr>
              <w:t xml:space="preserve">Blocage Panneau de configuration</w:t>
            </w:r>
          </w:p>
        </w:tc>
        <w:tc>
          <w:tcPr>
            <w:tcW w:type="dxa" w:w="27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color w:val="375623"/>
                <w:sz w:val="20"/>
                <w:szCs w:val="20"/>
              </w:rPr>
              <w:t xml:space="preserve">✅ OK</w:t>
            </w:r>
          </w:p>
        </w:tc>
        <w:tc>
          <w:tcPr>
            <w:tcW w:type="dxa" w:w="27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i/>
                <w:iCs/>
                <w:sz w:val="18"/>
                <w:szCs w:val="18"/>
              </w:rPr>
              <w:t xml:space="preserve">GPO restriction liée aux OU</w:t>
            </w:r>
          </w:p>
        </w:tc>
      </w:tr>
      <w:tr>
        <w:tc>
          <w:tcPr>
            <w:tcW w:type="dxa" w:w="36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sz w:val="20"/>
                <w:szCs w:val="20"/>
              </w:rPr>
              <w:t xml:space="preserve">Blocage Regedit</w:t>
            </w:r>
          </w:p>
        </w:tc>
        <w:tc>
          <w:tcPr>
            <w:tcW w:type="dxa" w:w="27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color w:val="375623"/>
                <w:sz w:val="20"/>
                <w:szCs w:val="20"/>
              </w:rPr>
              <w:t xml:space="preserve">✅ OK</w:t>
            </w:r>
          </w:p>
        </w:tc>
        <w:tc>
          <w:tcPr>
            <w:tcW w:type="dxa" w:w="27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i/>
                <w:iCs/>
                <w:sz w:val="18"/>
                <w:szCs w:val="18"/>
              </w:rPr>
              <w:t xml:space="preserve">GPO restriction liée aux OU</w:t>
            </w:r>
          </w:p>
        </w:tc>
      </w:tr>
      <w:tr>
        <w:tc>
          <w:tcPr>
            <w:tcW w:type="dxa" w:w="36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sz w:val="20"/>
                <w:szCs w:val="20"/>
              </w:rPr>
              <w:t xml:space="preserve">OU et groupes créés</w:t>
            </w:r>
          </w:p>
        </w:tc>
        <w:tc>
          <w:tcPr>
            <w:tcW w:type="dxa" w:w="27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color w:val="375623"/>
                <w:sz w:val="20"/>
                <w:szCs w:val="20"/>
              </w:rPr>
              <w:t xml:space="preserve">✅ OK</w:t>
            </w:r>
          </w:p>
        </w:tc>
        <w:tc>
          <w:tcPr>
            <w:tcW w:type="dxa" w:w="27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i/>
                <w:iCs/>
                <w:sz w:val="18"/>
                <w:szCs w:val="18"/>
              </w:rPr>
              <w:t xml:space="preserve">4 OU, 4 groupes, utilisateurs créés</w:t>
            </w:r>
          </w:p>
        </w:tc>
      </w:tr>
      <w:tr>
        <w:tc>
          <w:tcPr>
            <w:tcW w:type="dxa" w:w="36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sz w:val="20"/>
                <w:szCs w:val="20"/>
              </w:rPr>
              <w:t xml:space="preserve">Service IT non restreint</w:t>
            </w:r>
          </w:p>
        </w:tc>
        <w:tc>
          <w:tcPr>
            <w:tcW w:type="dxa" w:w="27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color w:val="375623"/>
                <w:sz w:val="20"/>
                <w:szCs w:val="20"/>
              </w:rPr>
              <w:t xml:space="preserve">✅ OK</w:t>
            </w:r>
          </w:p>
        </w:tc>
        <w:tc>
          <w:tcPr>
            <w:tcW w:type="dxa" w:w="2700"/>
            <w:tcBorders>
              <w:top w:val="single" w:color="BBBBBB" w:sz="2"/>
              <w:left w:val="single" w:color="BBBBBB" w:sz="2"/>
              <w:bottom w:val="single" w:color="BBBBBB" w:sz="2"/>
              <w:right w:val="single" w:color="BBBBBB" w:sz="2"/>
            </w:tcBorders>
            <w:shd w:fill="E2EFDA" w:val="clear"/>
            <w:tcMar>
              <w:top w:type="dxa" w:w="60"/>
              <w:left w:type="dxa" w:w="120"/>
              <w:bottom w:type="dxa" w:w="60"/>
              <w:right w:type="dxa" w:w="120"/>
            </w:tcMar>
          </w:tcPr>
          <w:p>
            <w:r>
              <w:rPr>
                <w:rFonts w:ascii="Arial" w:cs="Arial" w:eastAsia="Arial" w:hAnsi="Arial"/>
                <w:i/>
                <w:iCs/>
                <w:sz w:val="18"/>
                <w:szCs w:val="18"/>
              </w:rPr>
              <w:t xml:space="preserve">OU IT non liée à la GPO restriction</w:t>
            </w:r>
          </w:p>
        </w:tc>
      </w:tr>
    </w:tbl>
    <w:p>
      <w:pPr>
        <w:spacing w:after="80" w:before="60"/>
      </w:pPr>
      <w:r>
        <w:rPr>
          <w:rFonts w:ascii="Arial" w:cs="Arial" w:eastAsia="Arial" w:hAnsi="Arial"/>
          <w:sz w:val="22"/>
          <w:szCs w:val="22"/>
        </w:rPr>
        <w:t xml:space="preserve"/>
      </w:r>
    </w:p>
    <w:p>
      <w:pPr>
        <w:pStyle w:val="Heading2"/>
        <w:spacing w:after="120" w:before="240"/>
      </w:pPr>
      <w:r>
        <w:rPr>
          <w:rFonts w:ascii="Arial" w:cs="Arial" w:eastAsia="Arial" w:hAnsi="Arial"/>
          <w:b/>
          <w:bCs/>
          <w:sz w:val="28"/>
          <w:szCs w:val="28"/>
        </w:rPr>
        <w:t xml:space="preserve">15.1 Preuve : CMD bloquée sur le poste client</w:t>
      </w:r>
    </w:p>
    <w:p>
      <w:pPr>
        <w:spacing w:after="80" w:before="60"/>
      </w:pPr>
      <w:r>
        <w:rPr>
          <w:rFonts w:ascii="Arial" w:cs="Arial" w:eastAsia="Arial" w:hAnsi="Arial"/>
          <w:sz w:val="22"/>
          <w:szCs w:val="22"/>
        </w:rPr>
        <w:t xml:space="preserve">Sur le poste Windows 10 joint au domaine, l’ouverture de l’invite de commandes affiche le message : « L’invite de commandes a été désactivée par votre administrateur. »</w:t>
      </w:r>
    </w:p>
    <w:p>
      <w:pPr>
        <w:spacing w:after="160" w:before="80"/>
        <w:jc w:val="center"/>
      </w:pPr>
      <w:r>
        <w:drawing>
          <wp:inline distT="0" distB="0" distL="0" distR="0">
            <wp:extent cx="4381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381500" cy="23812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25 – Validation GPO : CMD bloquée sur le poste Windows 10</w:t>
      </w:r>
    </w:p>
    <w:p>
      <w:pPr>
        <w:pBdr>
          <w:bottom w:val="single" w:color="2E75B6" w:sz="4" w:space="1"/>
        </w:pBdr>
        <w:spacing w:after="120" w:before="120"/>
      </w:pPr>
    </w:p>
    <w:p>
      <w:pPr>
        <w:pStyle w:val="Heading1"/>
        <w:spacing w:after="180" w:before="360"/>
      </w:pPr>
      <w:r>
        <w:rPr>
          <w:rFonts w:ascii="Arial" w:cs="Arial" w:eastAsia="Arial" w:hAnsi="Arial"/>
          <w:b/>
          <w:bCs/>
          <w:sz w:val="32"/>
          <w:szCs w:val="32"/>
        </w:rPr>
        <w:t xml:space="preserve">16. Pistes d’amélioration</w:t>
      </w:r>
    </w:p>
    <w:p>
      <w:pPr>
        <w:spacing w:after="80" w:before="60"/>
      </w:pPr>
      <w:r>
        <w:rPr>
          <w:rFonts w:ascii="Arial" w:cs="Arial" w:eastAsia="Arial" w:hAnsi="Arial"/>
          <w:sz w:val="22"/>
          <w:szCs w:val="22"/>
        </w:rPr>
        <w:t xml:space="preserve">Ce projet pose une base solide, mais plusieurs améliorations pourraient être envisagées pour renforcer et faire évoluer l’infrastructure :</w:t>
      </w:r>
    </w:p>
    <w:p>
      <w:pPr>
        <w:pStyle w:val="ListParagraph"/>
        <w:numPr>
          <w:ilvl w:val="0"/>
          <w:numId w:val="2"/>
        </w:numPr>
        <w:spacing w:after="60" w:before="40"/>
      </w:pPr>
      <w:r>
        <w:rPr>
          <w:rFonts w:ascii="Arial" w:cs="Arial" w:eastAsia="Arial" w:hAnsi="Arial"/>
          <w:sz w:val="22"/>
          <w:szCs w:val="22"/>
        </w:rPr>
        <w:t xml:space="preserve">Mettre en place un second contrôleur de domaine pour assurer la redondance (haute disponibilité)</w:t>
      </w:r>
    </w:p>
    <w:p>
      <w:pPr>
        <w:pStyle w:val="ListParagraph"/>
        <w:numPr>
          <w:ilvl w:val="0"/>
          <w:numId w:val="2"/>
        </w:numPr>
        <w:spacing w:after="60" w:before="40"/>
      </w:pPr>
      <w:r>
        <w:rPr>
          <w:rFonts w:ascii="Arial" w:cs="Arial" w:eastAsia="Arial" w:hAnsi="Arial"/>
          <w:sz w:val="22"/>
          <w:szCs w:val="22"/>
        </w:rPr>
        <w:t xml:space="preserve">Configurer des quotas de disque par utilisateur via les GPO</w:t>
      </w:r>
    </w:p>
    <w:p>
      <w:pPr>
        <w:pStyle w:val="ListParagraph"/>
        <w:numPr>
          <w:ilvl w:val="0"/>
          <w:numId w:val="2"/>
        </w:numPr>
        <w:spacing w:after="60" w:before="40"/>
      </w:pPr>
      <w:r>
        <w:rPr>
          <w:rFonts w:ascii="Arial" w:cs="Arial" w:eastAsia="Arial" w:hAnsi="Arial"/>
          <w:sz w:val="22"/>
          <w:szCs w:val="22"/>
        </w:rPr>
        <w:t xml:space="preserve">Créer des partages réseau sécurisés par département (lecteurs réseau mappés automatiquement)</w:t>
      </w:r>
    </w:p>
    <w:p>
      <w:pPr>
        <w:pStyle w:val="ListParagraph"/>
        <w:numPr>
          <w:ilvl w:val="0"/>
          <w:numId w:val="2"/>
        </w:numPr>
        <w:spacing w:after="60" w:before="40"/>
      </w:pPr>
      <w:r>
        <w:rPr>
          <w:rFonts w:ascii="Arial" w:cs="Arial" w:eastAsia="Arial" w:hAnsi="Arial"/>
          <w:sz w:val="22"/>
          <w:szCs w:val="22"/>
        </w:rPr>
        <w:t xml:space="preserve">Mettre en place une GPO de fond d’écran d’entreprise unifié</w:t>
      </w:r>
    </w:p>
    <w:p>
      <w:pPr>
        <w:pStyle w:val="ListParagraph"/>
        <w:numPr>
          <w:ilvl w:val="0"/>
          <w:numId w:val="2"/>
        </w:numPr>
        <w:spacing w:after="60" w:before="40"/>
      </w:pPr>
      <w:r>
        <w:rPr>
          <w:rFonts w:ascii="Arial" w:cs="Arial" w:eastAsia="Arial" w:hAnsi="Arial"/>
          <w:sz w:val="22"/>
          <w:szCs w:val="22"/>
        </w:rPr>
        <w:t xml:space="preserve">Ajouter un filtrage de sécurité plus fin sur les GPO (filtre WMI ou filtrage de sécurité par groupe)</w:t>
      </w:r>
    </w:p>
    <w:p>
      <w:pPr>
        <w:pStyle w:val="ListParagraph"/>
        <w:numPr>
          <w:ilvl w:val="0"/>
          <w:numId w:val="2"/>
        </w:numPr>
        <w:spacing w:after="60" w:before="40"/>
      </w:pPr>
      <w:r>
        <w:rPr>
          <w:rFonts w:ascii="Arial" w:cs="Arial" w:eastAsia="Arial" w:hAnsi="Arial"/>
          <w:sz w:val="22"/>
          <w:szCs w:val="22"/>
        </w:rPr>
        <w:t xml:space="preserve">Déployer un serveur de fichiers FSRM pour la gestion des droits NTFS</w:t>
      </w:r>
    </w:p>
    <w:p>
      <w:pPr>
        <w:pStyle w:val="ListParagraph"/>
        <w:numPr>
          <w:ilvl w:val="0"/>
          <w:numId w:val="2"/>
        </w:numPr>
        <w:spacing w:after="60" w:before="40"/>
      </w:pPr>
      <w:r>
        <w:rPr>
          <w:rFonts w:ascii="Arial" w:cs="Arial" w:eastAsia="Arial" w:hAnsi="Arial"/>
          <w:sz w:val="22"/>
          <w:szCs w:val="22"/>
        </w:rPr>
        <w:t xml:space="preserve">Mettre en place une politique de mot de passe plus stricte (longueur minimale, complexité, expiration)</w:t>
      </w:r>
    </w:p>
    <w:p>
      <w:pPr>
        <w:pStyle w:val="ListParagraph"/>
        <w:numPr>
          <w:ilvl w:val="0"/>
          <w:numId w:val="2"/>
        </w:numPr>
        <w:spacing w:after="60" w:before="40"/>
      </w:pPr>
      <w:r>
        <w:rPr>
          <w:rFonts w:ascii="Arial" w:cs="Arial" w:eastAsia="Arial" w:hAnsi="Arial"/>
          <w:sz w:val="22"/>
          <w:szCs w:val="22"/>
        </w:rPr>
        <w:t xml:space="preserve">Intégrer un système de sauvegarde automatisé du contrôleur de domaine</w:t>
      </w:r>
    </w:p>
    <w:p>
      <w:pPr>
        <w:pBdr>
          <w:bottom w:val="single" w:color="2E75B6" w:sz="4" w:space="1"/>
        </w:pBdr>
        <w:spacing w:after="120" w:before="120"/>
      </w:pPr>
    </w:p>
    <w:p>
      <w:pPr>
        <w:pStyle w:val="Heading1"/>
        <w:spacing w:after="180" w:before="360"/>
      </w:pPr>
      <w:r>
        <w:rPr>
          <w:rFonts w:ascii="Arial" w:cs="Arial" w:eastAsia="Arial" w:hAnsi="Arial"/>
          <w:b/>
          <w:bCs/>
          <w:sz w:val="32"/>
          <w:szCs w:val="32"/>
        </w:rPr>
        <w:t xml:space="preserve">17. Conclusion</w:t>
      </w:r>
    </w:p>
    <w:p>
      <w:pPr>
        <w:spacing w:after="80" w:before="60"/>
      </w:pPr>
      <w:r>
        <w:rPr>
          <w:rFonts w:ascii="Arial" w:cs="Arial" w:eastAsia="Arial" w:hAnsi="Arial"/>
          <w:sz w:val="22"/>
          <w:szCs w:val="22"/>
        </w:rPr>
        <w:t xml:space="preserve">Ce projet m’a permis de découvrir et de mettre en pratique les fondamentaux d’une infrastructure Windows Server en entreprise. En tant qu’étudiant de première année en BTS SIO SISR, c’est une expérience très formatrice qui couvre des notions essentielles du métier de technicien réseau et systèmes.</w:t>
      </w:r>
    </w:p>
    <w:p>
      <w:pPr>
        <w:spacing w:after="80" w:before="60"/>
      </w:pPr>
      <w:r>
        <w:rPr>
          <w:rFonts w:ascii="Arial" w:cs="Arial" w:eastAsia="Arial" w:hAnsi="Arial"/>
          <w:sz w:val="22"/>
          <w:szCs w:val="22"/>
        </w:rPr>
        <w:t xml:space="preserve">L’infrastructure déployée est fonctionnelle, stable et conforme aux standards professionnels. Elle permet une gestion centralisée des utilisateurs, des machines et des politiques de sécurité via Active Directory, tout en assurant une distribution automatique des adresses IP et une résolution de noms efficace.</w:t>
      </w:r>
    </w:p>
    <w:p>
      <w:pPr>
        <w:spacing w:after="80" w:before="60"/>
      </w:pPr>
      <w:r>
        <w:rPr>
          <w:rFonts w:ascii="Arial" w:cs="Arial" w:eastAsia="Arial" w:hAnsi="Arial"/>
          <w:sz w:val="22"/>
          <w:szCs w:val="22"/>
        </w:rPr>
        <w:t xml:space="preserve">La mise en place des GPO garantit que seuls les techniciens IT conservent un accès complet aux outils système, ce qui représente une bonne pratique de sécurité en entreprise.</w:t>
      </w:r>
    </w:p>
    <w:p>
      <w:pPr>
        <w:spacing w:before="400"/>
      </w:pPr>
      <w:r>
        <w:rPr>
          <w:rFonts w:ascii="Arial" w:cs="Arial" w:eastAsia="Arial" w:hAnsi="Arial"/>
          <w:i/>
          <w:iCs/>
          <w:color w:val="555555"/>
          <w:sz w:val="20"/>
          <w:szCs w:val="20"/>
        </w:rPr>
        <w:t xml:space="preserve">Djamarou – DLK-ENTREPRISE –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8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97b207fcb6b1cdbd2e3f428e1e9aae01c01241.png"/><Relationship Id="rId8" Type="http://schemas.openxmlformats.org/officeDocument/2006/relationships/image" Target="media/715409c3edd45e649b401dc228443714cae21bcb.png"/><Relationship Id="rId9" Type="http://schemas.openxmlformats.org/officeDocument/2006/relationships/image" Target="media/67c84f656fb4a70723e62efc9d0ae1e14f5533b1.png"/><Relationship Id="rId10" Type="http://schemas.openxmlformats.org/officeDocument/2006/relationships/image" Target="media/0b36563e54c51998c712230c609fd187ba0958be.png"/><Relationship Id="rId11" Type="http://schemas.openxmlformats.org/officeDocument/2006/relationships/image" Target="media/e0a92622376b1481ce216a9cfdeb0dd5b0e517be.png"/><Relationship Id="rId12" Type="http://schemas.openxmlformats.org/officeDocument/2006/relationships/image" Target="media/6370a3020cfdc6657df65dd7ae90c95c52ff1411.png"/><Relationship Id="rId13" Type="http://schemas.openxmlformats.org/officeDocument/2006/relationships/image" Target="media/0d1a9b3387c562b83a47591af124333297424ca0.png"/><Relationship Id="rId14" Type="http://schemas.openxmlformats.org/officeDocument/2006/relationships/image" Target="media/0cb45a6e52b44a0dc93ca626945be1277317f891.png"/><Relationship Id="rId15" Type="http://schemas.openxmlformats.org/officeDocument/2006/relationships/image" Target="media/a48f8471289deec587ed25ee34ac3e288d583649.png"/><Relationship Id="rId16" Type="http://schemas.openxmlformats.org/officeDocument/2006/relationships/image" Target="media/51e4279e320d294b01feab4535fe007b1c338bcf.png"/><Relationship Id="rId17" Type="http://schemas.openxmlformats.org/officeDocument/2006/relationships/image" Target="media/f5ceaa0c418971155e65f7141a7ad43aa5c6767b.png"/><Relationship Id="rId18" Type="http://schemas.openxmlformats.org/officeDocument/2006/relationships/image" Target="media/94697ac2f0b52d24ba691c1179511d668fe8b589.png"/><Relationship Id="rId19" Type="http://schemas.openxmlformats.org/officeDocument/2006/relationships/image" Target="media/f8daeeb01a2b9e90769b284c1c14669d87709d85.png"/><Relationship Id="rId20" Type="http://schemas.openxmlformats.org/officeDocument/2006/relationships/image" Target="media/3c83430c827033c06a59854ec818456e0ea71e75.png"/><Relationship Id="rId21" Type="http://schemas.openxmlformats.org/officeDocument/2006/relationships/image" Target="media/55c4090f401f90faac6864bd54a0a306fe8df6ff.png"/><Relationship Id="rId22" Type="http://schemas.openxmlformats.org/officeDocument/2006/relationships/image" Target="media/12f2ad5b6f7c4ef4e960e4789d78573e3e415637.png"/><Relationship Id="rId23" Type="http://schemas.openxmlformats.org/officeDocument/2006/relationships/image" Target="media/e8cfdbf27a9986bee6f460c2647386bc90cf65cf.png"/><Relationship Id="rId24" Type="http://schemas.openxmlformats.org/officeDocument/2006/relationships/image" Target="media/30458599ac85901f448d285c4931225bc0451152.png"/><Relationship Id="rId25" Type="http://schemas.openxmlformats.org/officeDocument/2006/relationships/image" Target="media/20714301b386759afdbeea01d30bd11d1bc7b7ea.png"/><Relationship Id="rId26" Type="http://schemas.openxmlformats.org/officeDocument/2006/relationships/image" Target="media/e3370892553780cf8239dfae7a72abeada6f735a.png"/><Relationship Id="rId27" Type="http://schemas.openxmlformats.org/officeDocument/2006/relationships/image" Target="media/6460817079166abe1d5f0387d7d477486df36494.png"/><Relationship Id="rId28" Type="http://schemas.openxmlformats.org/officeDocument/2006/relationships/image" Target="media/e57690748eebac40d692aa0b1d681c0bf089b73a.png"/><Relationship Id="rId29" Type="http://schemas.openxmlformats.org/officeDocument/2006/relationships/image" Target="media/2f21edd0e51244cd3df8e8a17f4d484890bb2705.png"/><Relationship Id="rId30" Type="http://schemas.openxmlformats.org/officeDocument/2006/relationships/image" Target="media/71c96905b7734cb353f79bf14baab1db59cd958f.png"/><Relationship Id="rId31" Type="http://schemas.openxmlformats.org/officeDocument/2006/relationships/image" Target="media/3155811cab4a7e008ac6511cb74a4a741e9329bf.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2026-05-30T16:00:31.421Z</dcterms:created>
  <dcterms:modified xsi:type="dcterms:W3CDTF">2026-05-30T16:00:31.421Z</dcterms:modified>
</cp:coreProperties>
</file>

<file path=docProps/custom.xml><?xml version="1.0" encoding="utf-8"?>
<Properties xmlns="http://schemas.openxmlformats.org/officeDocument/2006/custom-properties" xmlns:vt="http://schemas.openxmlformats.org/officeDocument/2006/docPropsVTypes"/>
</file>