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1896B4C" w14:textId="77777777" w:rsidR="00041E14" w:rsidRDefault="00000000">
      <w:pPr>
        <w:spacing w:after="360" w:line="360" w:lineRule="auto"/>
        <w:jc w:val="both"/>
      </w:pPr>
      <w:r>
        <w:rPr>
          <w:rFonts w:ascii="Barlow" w:eastAsia="Barlow" w:hAnsi="Barlow" w:cs="Barlow"/>
          <w:b/>
          <w:sz w:val="24"/>
          <w:szCs w:val="24"/>
        </w:rPr>
        <w:t>EXCELENTÍSSIMO(A) SENHOR(A) DOUTOR(A) JUIZ(A) DE DIREITO DE UMA DAS VARAS CÍVEIS DA COMARCA DE SALVADOR, ESTADO DA BAHIA</w:t>
      </w:r>
    </w:p>
    <w:p>
      <w:pPr>
        <w:spacing w:after="0" w:line="360" w:lineRule="auto"/>
        <w:jc w:val="both"/>
        <w:rPr>
          <w:rFonts w:ascii="Barlow" w:eastAsia="Barlow" w:hAnsi="Barlow" w:cs="Barlow"/>
          <w:sz w:val="24"/>
          <w:szCs w:val="24"/>
        </w:rPr>
      </w:pPr>
    </w:p>
    <w:p>
      <w:pPr>
        <w:spacing w:after="0" w:line="360" w:lineRule="auto"/>
        <w:jc w:val="both"/>
        <w:rPr>
          <w:rFonts w:ascii="Barlow" w:eastAsia="Barlow" w:hAnsi="Barlow" w:cs="Barlow"/>
          <w:sz w:val="24"/>
          <w:szCs w:val="24"/>
        </w:rPr>
      </w:pPr>
    </w:p>
    <w:p>
      <w:pPr>
        <w:spacing w:after="0" w:line="360" w:lineRule="auto"/>
        <w:jc w:val="both"/>
        <w:rPr>
          <w:rFonts w:ascii="Barlow" w:eastAsia="Barlow" w:hAnsi="Barlow" w:cs="Barlow"/>
          <w:sz w:val="24"/>
          <w:szCs w:val="24"/>
        </w:rPr>
      </w:pPr>
    </w:p>
    <w:p w14:paraId="5FE60AFD" w14:textId="77777777" w:rsidR="00041E14" w:rsidRDefault="00041E14">
      <w:pPr>
        <w:spacing w:after="120" w:line="360" w:lineRule="auto"/>
        <w:jc w:val="both"/>
      </w:pPr>
    </w:p>
    <w:p w14:paraId="17407796" w14:textId="77777777" w:rsidR="00041E14" w:rsidRDefault="00000000">
      <w:pPr>
        <w:spacing w:after="240" w:line="360" w:lineRule="auto"/>
        <w:jc w:val="both"/>
      </w:pPr>
      <w:r>
        <w:rPr>
          <w:rFonts w:ascii="Barlow" w:eastAsia="Barlow" w:hAnsi="Barlow" w:cs="Barlow"/>
          <w:b/>
          <w:sz w:val="24"/>
          <w:szCs w:val="24"/>
        </w:rPr>
        <w:t>JODIAEL SIMÕES DOS SANTOS</w:t>
      </w:r>
      <w:r>
        <w:rPr>
          <w:rFonts w:ascii="Barlow" w:eastAsia="Barlow" w:hAnsi="Barlow" w:cs="Barlow"/>
          <w:sz w:val="24"/>
          <w:szCs w:val="24"/>
        </w:rPr>
        <w:t>, brasileiro, casado, portador da Cédula de Identidade RG nº 378924958, inscrito no CPF sob o nº 506.696.645-53, residente e domiciliado na Rua Eufrosina Miranda, nº 79, bairro Pau Miúdo, Salvador/BA, CEP 40315-490, endereço eletrônico jodiael@yahoo.com.br, por intermédio de seu advogado que esta subscreve (procuração anexa), com escritório à Rua Abelardo da Silva Guimarães Barreto, nº 51, Altiplano Cabo Branco, João Pessoa/PB, CEP 58046-110, onde recebe intimações, vem, respeitosamente, à presença de Vossa Excelência, propor a presente</w:t>
      </w:r>
    </w:p>
    <w:p w14:paraId="1F3869A5" w14:textId="77777777" w:rsidR="00041E14" w:rsidRDefault="00000000">
      <w:pPr>
        <w:spacing w:before="180" w:after="180" w:line="360" w:lineRule="auto"/>
        <w:jc w:val="center"/>
      </w:pPr>
      <w:r>
        <w:rPr>
          <w:rFonts w:ascii="Barlow" w:eastAsia="Barlow" w:hAnsi="Barlow" w:cs="Barlow"/>
          <w:b/>
          <w:sz w:val="24"/>
          <w:szCs w:val="24"/>
        </w:rPr>
        <w:t>AÇÃO DE RESCISÃO CONTRATUAL c/c RESTITUIÇÃO DE VALORES, INDENIZAÇÃO POR DANOS MORAIS E PEDIDO DE TUTELA DE URGÊNCIA</w:t>
      </w:r>
    </w:p>
    <w:p w14:paraId="5239A29A" w14:textId="77777777" w:rsidR="00041E14" w:rsidRDefault="00000000">
      <w:pPr>
        <w:spacing w:after="120" w:line="360" w:lineRule="auto"/>
        <w:jc w:val="both"/>
      </w:pPr>
      <w:r>
        <w:rPr>
          <w:rFonts w:ascii="Barlow" w:eastAsia="Barlow" w:hAnsi="Barlow" w:cs="Barlow"/>
          <w:sz w:val="24"/>
          <w:szCs w:val="24"/>
        </w:rPr>
        <w:t>em face de</w:t>
      </w:r>
    </w:p>
    <w:p w14:paraId="081FC89D" w14:textId="77777777" w:rsidR="00041E14" w:rsidRDefault="00000000">
      <w:pPr>
        <w:spacing w:after="240" w:line="360" w:lineRule="auto"/>
        <w:jc w:val="both"/>
      </w:pPr>
      <w:r>
        <w:rPr>
          <w:rFonts w:ascii="Barlow" w:eastAsia="Barlow" w:hAnsi="Barlow" w:cs="Barlow"/>
          <w:b/>
          <w:sz w:val="24"/>
          <w:szCs w:val="24"/>
        </w:rPr>
        <w:t>MOVIDA LOCAÇÃO DE VEÍCULOS S.A.</w:t>
      </w:r>
      <w:r>
        <w:rPr>
          <w:rFonts w:ascii="Barlow" w:eastAsia="Barlow" w:hAnsi="Barlow" w:cs="Barlow"/>
          <w:sz w:val="24"/>
          <w:szCs w:val="24"/>
        </w:rPr>
        <w:t xml:space="preserve">, pessoa jurídica de direito privado, inscrita no CNPJ sob o nº 07.976.147/0001-60, com sede na Rua Otávio Tarquino de Souza, nº 23, Sala A, Campo Belo, São Paulo/SP, CEP 04.613-000, tendo a venda objeto desta ação sido realizada por seu estabelecimento filial </w:t>
      </w:r>
      <w:r>
        <w:rPr>
          <w:rFonts w:ascii="Barlow" w:eastAsia="Barlow" w:hAnsi="Barlow" w:cs="Barlow"/>
          <w:b/>
          <w:sz w:val="24"/>
          <w:szCs w:val="24"/>
        </w:rPr>
        <w:t>Seminovos Movida Salvador Paralela</w:t>
      </w:r>
      <w:r>
        <w:rPr>
          <w:rFonts w:ascii="Barlow" w:eastAsia="Barlow" w:hAnsi="Barlow" w:cs="Barlow"/>
          <w:sz w:val="24"/>
          <w:szCs w:val="24"/>
        </w:rPr>
        <w:t xml:space="preserve"> (CNPJ 07.976.147/0269-84); e em face de</w:t>
      </w:r>
    </w:p>
    <w:p w14:paraId="465FDA45" w14:textId="77777777" w:rsidR="00041E14" w:rsidRDefault="00000000">
      <w:pPr>
        <w:spacing w:after="240" w:line="360" w:lineRule="auto"/>
        <w:jc w:val="both"/>
      </w:pPr>
      <w:r>
        <w:rPr>
          <w:rFonts w:ascii="Barlow" w:eastAsia="Barlow" w:hAnsi="Barlow" w:cs="Barlow"/>
          <w:b/>
          <w:sz w:val="24"/>
          <w:szCs w:val="24"/>
        </w:rPr>
        <w:t>BANCO BRASILEIRO DE CRÉDITO S.A.</w:t>
      </w:r>
      <w:r>
        <w:rPr>
          <w:rFonts w:ascii="Barlow" w:eastAsia="Barlow" w:hAnsi="Barlow" w:cs="Barlow"/>
          <w:sz w:val="24"/>
          <w:szCs w:val="24"/>
        </w:rPr>
        <w:t xml:space="preserve"> (BBC DIGITAL), pessoa jurídica de direito privado, inscrita no CNPJ sob o nº 01.852.137/0001-37, com sede na Rua Dr. Renato Paes de Barros, nº 1.017, 10º andar, Itaim Bibi, São Paulo/SP, CEP 04530-001, pelos fatos e fundamentos a seguir expostos.</w:t>
      </w:r>
    </w:p>
    <w:p w14:paraId="66455B7C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SÍNTESE DA DEMANDA</w:t>
      </w:r>
    </w:p>
    <w:p w14:paraId="0DD39CC2" w14:textId="77777777" w:rsidR="00041E14" w:rsidRDefault="00000000">
      <w:pPr>
        <w:spacing w:after="120" w:line="240" w:lineRule="auto"/>
        <w:jc w:val="both"/>
      </w:pPr>
      <w:r>
        <w:rPr>
          <w:rFonts w:ascii="Barlow" w:eastAsia="Barlow" w:hAnsi="Barlow" w:cs="Barlow"/>
        </w:rPr>
        <w:t>Para imediata compreensão de Vossa Excelência, sintetizam-se os pontos centrais da demanda:</w:t>
      </w:r>
    </w:p>
    <w:p w14:paraId="0A3189DC" w14:textId="77777777" w:rsidR="00041E14" w:rsidRDefault="00000000">
      <w:pPr>
        <w:spacing w:after="120" w:line="240" w:lineRule="auto"/>
        <w:ind w:left="709"/>
        <w:jc w:val="both"/>
      </w:pPr>
      <w:r>
        <w:rPr>
          <w:rFonts w:ascii="Barlow" w:eastAsia="Barlow" w:hAnsi="Barlow" w:cs="Barlow"/>
          <w:b/>
        </w:rPr>
        <w:t xml:space="preserve">1. Recall de segurança não atendido. </w:t>
      </w:r>
      <w:r>
        <w:rPr>
          <w:rFonts w:ascii="Barlow" w:eastAsia="Barlow" w:hAnsi="Barlow" w:cs="Barlow"/>
        </w:rPr>
        <w:t xml:space="preserve">A primeira ré vendeu o veículo com recall pendente — anotado no próprio CRLV/2024, antes da venda e em seu nome —, sem informar o autor, </w:t>
      </w:r>
      <w:r>
        <w:rPr>
          <w:rFonts w:ascii="Barlow" w:eastAsia="Barlow" w:hAnsi="Barlow" w:cs="Barlow"/>
        </w:rPr>
        <w:lastRenderedPageBreak/>
        <w:t xml:space="preserve">o que torna o bem </w:t>
      </w:r>
      <w:r>
        <w:rPr>
          <w:rFonts w:ascii="Barlow" w:eastAsia="Barlow" w:hAnsi="Barlow" w:cs="Barlow"/>
          <w:b/>
        </w:rPr>
        <w:t>impróprio e inseguro ao uso</w:t>
      </w:r>
      <w:r>
        <w:rPr>
          <w:rFonts w:ascii="Barlow" w:eastAsia="Barlow" w:hAnsi="Barlow" w:cs="Barlow"/>
        </w:rPr>
        <w:t xml:space="preserve"> e autoriza a </w:t>
      </w:r>
      <w:r>
        <w:rPr>
          <w:rFonts w:ascii="Barlow" w:eastAsia="Barlow" w:hAnsi="Barlow" w:cs="Barlow"/>
          <w:b/>
        </w:rPr>
        <w:t>rescisão com restituição</w:t>
      </w:r>
      <w:r>
        <w:rPr>
          <w:rFonts w:ascii="Barlow" w:eastAsia="Barlow" w:hAnsi="Barlow" w:cs="Barlow"/>
        </w:rPr>
        <w:t xml:space="preserve"> (CDC, arts. 8º, 12 e 18).</w:t>
      </w:r>
    </w:p>
    <w:p w14:paraId="2982660F" w14:textId="77777777" w:rsidR="00041E14" w:rsidRDefault="00000000">
      <w:pPr>
        <w:spacing w:after="120" w:line="240" w:lineRule="auto"/>
        <w:ind w:left="709"/>
        <w:jc w:val="both"/>
      </w:pPr>
      <w:r>
        <w:rPr>
          <w:rFonts w:ascii="Barlow" w:eastAsia="Barlow" w:hAnsi="Barlow" w:cs="Barlow"/>
          <w:b/>
        </w:rPr>
        <w:t xml:space="preserve">2. Documento bloqueado, veículo indisponível. </w:t>
      </w:r>
      <w:r>
        <w:rPr>
          <w:rFonts w:ascii="Barlow" w:eastAsia="Barlow" w:hAnsi="Barlow" w:cs="Barlow"/>
        </w:rPr>
        <w:t xml:space="preserve">Por força do recall (CTB, art. 131, §§ 4º e 5º), o veículo </w:t>
      </w:r>
      <w:r>
        <w:rPr>
          <w:rFonts w:ascii="Barlow" w:eastAsia="Barlow" w:hAnsi="Barlow" w:cs="Barlow"/>
          <w:b/>
        </w:rPr>
        <w:t>não pode ser licenciado nem transferido</w:t>
      </w:r>
      <w:r>
        <w:rPr>
          <w:rFonts w:ascii="Barlow" w:eastAsia="Barlow" w:hAnsi="Barlow" w:cs="Barlow"/>
        </w:rPr>
        <w:t xml:space="preserve"> e circula sob </w:t>
      </w:r>
      <w:r>
        <w:rPr>
          <w:rFonts w:ascii="Barlow" w:eastAsia="Barlow" w:hAnsi="Barlow" w:cs="Barlow"/>
          <w:b/>
        </w:rPr>
        <w:t>risco de apreensão</w:t>
      </w:r>
      <w:r>
        <w:rPr>
          <w:rFonts w:ascii="Barlow" w:eastAsia="Barlow" w:hAnsi="Barlow" w:cs="Barlow"/>
        </w:rPr>
        <w:t xml:space="preserve"> — o autor paga por um bem que não pode usar.</w:t>
      </w:r>
    </w:p>
    <w:p w14:paraId="0A921C94" w14:textId="77777777" w:rsidR="00041E14" w:rsidRDefault="00000000">
      <w:pPr>
        <w:spacing w:after="120" w:line="240" w:lineRule="auto"/>
        <w:ind w:left="709"/>
        <w:jc w:val="both"/>
      </w:pPr>
      <w:r>
        <w:rPr>
          <w:rFonts w:ascii="Barlow" w:eastAsia="Barlow" w:hAnsi="Barlow" w:cs="Barlow"/>
          <w:b/>
        </w:rPr>
        <w:t xml:space="preserve">3. Venda casada (despachante). </w:t>
      </w:r>
      <w:r>
        <w:rPr>
          <w:rFonts w:ascii="Barlow" w:eastAsia="Barlow" w:hAnsi="Barlow" w:cs="Barlow"/>
        </w:rPr>
        <w:t xml:space="preserve">A imposição do despachante (R$ 1.590,00), indicado pela própria vendedora, é </w:t>
      </w:r>
      <w:r>
        <w:rPr>
          <w:rFonts w:ascii="Barlow" w:eastAsia="Barlow" w:hAnsi="Barlow" w:cs="Barlow"/>
          <w:b/>
        </w:rPr>
        <w:t>prática abusiva</w:t>
      </w:r>
      <w:r>
        <w:rPr>
          <w:rFonts w:ascii="Barlow" w:eastAsia="Barlow" w:hAnsi="Barlow" w:cs="Barlow"/>
        </w:rPr>
        <w:t xml:space="preserve"> (venda casada, CDC, art. 39, I), com </w:t>
      </w:r>
      <w:r>
        <w:rPr>
          <w:rFonts w:ascii="Barlow" w:eastAsia="Barlow" w:hAnsi="Barlow" w:cs="Barlow"/>
          <w:b/>
        </w:rPr>
        <w:t>restituição em dobro</w:t>
      </w:r>
      <w:r>
        <w:rPr>
          <w:rFonts w:ascii="Barlow" w:eastAsia="Barlow" w:hAnsi="Barlow" w:cs="Barlow"/>
        </w:rPr>
        <w:t xml:space="preserve"> (EAREsp 676.608/RS).</w:t>
      </w:r>
    </w:p>
    <w:p w14:paraId="225F060D" w14:textId="77777777" w:rsidR="00041E14" w:rsidRDefault="00000000">
      <w:pPr>
        <w:spacing w:after="120" w:line="240" w:lineRule="auto"/>
        <w:ind w:left="709"/>
        <w:jc w:val="both"/>
      </w:pPr>
      <w:r>
        <w:rPr>
          <w:rFonts w:ascii="Barlow" w:eastAsia="Barlow" w:hAnsi="Barlow" w:cs="Barlow"/>
          <w:b/>
        </w:rPr>
        <w:t xml:space="preserve">4. Coligação e financiamento. </w:t>
      </w:r>
      <w:r>
        <w:rPr>
          <w:rFonts w:ascii="Barlow" w:eastAsia="Barlow" w:hAnsi="Barlow" w:cs="Barlow"/>
        </w:rPr>
        <w:t xml:space="preserve">A compra e o financiamento são </w:t>
      </w:r>
      <w:r>
        <w:rPr>
          <w:rFonts w:ascii="Barlow" w:eastAsia="Barlow" w:hAnsi="Barlow" w:cs="Barlow"/>
          <w:b/>
        </w:rPr>
        <w:t>contratos coligados</w:t>
      </w:r>
      <w:r>
        <w:rPr>
          <w:rFonts w:ascii="Barlow" w:eastAsia="Barlow" w:hAnsi="Barlow" w:cs="Barlow"/>
        </w:rPr>
        <w:t xml:space="preserve"> (CDC, art. 54-F) — o crédito foi aprovado na própria loja, pela vendedora. O banco integra a lide apenas como </w:t>
      </w:r>
      <w:r>
        <w:rPr>
          <w:rFonts w:ascii="Barlow" w:eastAsia="Barlow" w:hAnsi="Barlow" w:cs="Barlow"/>
          <w:b/>
        </w:rPr>
        <w:t>litisconsorte necessário, sem pedido condenatório</w:t>
      </w:r>
      <w:r>
        <w:rPr>
          <w:rFonts w:ascii="Barlow" w:eastAsia="Barlow" w:hAnsi="Barlow" w:cs="Barlow"/>
        </w:rPr>
        <w:t>; cabe à Movida quitar o saldo e, então, baixar-se o gravame.</w:t>
      </w:r>
    </w:p>
    <w:p w14:paraId="3277E19D" w14:textId="77777777" w:rsidR="00041E14" w:rsidRDefault="00000000">
      <w:pPr>
        <w:spacing w:after="120" w:line="240" w:lineRule="auto"/>
        <w:ind w:left="709"/>
        <w:jc w:val="both"/>
      </w:pPr>
      <w:r>
        <w:rPr>
          <w:rFonts w:ascii="Barlow" w:eastAsia="Barlow" w:hAnsi="Barlow" w:cs="Barlow"/>
          <w:b/>
        </w:rPr>
        <w:t xml:space="preserve">5. Danos e tutela de urgência. </w:t>
      </w:r>
      <w:r>
        <w:rPr>
          <w:rFonts w:ascii="Barlow" w:eastAsia="Barlow" w:hAnsi="Barlow" w:cs="Barlow"/>
        </w:rPr>
        <w:t xml:space="preserve">Pede-se a </w:t>
      </w:r>
      <w:r>
        <w:rPr>
          <w:rFonts w:ascii="Barlow" w:eastAsia="Barlow" w:hAnsi="Barlow" w:cs="Barlow"/>
          <w:b/>
        </w:rPr>
        <w:t>restituição de tudo que foi pago</w:t>
      </w:r>
      <w:r>
        <w:rPr>
          <w:rFonts w:ascii="Barlow" w:eastAsia="Barlow" w:hAnsi="Barlow" w:cs="Barlow"/>
        </w:rPr>
        <w:t xml:space="preserve"> (entrada, parcelas, conserto e multa), </w:t>
      </w:r>
      <w:r>
        <w:rPr>
          <w:rFonts w:ascii="Barlow" w:eastAsia="Barlow" w:hAnsi="Barlow" w:cs="Barlow"/>
          <w:b/>
        </w:rPr>
        <w:t>danos morais</w:t>
      </w:r>
      <w:r>
        <w:rPr>
          <w:rFonts w:ascii="Barlow" w:eastAsia="Barlow" w:hAnsi="Barlow" w:cs="Barlow"/>
        </w:rPr>
        <w:t xml:space="preserve"> pelo risco à vida da família e, em tutela de urgência, o </w:t>
      </w:r>
      <w:r>
        <w:rPr>
          <w:rFonts w:ascii="Barlow" w:eastAsia="Barlow" w:hAnsi="Barlow" w:cs="Barlow"/>
          <w:b/>
        </w:rPr>
        <w:t>fornecimento de veículo reserva</w:t>
      </w:r>
      <w:r>
        <w:rPr>
          <w:rFonts w:ascii="Barlow" w:eastAsia="Barlow" w:hAnsi="Barlow" w:cs="Barlow"/>
        </w:rPr>
        <w:t xml:space="preserve"> em condições de uso até o fim da lide.</w:t>
      </w:r>
    </w:p>
    <w:p w14:paraId="3C17030D" w14:textId="77777777" w:rsidR="00041E14" w:rsidRDefault="00000000">
      <w:pPr>
        <w:spacing w:after="120" w:line="240" w:lineRule="auto"/>
        <w:jc w:val="both"/>
      </w:pPr>
      <w:r>
        <w:rPr>
          <w:rFonts w:ascii="Barlow" w:eastAsia="Barlow" w:hAnsi="Barlow" w:cs="Barlow"/>
        </w:rPr>
        <w:t>Cada um desses pontos será detidamente discorrido e comprovado pelos fatos e fundamentos jurídicos a seguir destrinchados nesta petição.</w:t>
      </w:r>
    </w:p>
    <w:p w14:paraId="59DCDA58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I – DA GRATUIDADE DA JUSTIÇA</w:t>
      </w:r>
    </w:p>
    <w:p w14:paraId="08B14CE5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>O autor é pessoa física que não dispõe de condições de arcar com as custas e despesas processuais sem prejuízo do próprio sustento e de sua família. Requer, por isso, a concessão dos benefícios da gratuidade da justiça, nos termos do art. 98 do Código de Processo Civil, presumindo-se verdadeira a declaração de hipossuficiência (art. 99, §3º, do CPC), conforme declaração anexa.</w:t>
      </w:r>
    </w:p>
    <w:p w14:paraId="14DFA863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II – DA COMPETÊNCIA</w:t>
      </w:r>
    </w:p>
    <w:p w14:paraId="634BA478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>Tratando-se de relação de consumo, a demanda pode ser ajuizada no foro do domicílio do consumidor, nos termos do art. 101, inciso I, do Código de Defesa do Consumidor — norma de ordem pública destinada a facilitar a defesa do consumidor em juízo. Sendo o autor domiciliado nesta Comarca de Salvador/BA, é este o foro competente para o processamento e julgamento da causa.</w:t>
      </w:r>
    </w:p>
    <w:p w14:paraId="67F18CDF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III – DOS FATOS</w:t>
      </w:r>
    </w:p>
    <w:p w14:paraId="38B63BD3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b/>
          <w:sz w:val="24"/>
          <w:szCs w:val="24"/>
        </w:rPr>
        <w:t>Em 07 de janeiro de 2025</w:t>
      </w:r>
      <w:r>
        <w:rPr>
          <w:rFonts w:ascii="Barlow" w:eastAsia="Barlow" w:hAnsi="Barlow" w:cs="Barlow"/>
          <w:sz w:val="24"/>
          <w:szCs w:val="24"/>
        </w:rPr>
        <w:t xml:space="preserve">, o autor firmou com a segunda ré a Cédula de Crédito Bancário nº 300290805-5, financiando parte do preço em 60 parcelas de R$ 1.593,55, com alienação fiduciária. </w:t>
      </w:r>
      <w:r>
        <w:rPr>
          <w:rFonts w:ascii="Barlow" w:eastAsia="Barlow" w:hAnsi="Barlow" w:cs="Barlow"/>
          <w:b/>
          <w:sz w:val="24"/>
          <w:szCs w:val="24"/>
        </w:rPr>
        <w:t xml:space="preserve">A aprovação do crédito foi obtida pela própria vendedora, </w:t>
      </w:r>
      <w:r>
        <w:rPr>
          <w:rFonts w:ascii="Barlow" w:eastAsia="Barlow" w:hAnsi="Barlow" w:cs="Barlow"/>
          <w:b/>
          <w:sz w:val="24"/>
          <w:szCs w:val="24"/>
        </w:rPr>
        <w:lastRenderedPageBreak/>
        <w:t>que trabalha na Movida — o autor saiu da loja já com o financiamento aprovado</w:t>
      </w:r>
      <w:r>
        <w:rPr>
          <w:rFonts w:ascii="Barlow" w:eastAsia="Barlow" w:hAnsi="Barlow" w:cs="Barlow"/>
          <w:sz w:val="24"/>
          <w:szCs w:val="24"/>
        </w:rPr>
        <w:t xml:space="preserve">, o que evidencia a vinculação entre as rés. No dia seguinte, </w:t>
      </w:r>
      <w:r>
        <w:rPr>
          <w:rFonts w:ascii="Barlow" w:eastAsia="Barlow" w:hAnsi="Barlow" w:cs="Barlow"/>
          <w:b/>
          <w:sz w:val="24"/>
          <w:szCs w:val="24"/>
        </w:rPr>
        <w:t>08/01/2025</w:t>
      </w:r>
      <w:r>
        <w:rPr>
          <w:rFonts w:ascii="Barlow" w:eastAsia="Barlow" w:hAnsi="Barlow" w:cs="Barlow"/>
          <w:sz w:val="24"/>
          <w:szCs w:val="24"/>
        </w:rPr>
        <w:t xml:space="preserve">, adquiriu o FIAT ARGO 1.0 6V FLEX 2022, placa RUC-1D29, chassi 9BD358ACNNYM02269, por R$ 60.335,00 (Contrato nº 752465), pagando R$ 12.000,00 de entrada e R$ 1.590,00 a despachante imposto pela vendedora. A </w:t>
      </w:r>
      <w:r>
        <w:rPr>
          <w:rFonts w:ascii="Barlow" w:eastAsia="Barlow" w:hAnsi="Barlow" w:cs="Barlow"/>
          <w:b/>
          <w:sz w:val="24"/>
          <w:szCs w:val="24"/>
        </w:rPr>
        <w:t>cláusula 6 obrigava a vendedora a transferir o bem</w:t>
      </w:r>
      <w:r>
        <w:rPr>
          <w:rFonts w:ascii="Barlow" w:eastAsia="Barlow" w:hAnsi="Barlow" w:cs="Barlow"/>
          <w:sz w:val="24"/>
          <w:szCs w:val="24"/>
        </w:rPr>
        <w:t>; foram ainda prometidos IPVA quitado, laudo cautelar aprovado, garantia de motor e câmbio e chave reserva (nunca entregue).</w:t>
      </w:r>
    </w:p>
    <w:p w14:paraId="4221EE4F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Logo surgiram os problemas. Entre 13/01 e 14/02/2025, cinco autuações recaíram sobre o veículo, que </w:t>
      </w:r>
      <w:r>
        <w:rPr>
          <w:rFonts w:ascii="Barlow" w:eastAsia="Barlow" w:hAnsi="Barlow" w:cs="Barlow"/>
          <w:b/>
          <w:sz w:val="24"/>
          <w:szCs w:val="24"/>
        </w:rPr>
        <w:t>permanecia registrado em nome da Movida</w:t>
      </w:r>
      <w:r>
        <w:rPr>
          <w:rFonts w:ascii="Barlow" w:eastAsia="Barlow" w:hAnsi="Barlow" w:cs="Barlow"/>
          <w:sz w:val="24"/>
          <w:szCs w:val="24"/>
        </w:rPr>
        <w:t xml:space="preserve">. Sete dias após a retirada (15/01), o carro passou a apresentar trancos e, em 11/03, ruído anormal na direção; comunicados os vícios na garantia, a ré </w:t>
      </w:r>
      <w:r>
        <w:rPr>
          <w:rFonts w:ascii="Barlow" w:eastAsia="Barlow" w:hAnsi="Barlow" w:cs="Barlow"/>
          <w:b/>
          <w:sz w:val="24"/>
          <w:szCs w:val="24"/>
        </w:rPr>
        <w:t>recusou-se a custear o reparo</w:t>
      </w:r>
      <w:r>
        <w:rPr>
          <w:rFonts w:ascii="Barlow" w:eastAsia="Barlow" w:hAnsi="Barlow" w:cs="Barlow"/>
          <w:sz w:val="24"/>
          <w:szCs w:val="24"/>
        </w:rPr>
        <w:t>, arcando o autor com R$ 543,56. Em 14/04/2025 ainda pagou multa de R$ 104,13 para “destravar” a transferência — que jamais se concretizou.</w:t>
      </w:r>
    </w:p>
    <w:p w14:paraId="2AC032AE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loja entregou ao autor o CRLV de 2024 junto com a documentação, mas o autor </w:t>
      </w:r>
      <w:r>
        <w:rPr>
          <w:rFonts w:ascii="Barlow" w:eastAsia="Barlow" w:hAnsi="Barlow" w:cs="Barlow"/>
          <w:b/>
          <w:sz w:val="24"/>
          <w:szCs w:val="24"/>
        </w:rPr>
        <w:t>não se deteve naquele documento</w:t>
      </w:r>
      <w:r>
        <w:rPr>
          <w:rFonts w:ascii="Barlow" w:eastAsia="Barlow" w:hAnsi="Barlow" w:cs="Barlow"/>
          <w:sz w:val="24"/>
          <w:szCs w:val="24"/>
        </w:rPr>
        <w:t xml:space="preserve">: havia pago a transferência e o licenciamento (o certificado seria reemitido em seu nome) e confiou na boa-fé da loja e na aprovação do crédito pelo banco. </w:t>
      </w:r>
      <w:r>
        <w:rPr>
          <w:rFonts w:ascii="Barlow" w:eastAsia="Barlow" w:hAnsi="Barlow" w:cs="Barlow"/>
          <w:b/>
          <w:sz w:val="24"/>
          <w:szCs w:val="24"/>
        </w:rPr>
        <w:t>Por volta de meados de abril de 2025</w:t>
      </w:r>
      <w:r>
        <w:rPr>
          <w:rFonts w:ascii="Barlow" w:eastAsia="Barlow" w:hAnsi="Barlow" w:cs="Barlow"/>
          <w:sz w:val="24"/>
          <w:szCs w:val="24"/>
        </w:rPr>
        <w:t xml:space="preserve">, ao relatar os defeitos a um colega, este examinou o CRLV e percebeu a anotação “RECALL NÃO ATENDIDO” — constante do documento emitido em 10/03/2024, </w:t>
      </w:r>
      <w:r>
        <w:rPr>
          <w:rFonts w:ascii="Barlow" w:eastAsia="Barlow" w:hAnsi="Barlow" w:cs="Barlow"/>
          <w:b/>
          <w:sz w:val="24"/>
          <w:szCs w:val="24"/>
        </w:rPr>
        <w:t>antes da venda e em nome da própria Movida</w:t>
      </w:r>
      <w:r>
        <w:rPr>
          <w:rFonts w:ascii="Barlow" w:eastAsia="Barlow" w:hAnsi="Barlow" w:cs="Barlow"/>
          <w:sz w:val="24"/>
          <w:szCs w:val="24"/>
        </w:rPr>
        <w:t xml:space="preserve"> (o CRLV de 2022 trazia “SEM OBSERVAÇÕES”). Nas tratativas com a vendedora (mensagens anexas) jamais se mencionou o recall, nem pela loja nem pelo autor, que dele não sabia. Reproduz-se o documento:</w:t>
      </w:r>
    </w:p>
    <w:p w14:paraId="2A64F8DB" w14:textId="77777777" w:rsidR="00041E14" w:rsidRDefault="00000000">
      <w:pPr>
        <w:spacing w:before="80" w:after="60" w:line="240" w:lineRule="auto"/>
        <w:jc w:val="center"/>
      </w:pPr>
      <w:r>
        <w:rPr>
          <w:rFonts w:ascii="Barlow" w:eastAsia="Barlow" w:hAnsi="Barlow" w:cs="Barlow"/>
          <w:noProof/>
        </w:rPr>
        <w:lastRenderedPageBreak/>
        <w:drawing>
          <wp:inline distT="0" distB="0" distL="0" distR="0" wp14:anchorId="5879F361" wp14:editId="597AC653">
            <wp:extent cx="4937760" cy="2401440"/>
            <wp:effectExtent l="0" t="0" r="0" b="0"/>
            <wp:docPr id="77" name="CRLV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CRLV20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382" w14:textId="77777777" w:rsidR="00041E14" w:rsidRDefault="00000000">
      <w:pPr>
        <w:spacing w:after="200" w:line="360" w:lineRule="auto"/>
        <w:jc w:val="center"/>
      </w:pPr>
      <w:r>
        <w:rPr>
          <w:rFonts w:ascii="Barlow" w:eastAsia="Barlow" w:hAnsi="Barlow" w:cs="Barlow"/>
          <w:i/>
          <w:sz w:val="20"/>
          <w:szCs w:val="20"/>
        </w:rPr>
        <w:t>(CRLV/2024 — placa RUC-1D29 —, com a anotação “RECALL NÃO ATENDIDO” no campo Observações.)</w:t>
      </w:r>
    </w:p>
    <w:p w14:paraId="1C128D25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gravidade ficou clara quando </w:t>
      </w:r>
      <w:r>
        <w:rPr>
          <w:rFonts w:ascii="Barlow" w:eastAsia="Barlow" w:hAnsi="Barlow" w:cs="Barlow"/>
          <w:b/>
          <w:sz w:val="24"/>
          <w:szCs w:val="24"/>
        </w:rPr>
        <w:t>um sinistro não pôde ser reparado pela seguradora</w:t>
      </w:r>
      <w:r>
        <w:rPr>
          <w:rFonts w:ascii="Barlow" w:eastAsia="Barlow" w:hAnsi="Barlow" w:cs="Barlow"/>
          <w:sz w:val="24"/>
          <w:szCs w:val="24"/>
        </w:rPr>
        <w:t xml:space="preserve">, que exigiu a titularidade em nome do autor — impossível pela omissão da Movida. Eis o cerne: vendeu-se um bem inseguro, com recall ocultado, que o autor </w:t>
      </w:r>
      <w:r>
        <w:rPr>
          <w:rFonts w:ascii="Barlow" w:eastAsia="Barlow" w:hAnsi="Barlow" w:cs="Barlow"/>
          <w:b/>
          <w:sz w:val="24"/>
          <w:szCs w:val="24"/>
        </w:rPr>
        <w:t>não pode licenciar nem transferir, e pelo qual segue pagando (17 parcelas, R$ 27.090,35)</w:t>
      </w:r>
      <w:r>
        <w:rPr>
          <w:rFonts w:ascii="Barlow" w:eastAsia="Barlow" w:hAnsi="Barlow" w:cs="Barlow"/>
          <w:sz w:val="24"/>
          <w:szCs w:val="24"/>
        </w:rPr>
        <w:t>, sem dele usufruir com segurança.</w:t>
      </w:r>
    </w:p>
    <w:p w14:paraId="0EBD954B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IV – DO DIREITO</w:t>
      </w:r>
    </w:p>
    <w:p w14:paraId="1A15115A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IV.1 – Relação de consumo e garantia do bem usado</w:t>
      </w:r>
    </w:p>
    <w:p w14:paraId="35475887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>Aplica-se o CDC: o autor é destinatário final (art. 2º) e a primeira ré insere veículos no mercado (art. 3º), com responsabilidade objetiva (arts. 12 e 14) e inversão do ônus (art. 6º, VIII). A garantia legal incide mesmo sobre o usado, não bastando o desgaste natural para afastá-la (STJ, REsp 1.661.913/MG, Rel. Min. Luis Felipe Salomão, j. 20/10/2020).</w:t>
      </w:r>
    </w:p>
    <w:p w14:paraId="0D1BFAAE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IV.2 – Recall não atendido: vício de segurança, bem impróprio e documento bloqueado</w:t>
      </w:r>
    </w:p>
    <w:p w14:paraId="056C8B34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O recall de segurança não atendido não é vício comum: é </w:t>
      </w:r>
      <w:r>
        <w:rPr>
          <w:rFonts w:ascii="Barlow" w:eastAsia="Barlow" w:hAnsi="Barlow" w:cs="Barlow"/>
          <w:b/>
          <w:sz w:val="24"/>
          <w:szCs w:val="24"/>
        </w:rPr>
        <w:t>defeito de segurança</w:t>
      </w:r>
      <w:r>
        <w:rPr>
          <w:rFonts w:ascii="Barlow" w:eastAsia="Barlow" w:hAnsi="Barlow" w:cs="Barlow"/>
          <w:sz w:val="24"/>
          <w:szCs w:val="24"/>
        </w:rPr>
        <w:t xml:space="preserve"> que torna o bem </w:t>
      </w:r>
      <w:r>
        <w:rPr>
          <w:rFonts w:ascii="Barlow" w:eastAsia="Barlow" w:hAnsi="Barlow" w:cs="Barlow"/>
          <w:b/>
          <w:sz w:val="24"/>
          <w:szCs w:val="24"/>
        </w:rPr>
        <w:t>impróprio e inseguro ao uso</w:t>
      </w:r>
      <w:r>
        <w:rPr>
          <w:rFonts w:ascii="Barlow" w:eastAsia="Barlow" w:hAnsi="Barlow" w:cs="Barlow"/>
          <w:sz w:val="24"/>
          <w:szCs w:val="24"/>
        </w:rPr>
        <w:t xml:space="preserve"> (arts. 8º, 10 e 18 do CDC), provado por documento oficial — o CRLV/2024, anterior à venda e em nome da Movida. Mais que isso, por imposição legal (CTB, art. 131, §§ 4º e 5º), </w:t>
      </w:r>
      <w:r>
        <w:rPr>
          <w:rFonts w:ascii="Barlow" w:eastAsia="Barlow" w:hAnsi="Barlow" w:cs="Barlow"/>
          <w:b/>
          <w:sz w:val="24"/>
          <w:szCs w:val="24"/>
        </w:rPr>
        <w:t>o veículo com recall pendente só pode ser licenciado após o atendimento da campanha</w:t>
      </w:r>
      <w:r>
        <w:rPr>
          <w:rFonts w:ascii="Barlow" w:eastAsia="Barlow" w:hAnsi="Barlow" w:cs="Barlow"/>
          <w:sz w:val="24"/>
          <w:szCs w:val="24"/>
        </w:rPr>
        <w:t xml:space="preserve">; sem licenciamento não há transferência, </w:t>
      </w:r>
      <w:r>
        <w:rPr>
          <w:rFonts w:ascii="Barlow" w:eastAsia="Barlow" w:hAnsi="Barlow" w:cs="Barlow"/>
          <w:sz w:val="24"/>
          <w:szCs w:val="24"/>
        </w:rPr>
        <w:lastRenderedPageBreak/>
        <w:t xml:space="preserve">e o bem fica juridicamente indisponível e </w:t>
      </w:r>
      <w:r>
        <w:rPr>
          <w:rFonts w:ascii="Barlow" w:eastAsia="Barlow" w:hAnsi="Barlow" w:cs="Barlow"/>
          <w:b/>
          <w:sz w:val="24"/>
          <w:szCs w:val="24"/>
        </w:rPr>
        <w:t>sujeito a apreensão (CTB, arts. 230, V, e 231)</w:t>
      </w:r>
      <w:r>
        <w:rPr>
          <w:rFonts w:ascii="Barlow" w:eastAsia="Barlow" w:hAnsi="Barlow" w:cs="Barlow"/>
          <w:sz w:val="24"/>
          <w:szCs w:val="24"/>
        </w:rPr>
        <w:t>. O autor, em suma, não pode licenciar, transferir nem usar com segurança o que paga. A alienação de veículo com recall pendente autoriza a rescisão com restituição, independentemente de o carro ainda “rodar”:</w:t>
      </w:r>
    </w:p>
    <w:p w14:paraId="302500E4" w14:textId="77777777" w:rsidR="00041E14" w:rsidRDefault="00000000">
      <w:pPr>
        <w:pBdr>
          <w:left w:val="single" w:sz="24" w:space="10" w:color="2E3A4B"/>
        </w:pBdr>
        <w:shd w:val="clear" w:color="auto" w:fill="EEF1F5"/>
        <w:spacing w:after="140" w:line="252" w:lineRule="auto"/>
        <w:ind w:left="300" w:right="200"/>
        <w:jc w:val="both"/>
      </w:pPr>
      <w:r>
        <w:rPr>
          <w:rFonts w:ascii="Barlow" w:eastAsia="Barlow" w:hAnsi="Barlow" w:cs="Barlow"/>
        </w:rPr>
        <w:t xml:space="preserve">APELAÇÃO CÍVEL. RELAÇÃO DE CONSUMO. (...) COMPRA DE VEÍCULO USADO. VÍCIO OCULTO. </w:t>
      </w:r>
      <w:r>
        <w:rPr>
          <w:rFonts w:ascii="Barlow" w:eastAsia="Barlow" w:hAnsi="Barlow" w:cs="Barlow"/>
          <w:b/>
          <w:sz w:val="24"/>
          <w:szCs w:val="24"/>
          <w:shd w:val="clear" w:color="auto" w:fill="FFF1A8"/>
        </w:rPr>
        <w:t>PERDA DA CONFIANÇA NO PRODUTO. RESPONSABILIDADE OBJETIVA. DANO MORAL CONFIGURADO.</w:t>
      </w:r>
      <w:r>
        <w:rPr>
          <w:rFonts w:ascii="Barlow" w:eastAsia="Barlow" w:hAnsi="Barlow" w:cs="Barlow"/>
        </w:rPr>
        <w:t xml:space="preserve"> (...) RECURSO NÃO PROVIDO. (TJBA, Apelação 8027256-89.2022.8.05.0001, Quinta Câmara Cível, Rel. Des. Josevando Souza Andrade, publicado em 04/04/2024.)</w:t>
      </w:r>
    </w:p>
    <w:p w14:paraId="169FEABF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IV.3 – Prova pré-constituída e documental: desnecessidade de perícia</w:t>
      </w:r>
    </w:p>
    <w:p w14:paraId="0FFD528B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causa resolve-se por </w:t>
      </w:r>
      <w:r>
        <w:rPr>
          <w:rFonts w:ascii="Barlow" w:eastAsia="Barlow" w:hAnsi="Barlow" w:cs="Barlow"/>
          <w:b/>
          <w:sz w:val="24"/>
          <w:szCs w:val="24"/>
        </w:rPr>
        <w:t>prova pré-constituída e exclusivamente documental</w:t>
      </w:r>
      <w:r>
        <w:rPr>
          <w:rFonts w:ascii="Barlow" w:eastAsia="Barlow" w:hAnsi="Barlow" w:cs="Barlow"/>
          <w:sz w:val="24"/>
          <w:szCs w:val="24"/>
        </w:rPr>
        <w:t>: o recall está no CRLV (documento público) e o bloqueio decorre da simples aplicação da lei a esse documento. Nada há a periciar; o vício mecânico, ademais, já foi consertado. Cabe o julgamento antecipado (art. 355, I, do CPC).</w:t>
      </w:r>
    </w:p>
    <w:p w14:paraId="045457F8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IV.4 – Falha no serviço de transferência e omissão do dever de informar</w:t>
      </w:r>
    </w:p>
    <w:p w14:paraId="32BF84C9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fornecedora assumiu a transferência (cláusula 6) e não a cumpriu — falha de serviço que a responsabiliza objetivamente (art. 14). Soma-se a </w:t>
      </w:r>
      <w:r>
        <w:rPr>
          <w:rFonts w:ascii="Barlow" w:eastAsia="Barlow" w:hAnsi="Barlow" w:cs="Barlow"/>
          <w:b/>
          <w:sz w:val="24"/>
          <w:szCs w:val="24"/>
        </w:rPr>
        <w:t>grave omissão do dever de informar o recall</w:t>
      </w:r>
      <w:r>
        <w:rPr>
          <w:rFonts w:ascii="Barlow" w:eastAsia="Barlow" w:hAnsi="Barlow" w:cs="Barlow"/>
          <w:sz w:val="24"/>
          <w:szCs w:val="24"/>
        </w:rPr>
        <w:t xml:space="preserve"> (arts. 6º, III, 30 e 31 do CDC): tratando-se de risco à segurança, a informação é de ordem pública e cabia à ré, não ao consumidor — o que afasta a alegação de que o defeito “constava do documento”.</w:t>
      </w:r>
    </w:p>
    <w:p w14:paraId="7855D5A1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IV.5 – Venda casada do despachante e cláusula “no estado”</w:t>
      </w:r>
    </w:p>
    <w:p w14:paraId="0FF16DB0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cobrança de R$ 1.590,00 de despachante, imposta pela vendedora, é </w:t>
      </w:r>
      <w:r>
        <w:rPr>
          <w:rFonts w:ascii="Barlow" w:eastAsia="Barlow" w:hAnsi="Barlow" w:cs="Barlow"/>
          <w:b/>
          <w:sz w:val="24"/>
          <w:szCs w:val="24"/>
        </w:rPr>
        <w:t>venda casada</w:t>
      </w:r>
      <w:r>
        <w:rPr>
          <w:rFonts w:ascii="Barlow" w:eastAsia="Barlow" w:hAnsi="Barlow" w:cs="Barlow"/>
          <w:sz w:val="24"/>
          <w:szCs w:val="24"/>
        </w:rPr>
        <w:t xml:space="preserve"> (art. 39, I, do CDC), nula (art. 51, IV) e restituível </w:t>
      </w:r>
      <w:r>
        <w:rPr>
          <w:rFonts w:ascii="Barlow" w:eastAsia="Barlow" w:hAnsi="Barlow" w:cs="Barlow"/>
          <w:b/>
          <w:sz w:val="24"/>
          <w:szCs w:val="24"/>
        </w:rPr>
        <w:t>em dobro (R$ 3.180,00)</w:t>
      </w:r>
      <w:r>
        <w:rPr>
          <w:rFonts w:ascii="Barlow" w:eastAsia="Barlow" w:hAnsi="Barlow" w:cs="Barlow"/>
          <w:sz w:val="24"/>
          <w:szCs w:val="24"/>
        </w:rPr>
        <w:t>, por ser posterior a 30/03/2021 (STJ, EAREsp 676.608/RS). Eventual cláusula de aceitação “no estado” é nula (art. 51) e não certifica a inexistência de vício oculto, que por definição não é perceptível na entrega.</w:t>
      </w:r>
    </w:p>
    <w:p w14:paraId="3C09B781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lastRenderedPageBreak/>
        <w:t>IV.6 – Tempestividade: afastamento da decadência</w:t>
      </w:r>
    </w:p>
    <w:p w14:paraId="5BD19D0A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Não há decadência. O prazo do art. 26 do CDC, em vício oculto, conta-se da </w:t>
      </w:r>
      <w:r>
        <w:rPr>
          <w:rFonts w:ascii="Barlow" w:eastAsia="Barlow" w:hAnsi="Barlow" w:cs="Barlow"/>
          <w:b/>
          <w:sz w:val="24"/>
          <w:szCs w:val="24"/>
        </w:rPr>
        <w:t>ciência do defeito (art. 26, §3º), ocorrida por volta de abril de 2025</w:t>
      </w:r>
      <w:r>
        <w:rPr>
          <w:rFonts w:ascii="Barlow" w:eastAsia="Barlow" w:hAnsi="Barlow" w:cs="Barlow"/>
          <w:sz w:val="24"/>
          <w:szCs w:val="24"/>
        </w:rPr>
        <w:t>, quando o colega percebeu o recall no CRLV. Até então o autor agiu de boa-fé, confiando na loja e na aprovação do crédito; reclamou, ademais, ainda na garantia.</w:t>
      </w:r>
    </w:p>
    <w:p w14:paraId="138265EC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IV.7 – Coligação contratual e o banco como litisconsorte necessário</w:t>
      </w:r>
    </w:p>
    <w:p w14:paraId="0C8CC7AF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compra e o financiamento são </w:t>
      </w:r>
      <w:r>
        <w:rPr>
          <w:rFonts w:ascii="Barlow" w:eastAsia="Barlow" w:hAnsi="Barlow" w:cs="Barlow"/>
          <w:b/>
          <w:sz w:val="24"/>
          <w:szCs w:val="24"/>
        </w:rPr>
        <w:t>contratos coligados</w:t>
      </w:r>
      <w:r>
        <w:rPr>
          <w:rFonts w:ascii="Barlow" w:eastAsia="Barlow" w:hAnsi="Barlow" w:cs="Barlow"/>
          <w:sz w:val="24"/>
          <w:szCs w:val="24"/>
        </w:rPr>
        <w:t xml:space="preserve"> (art. 54-F do CDC): o crédito foi </w:t>
      </w:r>
      <w:r>
        <w:rPr>
          <w:rFonts w:ascii="Barlow" w:eastAsia="Barlow" w:hAnsi="Barlow" w:cs="Barlow"/>
          <w:b/>
          <w:sz w:val="24"/>
          <w:szCs w:val="24"/>
        </w:rPr>
        <w:t>oferecido e aprovado na própria revenda, pela vendedora da Movida</w:t>
      </w:r>
      <w:r>
        <w:rPr>
          <w:rFonts w:ascii="Barlow" w:eastAsia="Barlow" w:hAnsi="Barlow" w:cs="Barlow"/>
          <w:sz w:val="24"/>
          <w:szCs w:val="24"/>
        </w:rPr>
        <w:t xml:space="preserve"> (incisos I e II), e a CCB nomeia a filial “MOV Salvador Paralela”. Verificada a inexecução da fornecedora, o §2º autoriza a rescisão do crédito coligado, atingindo o financiamento o vício que desfaz a compra (REsp 1.406.245/SP). A ressalva do “banco de varejo” (REsp 1.946.388/SP) não se aplica, dada a vinculação concreta entre as rés — para demonstrá-la, requer-se a exibição do convênio entre elas (arts. 396 e 400 do CPC).</w:t>
      </w:r>
    </w:p>
    <w:p w14:paraId="0FD539DA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b/>
          <w:sz w:val="24"/>
          <w:szCs w:val="24"/>
        </w:rPr>
        <w:t>Não se formula pedido condenatório contra o banco</w:t>
      </w:r>
      <w:r>
        <w:rPr>
          <w:rFonts w:ascii="Barlow" w:eastAsia="Barlow" w:hAnsi="Barlow" w:cs="Barlow"/>
          <w:sz w:val="24"/>
          <w:szCs w:val="24"/>
        </w:rPr>
        <w:t xml:space="preserve">: ele integra a lide apenas como </w:t>
      </w:r>
      <w:r>
        <w:rPr>
          <w:rFonts w:ascii="Barlow" w:eastAsia="Barlow" w:hAnsi="Barlow" w:cs="Barlow"/>
          <w:b/>
          <w:sz w:val="24"/>
          <w:szCs w:val="24"/>
        </w:rPr>
        <w:t>litisconsorte passivo necessário</w:t>
      </w:r>
      <w:r>
        <w:rPr>
          <w:rFonts w:ascii="Barlow" w:eastAsia="Barlow" w:hAnsi="Barlow" w:cs="Barlow"/>
          <w:sz w:val="24"/>
          <w:szCs w:val="24"/>
        </w:rPr>
        <w:t xml:space="preserve"> — tanto que pretensão idêntica, no Juizado Especial, foi </w:t>
      </w:r>
      <w:r>
        <w:rPr>
          <w:rFonts w:ascii="Barlow" w:eastAsia="Barlow" w:hAnsi="Barlow" w:cs="Barlow"/>
          <w:b/>
          <w:sz w:val="24"/>
          <w:szCs w:val="24"/>
        </w:rPr>
        <w:t>julgada procedente em 1º grau</w:t>
      </w:r>
      <w:r>
        <w:rPr>
          <w:rFonts w:ascii="Barlow" w:eastAsia="Barlow" w:hAnsi="Barlow" w:cs="Barlow"/>
          <w:sz w:val="24"/>
          <w:szCs w:val="24"/>
        </w:rPr>
        <w:t xml:space="preserve"> (foco no vício oculto) e extinta em 2º grau só por sua ausência no polo (sem coisa julgada, art. 486 do CPC; sentença anexa). Pretende-se apenas que, quitado o saldo pela Movida, a relação se extinga e o banco baixe o gravame (art. 114 do CPC).</w:t>
      </w:r>
    </w:p>
    <w:p w14:paraId="0219194B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t>IV.8 – Danos materiais</w:t>
      </w:r>
    </w:p>
    <w:p w14:paraId="17EC1576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A primeira ré recebeu o valor integral do veículo (entrada e taxas do autor, saldo do banco). Deve, pois, </w:t>
      </w:r>
      <w:r>
        <w:rPr>
          <w:rFonts w:ascii="Barlow" w:eastAsia="Barlow" w:hAnsi="Barlow" w:cs="Barlow"/>
          <w:b/>
          <w:sz w:val="24"/>
          <w:szCs w:val="24"/>
        </w:rPr>
        <w:t>restituir tudo que o autor desembolsou</w:t>
      </w:r>
      <w:r>
        <w:rPr>
          <w:rFonts w:ascii="Barlow" w:eastAsia="Barlow" w:hAnsi="Barlow" w:cs="Barlow"/>
          <w:sz w:val="24"/>
          <w:szCs w:val="24"/>
        </w:rPr>
        <w:t xml:space="preserve">: entrada (R$ 12.000,00); parcelas pagas (R$ 27.090,35, mais as vincendas — art. 323 do CPC); conserto (R$ 543,56); multa (R$ 104,13); e o despachante em dobro (R$ 3.180,00) — corrigidos pelo IPCA e com juros desde a citação (memória de cálculo anexa) —, e </w:t>
      </w:r>
      <w:r>
        <w:rPr>
          <w:rFonts w:ascii="Barlow" w:eastAsia="Barlow" w:hAnsi="Barlow" w:cs="Barlow"/>
          <w:b/>
          <w:sz w:val="24"/>
          <w:szCs w:val="24"/>
        </w:rPr>
        <w:t>quitar o saldo remanescente do financiamento</w:t>
      </w:r>
      <w:r>
        <w:rPr>
          <w:rFonts w:ascii="Barlow" w:eastAsia="Barlow" w:hAnsi="Barlow" w:cs="Barlow"/>
          <w:sz w:val="24"/>
          <w:szCs w:val="24"/>
        </w:rPr>
        <w:t>, liberando o autor.</w:t>
      </w:r>
    </w:p>
    <w:p w14:paraId="570000B9" w14:textId="77777777" w:rsidR="00041E14" w:rsidRDefault="00000000">
      <w:pPr>
        <w:keepNext/>
        <w:keepLines/>
        <w:pBdr>
          <w:bottom w:val="single" w:sz="6" w:space="4" w:color="C7D0DA"/>
        </w:pBdr>
        <w:spacing w:before="180" w:after="90" w:line="360" w:lineRule="auto"/>
        <w:jc w:val="both"/>
      </w:pPr>
      <w:r>
        <w:rPr>
          <w:rFonts w:ascii="Barlow" w:eastAsia="Barlow" w:hAnsi="Barlow" w:cs="Barlow"/>
          <w:b/>
          <w:color w:val="2E3A4B"/>
          <w:sz w:val="23"/>
          <w:szCs w:val="23"/>
        </w:rPr>
        <w:lastRenderedPageBreak/>
        <w:t>IV.9 – Danos morais</w:t>
      </w:r>
    </w:p>
    <w:p w14:paraId="3628942C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O caso supera o mero aborrecimento. </w:t>
      </w:r>
      <w:r>
        <w:rPr>
          <w:rFonts w:ascii="Barlow" w:eastAsia="Barlow" w:hAnsi="Barlow" w:cs="Barlow"/>
          <w:b/>
          <w:sz w:val="24"/>
          <w:szCs w:val="24"/>
        </w:rPr>
        <w:t>O autor e sua família trafegaram por meses em veículo com recall de segurança não atendido</w:t>
      </w:r>
      <w:r>
        <w:rPr>
          <w:rFonts w:ascii="Barlow" w:eastAsia="Barlow" w:hAnsi="Barlow" w:cs="Barlow"/>
          <w:sz w:val="24"/>
          <w:szCs w:val="24"/>
        </w:rPr>
        <w:t xml:space="preserve">, sem o saber — exposição concreta a risco de vida, por omissão deliberada da fornecedora. A lesão a direitos da personalidade é </w:t>
      </w:r>
      <w:r>
        <w:rPr>
          <w:rFonts w:ascii="Barlow" w:eastAsia="Barlow" w:hAnsi="Barlow" w:cs="Barlow"/>
          <w:i/>
          <w:sz w:val="24"/>
          <w:szCs w:val="24"/>
        </w:rPr>
        <w:t>in re ipsa</w:t>
      </w:r>
      <w:r>
        <w:rPr>
          <w:rFonts w:ascii="Barlow" w:eastAsia="Barlow" w:hAnsi="Barlow" w:cs="Barlow"/>
          <w:sz w:val="24"/>
          <w:szCs w:val="24"/>
        </w:rPr>
        <w:t>, e a jurisprudência fixa, em casos análogos, indenização de R$ 15.000,00:</w:t>
      </w:r>
    </w:p>
    <w:p w14:paraId="4DC92317" w14:textId="77777777" w:rsidR="00041E14" w:rsidRDefault="00000000">
      <w:pPr>
        <w:pBdr>
          <w:left w:val="single" w:sz="24" w:space="10" w:color="2E3A4B"/>
        </w:pBdr>
        <w:shd w:val="clear" w:color="auto" w:fill="EEF1F5"/>
        <w:spacing w:after="140" w:line="252" w:lineRule="auto"/>
        <w:ind w:left="300" w:right="200"/>
        <w:jc w:val="both"/>
      </w:pPr>
      <w:r>
        <w:rPr>
          <w:rFonts w:ascii="Barlow" w:eastAsia="Barlow" w:hAnsi="Barlow" w:cs="Barlow"/>
        </w:rPr>
        <w:t xml:space="preserve">APELAÇÕES CÍVEIS. (...) VEÍCULO COM VÍCIO OCULTO. </w:t>
      </w:r>
      <w:r>
        <w:rPr>
          <w:rFonts w:ascii="Barlow" w:eastAsia="Barlow" w:hAnsi="Barlow" w:cs="Barlow"/>
          <w:b/>
          <w:sz w:val="24"/>
          <w:szCs w:val="24"/>
          <w:shd w:val="clear" w:color="auto" w:fill="FFF1A8"/>
        </w:rPr>
        <w:t>DANO MORAL CONFIGURADO. (...) majorada para R$ 15.000,00, de acordo com precedentes desta Corte</w:t>
      </w:r>
      <w:r>
        <w:rPr>
          <w:rFonts w:ascii="Barlow" w:eastAsia="Barlow" w:hAnsi="Barlow" w:cs="Barlow"/>
        </w:rPr>
        <w:t>. (TJBA, Apelação 0534284-03.2016.8.05.0001, Quinta Câmara Cível, Rel. Juíza Andréa Paula Matos Rodrigues de Miranda, publicado em 06/08/2024.)</w:t>
      </w:r>
    </w:p>
    <w:p w14:paraId="385411A8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V – DA TUTELA DE URGÊNCIA</w:t>
      </w:r>
    </w:p>
    <w:p w14:paraId="0C362DE1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Os requisitos do art. 300 do CPC estão preenchidos. Não se pede suspensão de parcelas — o autor segue adimplente e pede a restituição no mérito —, mas a preservação de sua mobilidade. A </w:t>
      </w:r>
      <w:r>
        <w:rPr>
          <w:rFonts w:ascii="Barlow" w:eastAsia="Barlow" w:hAnsi="Barlow" w:cs="Barlow"/>
          <w:b/>
          <w:sz w:val="24"/>
          <w:szCs w:val="24"/>
        </w:rPr>
        <w:t>probabilidade do direito</w:t>
      </w:r>
      <w:r>
        <w:rPr>
          <w:rFonts w:ascii="Barlow" w:eastAsia="Barlow" w:hAnsi="Barlow" w:cs="Barlow"/>
          <w:sz w:val="24"/>
          <w:szCs w:val="24"/>
        </w:rPr>
        <w:t xml:space="preserve"> é documental (recall no CRLV; bloqueio legal de licenciamento e transferência). O </w:t>
      </w:r>
      <w:r>
        <w:rPr>
          <w:rFonts w:ascii="Barlow" w:eastAsia="Barlow" w:hAnsi="Barlow" w:cs="Barlow"/>
          <w:b/>
          <w:sz w:val="24"/>
          <w:szCs w:val="24"/>
        </w:rPr>
        <w:t>perigo de dano</w:t>
      </w:r>
      <w:r>
        <w:rPr>
          <w:rFonts w:ascii="Barlow" w:eastAsia="Barlow" w:hAnsi="Barlow" w:cs="Barlow"/>
          <w:sz w:val="24"/>
          <w:szCs w:val="24"/>
        </w:rPr>
        <w:t xml:space="preserve"> é diário e concreto: o autor reside em Salvador e </w:t>
      </w:r>
      <w:r>
        <w:rPr>
          <w:rFonts w:ascii="Barlow" w:eastAsia="Barlow" w:hAnsi="Barlow" w:cs="Barlow"/>
          <w:b/>
          <w:sz w:val="24"/>
          <w:szCs w:val="24"/>
        </w:rPr>
        <w:t>desloca-se todos os dias a Simões Filho, onde leciona em uma escola, dependendo do veículo</w:t>
      </w:r>
      <w:r>
        <w:rPr>
          <w:rFonts w:ascii="Barlow" w:eastAsia="Barlow" w:hAnsi="Barlow" w:cs="Barlow"/>
          <w:sz w:val="24"/>
          <w:szCs w:val="24"/>
        </w:rPr>
        <w:t xml:space="preserve"> — hoje sob risco de acidente e de apreensão. A essencialidade do bem afasta o prazo de 30 dias (art. 18, §3º, do CDC).</w:t>
      </w:r>
    </w:p>
    <w:p w14:paraId="158ACE08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Coerente com a rescisão, o autor </w:t>
      </w:r>
      <w:r>
        <w:rPr>
          <w:rFonts w:ascii="Barlow" w:eastAsia="Barlow" w:hAnsi="Barlow" w:cs="Barlow"/>
          <w:b/>
          <w:sz w:val="24"/>
          <w:szCs w:val="24"/>
        </w:rPr>
        <w:t>dispõe-se a depositar o veículo viciado</w:t>
      </w:r>
      <w:r>
        <w:rPr>
          <w:rFonts w:ascii="Barlow" w:eastAsia="Barlow" w:hAnsi="Barlow" w:cs="Barlow"/>
          <w:sz w:val="24"/>
          <w:szCs w:val="24"/>
        </w:rPr>
        <w:t xml:space="preserve"> e requer, em contrapartida, o </w:t>
      </w:r>
      <w:r>
        <w:rPr>
          <w:rFonts w:ascii="Barlow" w:eastAsia="Barlow" w:hAnsi="Barlow" w:cs="Barlow"/>
          <w:b/>
          <w:sz w:val="24"/>
          <w:szCs w:val="24"/>
        </w:rPr>
        <w:t>fornecimento de veículo reserva no mesmo padrão, até o fim da lide</w:t>
      </w:r>
      <w:r>
        <w:rPr>
          <w:rFonts w:ascii="Barlow" w:eastAsia="Barlow" w:hAnsi="Barlow" w:cs="Barlow"/>
          <w:sz w:val="24"/>
          <w:szCs w:val="24"/>
        </w:rPr>
        <w:t xml:space="preserve"> (dever de mitigar o dano, art. 14 do CDC), ou, subsidiariamente, o </w:t>
      </w:r>
      <w:r>
        <w:rPr>
          <w:rFonts w:ascii="Barlow" w:eastAsia="Barlow" w:hAnsi="Barlow" w:cs="Barlow"/>
          <w:b/>
          <w:sz w:val="24"/>
          <w:szCs w:val="24"/>
        </w:rPr>
        <w:t>custeio da locação de similar</w:t>
      </w:r>
      <w:r>
        <w:rPr>
          <w:rFonts w:ascii="Barlow" w:eastAsia="Barlow" w:hAnsi="Barlow" w:cs="Barlow"/>
          <w:sz w:val="24"/>
          <w:szCs w:val="24"/>
        </w:rPr>
        <w:t>. A medida é reversível, afastado o óbice do art. 300, §3º. É o entendimento do TJBA:</w:t>
      </w:r>
    </w:p>
    <w:p w14:paraId="090ED2B7" w14:textId="77777777" w:rsidR="00041E14" w:rsidRDefault="00000000">
      <w:pPr>
        <w:pBdr>
          <w:left w:val="single" w:sz="24" w:space="10" w:color="2E3A4B"/>
        </w:pBdr>
        <w:shd w:val="clear" w:color="auto" w:fill="EEF1F5"/>
        <w:spacing w:after="140" w:line="252" w:lineRule="auto"/>
        <w:ind w:left="300" w:right="200"/>
        <w:jc w:val="both"/>
      </w:pPr>
      <w:r>
        <w:rPr>
          <w:rFonts w:ascii="Barlow" w:eastAsia="Barlow" w:hAnsi="Barlow" w:cs="Barlow"/>
        </w:rPr>
        <w:t xml:space="preserve">(...) impõe-se a manutenção da decisão que deferiu a tutela para determinar o </w:t>
      </w:r>
      <w:r>
        <w:rPr>
          <w:rFonts w:ascii="Barlow" w:eastAsia="Barlow" w:hAnsi="Barlow" w:cs="Barlow"/>
          <w:b/>
          <w:sz w:val="24"/>
          <w:szCs w:val="24"/>
          <w:shd w:val="clear" w:color="auto" w:fill="FFF1A8"/>
        </w:rPr>
        <w:t>fornecimento de veículo reserva nos mesmos padrões daquele objeto da lide, tendo em vista a flagrante essencialidade do automóvel para a subsistência e locomoção do consumidor</w:t>
      </w:r>
      <w:r>
        <w:rPr>
          <w:rFonts w:ascii="Barlow" w:eastAsia="Barlow" w:hAnsi="Barlow" w:cs="Barlow"/>
        </w:rPr>
        <w:t>. (TJBA, AI 8032247-48.2021.8.05.0000, Quinta Câmara Cível, Rel. Des. Aldenilson Barbosa dos Santos, publicado em 06/04/2022.)</w:t>
      </w:r>
    </w:p>
    <w:p w14:paraId="18B666BD" w14:textId="77777777" w:rsidR="00041E14" w:rsidRDefault="00000000">
      <w:pPr>
        <w:pBdr>
          <w:left w:val="single" w:sz="24" w:space="10" w:color="2E3A4B"/>
        </w:pBdr>
        <w:shd w:val="clear" w:color="auto" w:fill="EEF1F5"/>
        <w:spacing w:after="140" w:line="252" w:lineRule="auto"/>
        <w:ind w:left="300" w:right="200"/>
        <w:jc w:val="both"/>
      </w:pPr>
      <w:r>
        <w:rPr>
          <w:rFonts w:ascii="Barlow" w:eastAsia="Barlow" w:hAnsi="Barlow" w:cs="Barlow"/>
        </w:rPr>
        <w:t xml:space="preserve">(...) FORNECIMENTO DE VEÍCULO RESERVA SIMILAR. </w:t>
      </w:r>
      <w:r>
        <w:rPr>
          <w:rFonts w:ascii="Barlow" w:eastAsia="Barlow" w:hAnsi="Barlow" w:cs="Barlow"/>
          <w:b/>
          <w:sz w:val="24"/>
          <w:szCs w:val="24"/>
          <w:shd w:val="clear" w:color="auto" w:fill="FFF1A8"/>
        </w:rPr>
        <w:t xml:space="preserve">IRREVERSIBILIDADE NÃO CONFIGURADA. (...) no caso de improcedência, a parte poderá reaver os valores </w:t>
      </w:r>
      <w:r>
        <w:rPr>
          <w:rFonts w:ascii="Barlow" w:eastAsia="Barlow" w:hAnsi="Barlow" w:cs="Barlow"/>
          <w:b/>
          <w:sz w:val="24"/>
          <w:szCs w:val="24"/>
          <w:shd w:val="clear" w:color="auto" w:fill="FFF1A8"/>
        </w:rPr>
        <w:lastRenderedPageBreak/>
        <w:t>por liquidação, afastando-se o óbice do art. 300, § 3º, do CPC</w:t>
      </w:r>
      <w:r>
        <w:rPr>
          <w:rFonts w:ascii="Barlow" w:eastAsia="Barlow" w:hAnsi="Barlow" w:cs="Barlow"/>
        </w:rPr>
        <w:t>. (TJBA, AI 8009363-20.2024.8.05.0000, Quarta Câmara Cível, Rel. Des. João Bôsco de Oliveira Seixas, publicado em 23/05/2024.)</w:t>
      </w:r>
    </w:p>
    <w:p w14:paraId="2890133D" w14:textId="77777777" w:rsidR="00041E14" w:rsidRDefault="00000000">
      <w:pPr>
        <w:spacing w:after="24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Requer-se a concessão </w:t>
      </w:r>
      <w:r>
        <w:rPr>
          <w:rFonts w:ascii="Barlow" w:eastAsia="Barlow" w:hAnsi="Barlow" w:cs="Barlow"/>
          <w:i/>
          <w:sz w:val="24"/>
          <w:szCs w:val="24"/>
        </w:rPr>
        <w:t>inaudita altera parte</w:t>
      </w:r>
      <w:r>
        <w:rPr>
          <w:rFonts w:ascii="Barlow" w:eastAsia="Barlow" w:hAnsi="Barlow" w:cs="Barlow"/>
          <w:sz w:val="24"/>
          <w:szCs w:val="24"/>
        </w:rPr>
        <w:t xml:space="preserve">, no prazo de 5 dias e mediante depósito do veículo viciado, do fornecimento de veículo reserva no mesmo padrão até o fim da lide ou, subsidiariamente, do custeio de locação de similar, sob </w:t>
      </w:r>
      <w:r>
        <w:rPr>
          <w:rFonts w:ascii="Barlow" w:eastAsia="Barlow" w:hAnsi="Barlow" w:cs="Barlow"/>
          <w:b/>
          <w:sz w:val="24"/>
          <w:szCs w:val="24"/>
        </w:rPr>
        <w:t>multa diária de R$ 1.000,00</w:t>
      </w:r>
      <w:r>
        <w:rPr>
          <w:rFonts w:ascii="Barlow" w:eastAsia="Barlow" w:hAnsi="Barlow" w:cs="Barlow"/>
          <w:sz w:val="24"/>
          <w:szCs w:val="24"/>
        </w:rPr>
        <w:t>.</w:t>
      </w:r>
    </w:p>
    <w:p w14:paraId="3A3ED5F0" w14:textId="77777777" w:rsidR="00041E14" w:rsidRDefault="00000000">
      <w:pPr>
        <w:keepNext/>
        <w:keepLines/>
        <w:shd w:val="clear" w:color="auto" w:fill="2E3A4B"/>
        <w:spacing w:before="260" w:after="140"/>
      </w:pPr>
      <w:r>
        <w:rPr>
          <w:rFonts w:ascii="Barlow" w:eastAsia="Barlow" w:hAnsi="Barlow" w:cs="Barlow"/>
          <w:b/>
          <w:color w:val="FFFFFF"/>
          <w:sz w:val="24"/>
          <w:szCs w:val="24"/>
        </w:rPr>
        <w:t>VI – DOS PEDIDOS</w:t>
      </w:r>
    </w:p>
    <w:p w14:paraId="17A23CAB" w14:textId="77777777" w:rsidR="00041E14" w:rsidRDefault="00000000">
      <w:pPr>
        <w:spacing w:after="120" w:line="360" w:lineRule="auto"/>
        <w:ind w:firstLine="709"/>
        <w:jc w:val="both"/>
      </w:pPr>
      <w:r>
        <w:rPr>
          <w:rFonts w:ascii="Barlow" w:eastAsia="Barlow" w:hAnsi="Barlow" w:cs="Barlow"/>
          <w:sz w:val="24"/>
          <w:szCs w:val="24"/>
        </w:rPr>
        <w:t>Ante o exposto, requer:</w:t>
      </w:r>
    </w:p>
    <w:p w14:paraId="45FE35DA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a) </w:t>
      </w:r>
      <w:r>
        <w:rPr>
          <w:rFonts w:ascii="Barlow" w:eastAsia="Barlow" w:hAnsi="Barlow" w:cs="Barlow"/>
          <w:sz w:val="24"/>
          <w:szCs w:val="24"/>
        </w:rPr>
        <w:t>a concessão dos benefícios da gratuidade da justiça (art. 98 do CPC);</w:t>
      </w:r>
    </w:p>
    <w:p w14:paraId="4464BBD8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b) </w:t>
      </w:r>
      <w:r>
        <w:rPr>
          <w:rFonts w:ascii="Barlow" w:eastAsia="Barlow" w:hAnsi="Barlow" w:cs="Barlow"/>
          <w:sz w:val="24"/>
          <w:szCs w:val="24"/>
        </w:rPr>
        <w:t xml:space="preserve">a concessão de </w:t>
      </w:r>
      <w:r>
        <w:rPr>
          <w:rFonts w:ascii="Barlow" w:eastAsia="Barlow" w:hAnsi="Barlow" w:cs="Barlow"/>
          <w:b/>
          <w:sz w:val="24"/>
          <w:szCs w:val="24"/>
        </w:rPr>
        <w:t>tutela de urgência</w:t>
      </w:r>
      <w:r>
        <w:rPr>
          <w:rFonts w:ascii="Barlow" w:eastAsia="Barlow" w:hAnsi="Barlow" w:cs="Barlow"/>
          <w:sz w:val="24"/>
          <w:szCs w:val="24"/>
        </w:rPr>
        <w:t xml:space="preserve">, </w:t>
      </w:r>
      <w:r>
        <w:rPr>
          <w:rFonts w:ascii="Barlow" w:eastAsia="Barlow" w:hAnsi="Barlow" w:cs="Barlow"/>
          <w:i/>
          <w:sz w:val="24"/>
          <w:szCs w:val="24"/>
        </w:rPr>
        <w:t>inaudita altera parte</w:t>
      </w:r>
      <w:r>
        <w:rPr>
          <w:rFonts w:ascii="Barlow" w:eastAsia="Barlow" w:hAnsi="Barlow" w:cs="Barlow"/>
          <w:sz w:val="24"/>
          <w:szCs w:val="24"/>
        </w:rPr>
        <w:t xml:space="preserve">, para que a primeira ré, mediante a entrega e o depósito do veículo viciado pelo autor, </w:t>
      </w:r>
      <w:r>
        <w:rPr>
          <w:rFonts w:ascii="Barlow" w:eastAsia="Barlow" w:hAnsi="Barlow" w:cs="Barlow"/>
          <w:b/>
          <w:sz w:val="24"/>
          <w:szCs w:val="24"/>
        </w:rPr>
        <w:t>forneça-lhe veículo reserva em condições de uso e no mesmo padrão do adquirido até a solução final da lide</w:t>
      </w:r>
      <w:r>
        <w:rPr>
          <w:rFonts w:ascii="Barlow" w:eastAsia="Barlow" w:hAnsi="Barlow" w:cs="Barlow"/>
          <w:sz w:val="24"/>
          <w:szCs w:val="24"/>
        </w:rPr>
        <w:t xml:space="preserve"> ou, subsidiariamente, </w:t>
      </w:r>
      <w:r>
        <w:rPr>
          <w:rFonts w:ascii="Barlow" w:eastAsia="Barlow" w:hAnsi="Barlow" w:cs="Barlow"/>
          <w:b/>
          <w:sz w:val="24"/>
          <w:szCs w:val="24"/>
        </w:rPr>
        <w:t>custeie a locação de veículo similar</w:t>
      </w:r>
      <w:r>
        <w:rPr>
          <w:rFonts w:ascii="Barlow" w:eastAsia="Barlow" w:hAnsi="Barlow" w:cs="Barlow"/>
          <w:sz w:val="24"/>
          <w:szCs w:val="24"/>
        </w:rPr>
        <w:t xml:space="preserve">, sob pena de </w:t>
      </w:r>
      <w:r>
        <w:rPr>
          <w:rFonts w:ascii="Barlow" w:eastAsia="Barlow" w:hAnsi="Barlow" w:cs="Barlow"/>
          <w:b/>
          <w:sz w:val="24"/>
          <w:szCs w:val="24"/>
        </w:rPr>
        <w:t>multa diária de R$ 1.000,00</w:t>
      </w:r>
      <w:r>
        <w:rPr>
          <w:rFonts w:ascii="Barlow" w:eastAsia="Barlow" w:hAnsi="Barlow" w:cs="Barlow"/>
          <w:sz w:val="24"/>
          <w:szCs w:val="24"/>
        </w:rPr>
        <w:t xml:space="preserve"> pelo descumprimento;</w:t>
      </w:r>
    </w:p>
    <w:p w14:paraId="67872A87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c) </w:t>
      </w:r>
      <w:r>
        <w:rPr>
          <w:rFonts w:ascii="Barlow" w:eastAsia="Barlow" w:hAnsi="Barlow" w:cs="Barlow"/>
          <w:sz w:val="24"/>
          <w:szCs w:val="24"/>
        </w:rPr>
        <w:t>a citação das rés para, querendo, contestarem a ação, sob pena de revelia;</w:t>
      </w:r>
    </w:p>
    <w:p w14:paraId="47776DCF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d) </w:t>
      </w:r>
      <w:r>
        <w:rPr>
          <w:rFonts w:ascii="Barlow" w:eastAsia="Barlow" w:hAnsi="Barlow" w:cs="Barlow"/>
          <w:sz w:val="24"/>
          <w:szCs w:val="24"/>
        </w:rPr>
        <w:t>a inversão do ônus da prova (art. 6º, VIII, do CDC) e o julgamento antecipado do mérito, por se tratar de prova pré-constituída e documental (art. 355, I, do CPC);</w:t>
      </w:r>
    </w:p>
    <w:p w14:paraId="4BBC8633" w14:textId="77777777" w:rsidR="00041E14" w:rsidRDefault="00000000">
      <w:pPr>
        <w:spacing w:before="120" w:after="120" w:line="360" w:lineRule="auto"/>
        <w:jc w:val="both"/>
      </w:pPr>
      <w:r>
        <w:rPr>
          <w:rFonts w:ascii="Barlow" w:eastAsia="Barlow" w:hAnsi="Barlow" w:cs="Barlow"/>
          <w:sz w:val="24"/>
          <w:szCs w:val="24"/>
        </w:rPr>
        <w:t xml:space="preserve">No mérito, </w:t>
      </w:r>
      <w:r>
        <w:rPr>
          <w:rFonts w:ascii="Barlow" w:eastAsia="Barlow" w:hAnsi="Barlow" w:cs="Barlow"/>
          <w:b/>
          <w:sz w:val="24"/>
          <w:szCs w:val="24"/>
        </w:rPr>
        <w:t>em face da primeira ré (MOVIDA):</w:t>
      </w:r>
    </w:p>
    <w:p w14:paraId="1A7530DD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e) </w:t>
      </w:r>
      <w:r>
        <w:rPr>
          <w:rFonts w:ascii="Barlow" w:eastAsia="Barlow" w:hAnsi="Barlow" w:cs="Barlow"/>
          <w:sz w:val="24"/>
          <w:szCs w:val="24"/>
        </w:rPr>
        <w:t xml:space="preserve">declarar a </w:t>
      </w:r>
      <w:r>
        <w:rPr>
          <w:rFonts w:ascii="Barlow" w:eastAsia="Barlow" w:hAnsi="Barlow" w:cs="Barlow"/>
          <w:b/>
          <w:sz w:val="24"/>
          <w:szCs w:val="24"/>
        </w:rPr>
        <w:t>rescisão do contrato de compra e venda nº 752465</w:t>
      </w:r>
      <w:r>
        <w:rPr>
          <w:rFonts w:ascii="Barlow" w:eastAsia="Barlow" w:hAnsi="Barlow" w:cs="Barlow"/>
          <w:sz w:val="24"/>
          <w:szCs w:val="24"/>
        </w:rPr>
        <w:t>, retornando as partes ao estado anterior;</w:t>
      </w:r>
    </w:p>
    <w:p w14:paraId="1CE05C10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f) </w:t>
      </w:r>
      <w:r>
        <w:rPr>
          <w:rFonts w:ascii="Barlow" w:eastAsia="Barlow" w:hAnsi="Barlow" w:cs="Barlow"/>
          <w:sz w:val="24"/>
          <w:szCs w:val="24"/>
        </w:rPr>
        <w:t xml:space="preserve">condenar a primeira ré — que recebeu o valor integral do veículo (entrada e taxas pagas pelo autor e saldo financiado repassado pelo banco) — a </w:t>
      </w:r>
      <w:r>
        <w:rPr>
          <w:rFonts w:ascii="Barlow" w:eastAsia="Barlow" w:hAnsi="Barlow" w:cs="Barlow"/>
          <w:b/>
          <w:sz w:val="24"/>
          <w:szCs w:val="24"/>
        </w:rPr>
        <w:t>restituir ao autor tudo que desembolsou</w:t>
      </w:r>
      <w:r>
        <w:rPr>
          <w:rFonts w:ascii="Barlow" w:eastAsia="Barlow" w:hAnsi="Barlow" w:cs="Barlow"/>
          <w:sz w:val="24"/>
          <w:szCs w:val="24"/>
        </w:rPr>
        <w:t>: a entrada de R$ 12.000,00; as parcelas já quitadas, no total de R$ 27.090,35, acrescidas das que se vencerem no curso do processo (art. 323 do CPC); o conserto de R$ 543,56; e a multa de R$ 104,13; tudo corrigido pelo IPCA desde o desembolso e com juros desde a citação;</w:t>
      </w:r>
    </w:p>
    <w:p w14:paraId="66389A1E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lastRenderedPageBreak/>
        <w:t xml:space="preserve">g) </w:t>
      </w:r>
      <w:r>
        <w:rPr>
          <w:rFonts w:ascii="Barlow" w:eastAsia="Barlow" w:hAnsi="Barlow" w:cs="Barlow"/>
          <w:sz w:val="24"/>
          <w:szCs w:val="24"/>
        </w:rPr>
        <w:t xml:space="preserve">declarar a </w:t>
      </w:r>
      <w:r>
        <w:rPr>
          <w:rFonts w:ascii="Barlow" w:eastAsia="Barlow" w:hAnsi="Barlow" w:cs="Barlow"/>
          <w:b/>
          <w:sz w:val="24"/>
          <w:szCs w:val="24"/>
        </w:rPr>
        <w:t>nulidade da cobrança do despachante</w:t>
      </w:r>
      <w:r>
        <w:rPr>
          <w:rFonts w:ascii="Barlow" w:eastAsia="Barlow" w:hAnsi="Barlow" w:cs="Barlow"/>
          <w:sz w:val="24"/>
          <w:szCs w:val="24"/>
        </w:rPr>
        <w:t xml:space="preserve"> (venda casada) e condená-la à restituição de R$ 1.590,00 em dobro (R$ 3.180,00), subsidiariamente na forma simples;</w:t>
      </w:r>
    </w:p>
    <w:p w14:paraId="247D559B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h) </w:t>
      </w:r>
      <w:r>
        <w:rPr>
          <w:rFonts w:ascii="Barlow" w:eastAsia="Barlow" w:hAnsi="Barlow" w:cs="Barlow"/>
          <w:sz w:val="24"/>
          <w:szCs w:val="24"/>
        </w:rPr>
        <w:t xml:space="preserve">condenar a primeira ré ao pagamento de </w:t>
      </w:r>
      <w:r>
        <w:rPr>
          <w:rFonts w:ascii="Barlow" w:eastAsia="Barlow" w:hAnsi="Barlow" w:cs="Barlow"/>
          <w:b/>
          <w:sz w:val="24"/>
          <w:szCs w:val="24"/>
        </w:rPr>
        <w:t>danos morais no valor de R$ 15.000,00</w:t>
      </w:r>
      <w:r>
        <w:rPr>
          <w:rFonts w:ascii="Barlow" w:eastAsia="Barlow" w:hAnsi="Barlow" w:cs="Barlow"/>
          <w:sz w:val="24"/>
          <w:szCs w:val="24"/>
        </w:rPr>
        <w:t>;</w:t>
      </w:r>
    </w:p>
    <w:p w14:paraId="7749D394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i) </w:t>
      </w:r>
      <w:r>
        <w:rPr>
          <w:rFonts w:ascii="Barlow" w:eastAsia="Barlow" w:hAnsi="Barlow" w:cs="Barlow"/>
          <w:sz w:val="24"/>
          <w:szCs w:val="24"/>
        </w:rPr>
        <w:t xml:space="preserve">condenar a primeira ré a </w:t>
      </w:r>
      <w:r>
        <w:rPr>
          <w:rFonts w:ascii="Barlow" w:eastAsia="Barlow" w:hAnsi="Barlow" w:cs="Barlow"/>
          <w:b/>
          <w:sz w:val="24"/>
          <w:szCs w:val="24"/>
        </w:rPr>
        <w:t>quitar, perante a segunda ré, o saldo devedor remanescente do financiamento</w:t>
      </w:r>
      <w:r>
        <w:rPr>
          <w:rFonts w:ascii="Barlow" w:eastAsia="Barlow" w:hAnsi="Barlow" w:cs="Barlow"/>
          <w:sz w:val="24"/>
          <w:szCs w:val="24"/>
        </w:rPr>
        <w:t xml:space="preserve"> (CCB nº 300290805-5), liberando o autor de quaisquer ônus relativos ao bem;</w:t>
      </w:r>
    </w:p>
    <w:p w14:paraId="6646BE6A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j) </w:t>
      </w:r>
      <w:r>
        <w:rPr>
          <w:rFonts w:ascii="Barlow" w:eastAsia="Barlow" w:hAnsi="Barlow" w:cs="Barlow"/>
          <w:sz w:val="24"/>
          <w:szCs w:val="24"/>
        </w:rPr>
        <w:t xml:space="preserve">subsidiariamente, caso não reconhecida a coligação ou mantido o financiamento, condenar a primeira ré a </w:t>
      </w:r>
      <w:r>
        <w:rPr>
          <w:rFonts w:ascii="Barlow" w:eastAsia="Barlow" w:hAnsi="Barlow" w:cs="Barlow"/>
          <w:b/>
          <w:sz w:val="24"/>
          <w:szCs w:val="24"/>
        </w:rPr>
        <w:t>indenizar o autor no valor correspondente ao saldo devedor</w:t>
      </w:r>
      <w:r>
        <w:rPr>
          <w:rFonts w:ascii="Barlow" w:eastAsia="Barlow" w:hAnsi="Barlow" w:cs="Barlow"/>
          <w:sz w:val="24"/>
          <w:szCs w:val="24"/>
        </w:rPr>
        <w:t>, para a respectiva quitação;</w:t>
      </w:r>
    </w:p>
    <w:p w14:paraId="4303C6D8" w14:textId="77777777" w:rsidR="00041E14" w:rsidRDefault="00000000" w:rsidP="009411FB">
      <w:pPr>
        <w:spacing w:before="120" w:after="120" w:line="360" w:lineRule="auto"/>
        <w:ind w:left="709"/>
        <w:jc w:val="both"/>
      </w:pPr>
      <w:r>
        <w:rPr>
          <w:rFonts w:ascii="Barlow" w:eastAsia="Barlow" w:hAnsi="Barlow" w:cs="Barlow"/>
          <w:sz w:val="24"/>
          <w:szCs w:val="24"/>
        </w:rPr>
        <w:t xml:space="preserve">Quanto à segunda ré (BANCO BBC), </w:t>
      </w:r>
      <w:r>
        <w:rPr>
          <w:rFonts w:ascii="Barlow" w:eastAsia="Barlow" w:hAnsi="Barlow" w:cs="Barlow"/>
          <w:b/>
          <w:sz w:val="24"/>
          <w:szCs w:val="24"/>
        </w:rPr>
        <w:t>litisconsorte passivo necessário, sem pedido condenatório:</w:t>
      </w:r>
    </w:p>
    <w:p w14:paraId="02F01A40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k) </w:t>
      </w:r>
      <w:r>
        <w:rPr>
          <w:rFonts w:ascii="Barlow" w:eastAsia="Barlow" w:hAnsi="Barlow" w:cs="Barlow"/>
          <w:sz w:val="24"/>
          <w:szCs w:val="24"/>
        </w:rPr>
        <w:t xml:space="preserve">operada a rescisão e quitado o saldo pela primeira ré, </w:t>
      </w:r>
      <w:r>
        <w:rPr>
          <w:rFonts w:ascii="Barlow" w:eastAsia="Barlow" w:hAnsi="Barlow" w:cs="Barlow"/>
          <w:b/>
          <w:sz w:val="24"/>
          <w:szCs w:val="24"/>
        </w:rPr>
        <w:t>declarar extinta a relação de financiamento e determinar ao banco a baixa do gravame de alienação fiduciária</w:t>
      </w:r>
      <w:r>
        <w:rPr>
          <w:rFonts w:ascii="Barlow" w:eastAsia="Barlow" w:hAnsi="Barlow" w:cs="Barlow"/>
          <w:sz w:val="24"/>
          <w:szCs w:val="24"/>
        </w:rPr>
        <w:t>, no prazo legal, sem imposição de condenação à segunda ré;</w:t>
      </w:r>
    </w:p>
    <w:p w14:paraId="502BAB31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l) </w:t>
      </w:r>
      <w:r>
        <w:rPr>
          <w:rFonts w:ascii="Barlow" w:eastAsia="Barlow" w:hAnsi="Barlow" w:cs="Barlow"/>
          <w:sz w:val="24"/>
          <w:szCs w:val="24"/>
        </w:rPr>
        <w:t xml:space="preserve">determinar a </w:t>
      </w:r>
      <w:r>
        <w:rPr>
          <w:rFonts w:ascii="Barlow" w:eastAsia="Barlow" w:hAnsi="Barlow" w:cs="Barlow"/>
          <w:b/>
          <w:sz w:val="24"/>
          <w:szCs w:val="24"/>
        </w:rPr>
        <w:t>exibição, pela segunda ré, do convênio ou contrato de correspondente bancário</w:t>
      </w:r>
      <w:r>
        <w:rPr>
          <w:rFonts w:ascii="Barlow" w:eastAsia="Barlow" w:hAnsi="Barlow" w:cs="Barlow"/>
          <w:sz w:val="24"/>
          <w:szCs w:val="24"/>
        </w:rPr>
        <w:t xml:space="preserve"> mantido com a primeira ré (arts. 396 e 400 do CPC), a fim de demonstrar a coligação;</w:t>
      </w:r>
    </w:p>
    <w:p w14:paraId="36EA5980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m) </w:t>
      </w:r>
      <w:r>
        <w:rPr>
          <w:rFonts w:ascii="Barlow" w:eastAsia="Barlow" w:hAnsi="Barlow" w:cs="Barlow"/>
          <w:sz w:val="24"/>
          <w:szCs w:val="24"/>
        </w:rPr>
        <w:t xml:space="preserve">consignar que, operada a rescisão, o autor </w:t>
      </w:r>
      <w:r>
        <w:rPr>
          <w:rFonts w:ascii="Barlow" w:eastAsia="Barlow" w:hAnsi="Barlow" w:cs="Barlow"/>
          <w:b/>
          <w:sz w:val="24"/>
          <w:szCs w:val="24"/>
        </w:rPr>
        <w:t>devolverá o veículo viciado</w:t>
      </w:r>
      <w:r>
        <w:rPr>
          <w:rFonts w:ascii="Barlow" w:eastAsia="Barlow" w:hAnsi="Barlow" w:cs="Barlow"/>
          <w:sz w:val="24"/>
          <w:szCs w:val="24"/>
        </w:rPr>
        <w:t xml:space="preserve"> à primeira ré (já entregue em depósito por força da tutela);</w:t>
      </w:r>
    </w:p>
    <w:p w14:paraId="57786415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n) </w:t>
      </w:r>
      <w:r>
        <w:rPr>
          <w:rFonts w:ascii="Barlow" w:eastAsia="Barlow" w:hAnsi="Barlow" w:cs="Barlow"/>
          <w:sz w:val="24"/>
          <w:szCs w:val="24"/>
        </w:rPr>
        <w:t>condenar as rés, na medida de sua participação, ao pagamento das custas e dos honorários advocatícios sucumbenciais;</w:t>
      </w:r>
    </w:p>
    <w:p w14:paraId="40A458A3" w14:textId="77777777" w:rsidR="00041E14" w:rsidRDefault="00000000">
      <w:pPr>
        <w:spacing w:after="120" w:line="360" w:lineRule="auto"/>
        <w:ind w:left="709"/>
        <w:jc w:val="both"/>
      </w:pPr>
      <w:r>
        <w:rPr>
          <w:rFonts w:ascii="Barlow" w:eastAsia="Barlow" w:hAnsi="Barlow" w:cs="Barlow"/>
          <w:b/>
          <w:sz w:val="24"/>
          <w:szCs w:val="24"/>
        </w:rPr>
        <w:t xml:space="preserve">o) </w:t>
      </w:r>
      <w:r>
        <w:rPr>
          <w:rFonts w:ascii="Barlow" w:eastAsia="Barlow" w:hAnsi="Barlow" w:cs="Barlow"/>
          <w:sz w:val="24"/>
          <w:szCs w:val="24"/>
        </w:rPr>
        <w:t>provar o alegado por todos os meios admitidos, especialmente a prova documental pré-constituída anexa e a memória de cálculo.</w:t>
      </w:r>
    </w:p>
    <w:p w14:paraId="3FFC388C" w14:textId="77777777" w:rsidR="00041E14" w:rsidRDefault="00000000" w:rsidP="009411FB">
      <w:pPr>
        <w:spacing w:after="240" w:line="360" w:lineRule="auto"/>
        <w:jc w:val="both"/>
      </w:pPr>
      <w:r>
        <w:rPr>
          <w:rFonts w:ascii="Barlow" w:eastAsia="Barlow" w:hAnsi="Barlow" w:cs="Barlow"/>
          <w:sz w:val="24"/>
          <w:szCs w:val="24"/>
        </w:rPr>
        <w:lastRenderedPageBreak/>
        <w:t xml:space="preserve">Dá-se à causa o valor de </w:t>
      </w:r>
      <w:r>
        <w:rPr>
          <w:rFonts w:ascii="Barlow" w:eastAsia="Barlow" w:hAnsi="Barlow" w:cs="Barlow"/>
          <w:b/>
          <w:sz w:val="24"/>
          <w:szCs w:val="24"/>
        </w:rPr>
        <w:t>R$ 57.918,04</w:t>
      </w:r>
      <w:r>
        <w:rPr>
          <w:rFonts w:ascii="Barlow" w:eastAsia="Barlow" w:hAnsi="Barlow" w:cs="Barlow"/>
          <w:sz w:val="24"/>
          <w:szCs w:val="24"/>
        </w:rPr>
        <w:t xml:space="preserve"> (cinquenta e sete mil, novecentos e dezoito reais e quatro centavos), correspondente à soma dos valores cuja restituição e condenação se pretende, ressalvado o acréscimo das parcelas vincendas.</w:t>
      </w:r>
    </w:p>
    <w:p w14:paraId="4A123B16" w14:textId="77777777" w:rsidR="00041E14" w:rsidRDefault="00000000">
      <w:pPr>
        <w:spacing w:before="240" w:line="360" w:lineRule="auto"/>
        <w:jc w:val="both"/>
      </w:pPr>
      <w:r>
        <w:rPr>
          <w:rFonts w:ascii="Barlow" w:eastAsia="Barlow" w:hAnsi="Barlow" w:cs="Barlow"/>
          <w:sz w:val="24"/>
          <w:szCs w:val="24"/>
        </w:rPr>
        <w:t>Nestes termos,</w:t>
      </w:r>
    </w:p>
    <w:p w14:paraId="387187DF" w14:textId="77777777" w:rsidR="00041E14" w:rsidRDefault="00000000">
      <w:pPr>
        <w:spacing w:after="240" w:line="360" w:lineRule="auto"/>
        <w:jc w:val="both"/>
      </w:pPr>
      <w:r>
        <w:rPr>
          <w:rFonts w:ascii="Barlow" w:eastAsia="Barlow" w:hAnsi="Barlow" w:cs="Barlow"/>
          <w:sz w:val="24"/>
          <w:szCs w:val="24"/>
        </w:rPr>
        <w:t>Pede deferimento.</w:t>
      </w:r>
    </w:p>
    <w:p w14:paraId="7676376C" w14:textId="77777777" w:rsidR="00041E14" w:rsidRDefault="00000000" w:rsidP="009411FB">
      <w:pPr>
        <w:spacing w:after="420" w:line="360" w:lineRule="auto"/>
        <w:jc w:val="center"/>
      </w:pPr>
      <w:r>
        <w:rPr>
          <w:rFonts w:ascii="Barlow" w:eastAsia="Barlow" w:hAnsi="Barlow" w:cs="Barlow"/>
          <w:sz w:val="24"/>
          <w:szCs w:val="24"/>
        </w:rPr>
        <w:t>Salvador/BA, 16 de junho de 2026.</w:t>
      </w:r>
    </w:p>
    <w:p w14:paraId="30391A07" w14:textId="77777777" w:rsidR="00041E14" w:rsidRPr="009411FB" w:rsidRDefault="00000000" w:rsidP="009411FB">
      <w:pPr>
        <w:keepNext/>
        <w:keepLines/>
        <w:spacing w:line="360" w:lineRule="auto"/>
        <w:jc w:val="center"/>
      </w:pPr>
      <w:r w:rsidRPr="009411FB">
        <w:rPr>
          <w:rFonts w:eastAsia="Barlow"/>
          <w:b/>
          <w:sz w:val="24"/>
          <w:szCs w:val="24"/>
        </w:rPr>
        <w:t>________________________________________</w:t>
      </w:r>
    </w:p>
    <w:p w14:paraId="19A858AF" w14:textId="77777777" w:rsidR="00041E14" w:rsidRDefault="00000000" w:rsidP="009411FB">
      <w:pPr>
        <w:keepNext/>
        <w:keepLines/>
        <w:spacing w:line="360" w:lineRule="auto"/>
        <w:jc w:val="center"/>
      </w:pPr>
      <w:r>
        <w:rPr>
          <w:rFonts w:ascii="Barlow" w:eastAsia="Barlow" w:hAnsi="Barlow" w:cs="Barlow"/>
          <w:b/>
          <w:sz w:val="24"/>
          <w:szCs w:val="24"/>
        </w:rPr>
        <w:t>DJAN HENRIQUE MENDONÇA DO NASCIMENTO</w:t>
      </w:r>
    </w:p>
    <w:p w14:paraId="7859806E" w14:textId="77777777" w:rsidR="009411FB" w:rsidRPr="009411FB" w:rsidRDefault="00000000" w:rsidP="009411FB">
      <w:pPr>
        <w:keepNext/>
        <w:keepLines/>
        <w:spacing w:line="360" w:lineRule="auto"/>
        <w:jc w:val="center"/>
      </w:pPr>
      <w:r>
        <w:rPr>
          <w:rFonts w:ascii="Barlow" w:eastAsia="Barlow" w:hAnsi="Barlow" w:cs="Barlow"/>
          <w:b/>
          <w:sz w:val="24"/>
          <w:szCs w:val="24"/>
        </w:rPr>
        <w:t>OAB/PB 5.219-A</w:t>
      </w:r>
      <w:r w:rsidR="009411FB">
        <w:rPr>
          <w:rFonts w:ascii="Barlow" w:eastAsia="Barlow" w:hAnsi="Barlow" w:cs="Barlow"/>
          <w:b/>
          <w:sz w:val="24"/>
          <w:szCs w:val="24"/>
        </w:rPr>
        <w:br/>
      </w:r>
      <w:r w:rsidR="009411FB">
        <w:rPr>
          <w:rFonts w:ascii="Barlow" w:eastAsia="Barlow" w:hAnsi="Barlow" w:cs="Barlow"/>
          <w:b/>
          <w:sz w:val="24"/>
          <w:szCs w:val="24"/>
        </w:rPr>
        <w:br/>
      </w:r>
      <w:r w:rsidR="009411FB" w:rsidRPr="009411FB">
        <w:rPr>
          <w:rFonts w:eastAsia="Barlow"/>
          <w:b/>
          <w:sz w:val="24"/>
          <w:szCs w:val="24"/>
        </w:rPr>
        <w:t>________________________________________</w:t>
      </w:r>
    </w:p>
    <w:p w14:paraId="1CA0F6B2" w14:textId="0289616B" w:rsidR="009411FB" w:rsidRDefault="009411FB" w:rsidP="009411FB">
      <w:pPr>
        <w:keepNext/>
        <w:keepLines/>
        <w:spacing w:line="360" w:lineRule="auto"/>
        <w:jc w:val="center"/>
      </w:pPr>
      <w:r>
        <w:rPr>
          <w:rFonts w:ascii="Barlow" w:eastAsia="Barlow" w:hAnsi="Barlow" w:cs="Barlow"/>
          <w:b/>
          <w:sz w:val="24"/>
          <w:szCs w:val="24"/>
        </w:rPr>
        <w:t>JADER GABRIEL PINHEIRO</w:t>
      </w:r>
    </w:p>
    <w:p w14:paraId="6624D285" w14:textId="747F0412" w:rsidR="009411FB" w:rsidRDefault="009411FB" w:rsidP="009411FB">
      <w:pPr>
        <w:spacing w:line="360" w:lineRule="auto"/>
        <w:jc w:val="center"/>
      </w:pPr>
      <w:r>
        <w:rPr>
          <w:rFonts w:ascii="Barlow" w:eastAsia="Barlow" w:hAnsi="Barlow" w:cs="Barlow"/>
          <w:b/>
          <w:sz w:val="24"/>
          <w:szCs w:val="24"/>
        </w:rPr>
        <w:t xml:space="preserve">OAB/PB </w:t>
      </w:r>
      <w:r>
        <w:rPr>
          <w:rFonts w:ascii="Barlow" w:eastAsia="Barlow" w:hAnsi="Barlow" w:cs="Barlow"/>
          <w:b/>
          <w:sz w:val="24"/>
          <w:szCs w:val="24"/>
        </w:rPr>
        <w:t>33.567</w:t>
      </w:r>
    </w:p>
    <w:p w14:paraId="6A5EF8C1" w14:textId="2DAD1993" w:rsidR="00041E14" w:rsidRDefault="00041E14" w:rsidP="009411FB">
      <w:pPr>
        <w:spacing w:line="360" w:lineRule="auto"/>
        <w:jc w:val="center"/>
      </w:pPr>
    </w:p>
    <w:sectPr w:rsidR="00041E14" w:rsidSect="00FB3A49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2409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881E" w14:textId="77777777" w:rsidR="006C571D" w:rsidRDefault="006C571D">
      <w:pPr>
        <w:spacing w:line="240" w:lineRule="auto"/>
      </w:pPr>
      <w:r>
        <w:separator/>
      </w:r>
    </w:p>
  </w:endnote>
  <w:endnote w:type="continuationSeparator" w:id="0">
    <w:p w14:paraId="27A9A539" w14:textId="77777777" w:rsidR="006C571D" w:rsidRDefault="006C571D">
      <w:pPr>
        <w:spacing w:line="240" w:lineRule="auto"/>
      </w:pPr>
      <w:r>
        <w:continuationSeparator/>
      </w:r>
    </w:p>
  </w:endnote>
  <w:endnote w:type="continuationNotice" w:id="1">
    <w:p w14:paraId="1A4A49FC" w14:textId="77777777" w:rsidR="006C571D" w:rsidRDefault="006C571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361" w:type="dxa"/>
      <w:tblLayout w:type="fixed"/>
      <w:tblLook w:val="06A0" w:firstRow="1" w:lastRow="0" w:firstColumn="1" w:lastColumn="0" w:noHBand="1" w:noVBand="1"/>
    </w:tblPr>
    <w:tblGrid>
      <w:gridCol w:w="284"/>
      <w:gridCol w:w="9072"/>
      <w:gridCol w:w="3005"/>
    </w:tblGrid>
    <w:tr w:rsidR="78006FAE" w14:paraId="033F178A" w14:textId="77777777" w:rsidTr="00FB3A49">
      <w:trPr>
        <w:trHeight w:val="300"/>
      </w:trPr>
      <w:tc>
        <w:tcPr>
          <w:tcW w:w="284" w:type="dxa"/>
        </w:tcPr>
        <w:p w14:paraId="066475FF" w14:textId="77777777" w:rsidR="78006FAE" w:rsidRDefault="78006FAE" w:rsidP="78006FAE">
          <w:pPr>
            <w:pStyle w:val="Cabealho"/>
            <w:ind w:left="-115"/>
          </w:pPr>
        </w:p>
      </w:tc>
      <w:tc>
        <w:tcPr>
          <w:tcW w:w="9072" w:type="dxa"/>
        </w:tcPr>
        <w:p w14:paraId="570F6FAF" w14:textId="77777777" w:rsidR="00FB3A49" w:rsidRPr="00047DBE" w:rsidRDefault="00FB3A49" w:rsidP="00FB3A49">
          <w:pPr>
            <w:ind w:left="32" w:right="68"/>
            <w:jc w:val="center"/>
            <w:rPr>
              <w:rFonts w:ascii="Barlow" w:eastAsia="Barlow" w:hAnsi="Barlow" w:cs="Barlow"/>
              <w:sz w:val="24"/>
              <w:szCs w:val="24"/>
            </w:rPr>
          </w:pPr>
          <w:r w:rsidRPr="00047DBE">
            <w:rPr>
              <w:rFonts w:ascii="Barlow" w:eastAsia="Barlow" w:hAnsi="Barlow" w:cs="Barlow"/>
              <w:sz w:val="24"/>
              <w:szCs w:val="24"/>
            </w:rPr>
            <w:t xml:space="preserve">0800 591 7259 | </w:t>
          </w:r>
          <w:hyperlink r:id="rId1" w:history="1">
            <w:r w:rsidRPr="00047DBE">
              <w:rPr>
                <w:rStyle w:val="Hyperlink"/>
                <w:rFonts w:ascii="Barlow" w:eastAsia="Barlow" w:hAnsi="Barlow" w:cs="Barlow"/>
                <w:color w:val="auto"/>
                <w:sz w:val="24"/>
                <w:szCs w:val="24"/>
                <w:u w:val="none"/>
              </w:rPr>
              <w:t>contato@cmpadvogados.com.br</w:t>
            </w:r>
          </w:hyperlink>
        </w:p>
        <w:p w14:paraId="063C6152" w14:textId="77777777" w:rsidR="78006FAE" w:rsidRDefault="78006FAE" w:rsidP="78006FAE">
          <w:pPr>
            <w:pStyle w:val="Cabealho"/>
            <w:jc w:val="center"/>
          </w:pPr>
        </w:p>
      </w:tc>
      <w:tc>
        <w:tcPr>
          <w:tcW w:w="3005" w:type="dxa"/>
        </w:tcPr>
        <w:p w14:paraId="556E4AF9" w14:textId="77777777" w:rsidR="78006FAE" w:rsidRDefault="78006FAE" w:rsidP="78006FAE">
          <w:pPr>
            <w:pStyle w:val="Cabealho"/>
            <w:ind w:right="-115"/>
            <w:jc w:val="right"/>
          </w:pPr>
        </w:p>
      </w:tc>
    </w:tr>
  </w:tbl>
  <w:p w14:paraId="2676BDE2" w14:textId="77777777" w:rsidR="78006FAE" w:rsidRDefault="00FB3A49" w:rsidP="78006FA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DEC1EFB" wp14:editId="4FA03A01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2850" cy="255270"/>
              <wp:effectExtent l="0" t="0" r="0" b="0"/>
              <wp:wrapNone/>
              <wp:docPr id="243461499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255270"/>
                      </a:xfrm>
                      <a:prstGeom prst="rect">
                        <a:avLst/>
                      </a:prstGeom>
                      <a:solidFill>
                        <a:srgbClr val="3F485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rect id="Retângulo 1" style="position:absolute;margin-left:0;margin-top:0;width:595.5pt;height:20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top" o:spid="_x0000_s1026" fillcolor="#3f4858" stroked="f" w14:anchorId="6F677BD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su/76gEAALUDAAAOAAAAZHJzL2Uyb0RvYy54bWysU8Fu2zAMvQ/YPwi6L068uMmMOEWRIsOA bh3Q9QMUWbaFyaJGKXGyrx8lp2mw3YpdBFGknvgen1a3x96wg0KvwVZ8NplypqyEWtu24s8/th+W nPkgbC0MWFXxk/L8dv3+3WpwpcqhA1MrZARifTm4inchuDLLvOxUL/wEnLKUbAB7ESjENqtRDITe myyfTm+yAbB2CFJ5T6f3Y5KvE37TKBkem8arwEzFqbeQVkzrLq7ZeiXKFoXrtDy3Id7QRS+0pUcv UPciCLZH/Q9UryWChyZMJPQZNI2WKnEgNrPpX2yeOuFU4kLieHeRyf8/WPnt8OS+Y2zduweQPz2z sOmEbdUdIgydEjU9N4tCZYPz5eVCDDxdZbvhK9Q0WrEPkDQ4NthHQGLHjknq00VqdQxM0uGiuMmX BU1EUi4vinyRZpGJ8uW2Qx8+K+hZ3FQcaZQJXRwefIjdiPKlJHUPRtdbbUwKsN1tDLKDoLF/3M6X xTIRIJLXZcbGYgvx2ogYTxLNyCyayJc7qE/EEmH0DnmdNh3gb84G8k3F/a+9QMWZ+WJJqU+z+Twa LQXzYpFTgNeZ3XVGWElQFQ+cjdtNGM25d6jbjl6aJdIW7kjdRifir12dmyVvJD3OPo7mu45T1etv W/8BAAD//wMAUEsDBBQABgAIAAAAIQCuo4/22wAAAAUBAAAPAAAAZHJzL2Rvd25yZXYueG1sTI9B S8NAEIXvgv9hGcGb3U0VsTGbYkVBsSCu7X2SHZNgdjZkt23679160cuDxxve+6ZYTq4XexpD51lD NlMgiGtvO240bD6fr+5AhIhssfdMGo4UYFmenxWYW3/gD9qb2IhUwiFHDW2MQy5lqFtyGGZ+IE7Z lx8dxmTHRtoRD6nc9XKu1K102HFaaHGgx5bqb7NzGt7MuntfvG6uX1ZqWx2rlcHtk9H68mJ6uAcR aYp/x3DCT+hQJqbK79gG0WtIj8RfPWXZIku+0nCj5iDLQv6nL38AAAD//wMAUEsBAi0AFAAGAAgA AAAhALaDOJL+AAAA4QEAABMAAAAAAAAAAAAAAAAAAAAAAFtDb250ZW50X1R5cGVzXS54bWxQSwEC LQAUAAYACAAAACEAOP0h/9YAAACUAQAACwAAAAAAAAAAAAAAAAAvAQAAX3JlbHMvLnJlbHNQSwEC LQAUAAYACAAAACEAsLLv++oBAAC1AwAADgAAAAAAAAAAAAAAAAAuAgAAZHJzL2Uyb0RvYy54bWxQ SwECLQAUAAYACAAAACEArqOP9tsAAAAFAQAADwAAAAAAAAAAAAAAAABEBAAAZHJzL2Rvd25yZXYu eG1sUEsFBgAAAAAEAAQA8wAAAEwFAAAAAA== 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657C3" w14:textId="77777777" w:rsidR="00FB46B0" w:rsidRPr="00047DBE" w:rsidRDefault="005C372F" w:rsidP="0078641A">
    <w:pPr>
      <w:ind w:right="-43"/>
      <w:jc w:val="center"/>
      <w:rPr>
        <w:rFonts w:ascii="Barlow" w:eastAsia="Barlow" w:hAnsi="Barlow" w:cs="Barlow"/>
        <w:sz w:val="24"/>
        <w:szCs w:val="24"/>
      </w:rPr>
    </w:pPr>
    <w:r w:rsidRPr="00047DBE">
      <w:rPr>
        <w:rFonts w:ascii="Barlow" w:eastAsia="Barlow" w:hAnsi="Barlow" w:cs="Barlow"/>
        <w:sz w:val="24"/>
        <w:szCs w:val="24"/>
      </w:rPr>
      <w:t>0800 591 7259</w:t>
    </w:r>
    <w:r w:rsidR="00047DBE" w:rsidRPr="00047DBE">
      <w:rPr>
        <w:rFonts w:ascii="Barlow" w:eastAsia="Barlow" w:hAnsi="Barlow" w:cs="Barlow"/>
        <w:sz w:val="24"/>
        <w:szCs w:val="24"/>
      </w:rPr>
      <w:t xml:space="preserve"> | </w:t>
    </w:r>
    <w:hyperlink r:id="rId1" w:history="1">
      <w:r w:rsidR="0078641A" w:rsidRPr="00047DBE">
        <w:rPr>
          <w:rStyle w:val="Hyperlink"/>
          <w:rFonts w:ascii="Barlow" w:eastAsia="Barlow" w:hAnsi="Barlow" w:cs="Barlow"/>
          <w:color w:val="auto"/>
          <w:sz w:val="24"/>
          <w:szCs w:val="24"/>
          <w:u w:val="none"/>
        </w:rPr>
        <w:t>contato@cmpadvogados.com.br</w:t>
      </w:r>
    </w:hyperlink>
  </w:p>
  <w:p w14:paraId="3D21C116" w14:textId="77777777" w:rsidR="005C372F" w:rsidRPr="005C372F" w:rsidRDefault="005C372F" w:rsidP="005C372F">
    <w:pPr>
      <w:ind w:left="3119" w:right="-43"/>
      <w:jc w:val="right"/>
      <w:rPr>
        <w:rFonts w:ascii="Barlow" w:eastAsia="Barlow" w:hAnsi="Barlow" w:cs="Barlow"/>
      </w:rPr>
    </w:pPr>
    <w:r w:rsidRPr="005C372F">
      <w:rPr>
        <w:rFonts w:ascii="Barlow" w:eastAsia="Barlow" w:hAnsi="Barlow" w:cs="Barlow"/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2816745E" wp14:editId="621EB2A1">
              <wp:simplePos x="0" y="0"/>
              <wp:positionH relativeFrom="page">
                <wp:posOffset>0</wp:posOffset>
              </wp:positionH>
              <wp:positionV relativeFrom="page">
                <wp:posOffset>10376535</wp:posOffset>
              </wp:positionV>
              <wp:extent cx="7562850" cy="320040"/>
              <wp:effectExtent l="0" t="0" r="0" b="0"/>
              <wp:wrapNone/>
              <wp:docPr id="1738381137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320040"/>
                      </a:xfrm>
                      <a:prstGeom prst="rect">
                        <a:avLst/>
                      </a:prstGeom>
                      <a:solidFill>
                        <a:srgbClr val="3F485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rect id="Retângulo 2" style="position:absolute;margin-left:0;margin-top:817.05pt;width:595.5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3f4858" stroked="f" w14:anchorId="10475FD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B2Hr6gEAALUDAAAOAAAAZHJzL2Uyb0RvYy54bWysU9tuGjEQfa/Uf7D8XhYIJHTFEkVEVJXS i5T2Awavd9eq1+OODQv9+o4NIah9q/pieTzj4zlnjpf3h96KvaZg0FVyMhpLoZ3C2ri2kt+/bd4t pAgRXA0Wna7kUQd5v3r7Zjn4Uk+xQ1trEgziQjn4SnYx+rIogup0D2GEXjtONkg9RA6pLWqCgdF7 W0zH49tiQKo9odIh8OnjKSlXGb9ptIpfmiboKGwlubeYV8rrNq3FagllS+A7o85twD900YNx/OgF 6hEiiB2Zv6B6owgDNnGksC+waYzSmQOzmYz/YPPcgdeZC4sT/EWm8P9g1ef9s/9KqfXgn1D9CMLh ugPX6gciHDoNNT83SUIVgw/l5UIKAl8V2+ET1jxa2EXMGhwa6hMgsxOHLPXxIrU+RKH48G5+O13M eSKKczc8yVmeRQHly21PIX7Q2Iu0qSTxKDM67J9CTN1A+VKSu0dr6o2xNgfUbteWxB547Deb2WK+ yASY5HWZdanYYbp2QkwnmWZilkwUyi3WR2ZJePIOe503HdIvKQb2TSXDzx2QlsJ+dKzU+8mMqYiY g9n8bsoBXWe21xlwiqEqGaU4bdfxZM6dJ9N2/NIkk3b4wOo2JhN/7ercLHsj63H2cTLfdZyrXn/b 6jcAAAD//wMAUEsDBBQABgAIAAAAIQDtJtd13wAAAAsBAAAPAAAAZHJzL2Rvd25yZXYueG1sTI/B TsMwEETvSPyDtUjcqBNaqjbEqSgCCQQSwrT3TbwkEfE6it02/XucExz3zWh2Jt+MthNHGnzrWEE6 S0AQV860XCvYfT3frED4gGywc0wKzuRhU1xe5JgZd+JPOupQixjCPkMFTQh9JqWvGrLoZ64njtq3 GyyGeA61NAOeYrjt5G2SLKXFluOHBnt6bKj60Qer4E2/tx/r1938ZZvsy3O51bh/0kpdX40P9yAC jeHPDFP9WB2K2Kl0BzZedArikBDpcr5IQUx6uk4jKye2WtyBLHL5f0PxCwAA//8DAFBLAQItABQA BgAIAAAAIQC2gziS/gAAAOEBAAATAAAAAAAAAAAAAAAAAAAAAABbQ29udGVudF9UeXBlc10ueG1s UEsBAi0AFAAGAAgAAAAhADj9If/WAAAAlAEAAAsAAAAAAAAAAAAAAAAALwEAAF9yZWxzLy5yZWxz UEsBAi0AFAAGAAgAAAAhAP4HYevqAQAAtQMAAA4AAAAAAAAAAAAAAAAALgIAAGRycy9lMm9Eb2Mu eG1sUEsBAi0AFAAGAAgAAAAhAO0m13XfAAAACwEAAA8AAAAAAAAAAAAAAAAARAQAAGRycy9kb3du cmV2LnhtbFBLBQYAAAAABAAEAPMAAABQBQAAAAA= 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AFE4" w14:textId="77777777" w:rsidR="006C571D" w:rsidRDefault="006C571D">
      <w:pPr>
        <w:spacing w:line="240" w:lineRule="auto"/>
      </w:pPr>
      <w:r>
        <w:separator/>
      </w:r>
    </w:p>
  </w:footnote>
  <w:footnote w:type="continuationSeparator" w:id="0">
    <w:p w14:paraId="75384695" w14:textId="77777777" w:rsidR="006C571D" w:rsidRDefault="006C571D">
      <w:pPr>
        <w:spacing w:line="240" w:lineRule="auto"/>
      </w:pPr>
      <w:r>
        <w:continuationSeparator/>
      </w:r>
    </w:p>
  </w:footnote>
  <w:footnote w:type="continuationNotice" w:id="1">
    <w:p w14:paraId="0352937E" w14:textId="77777777" w:rsidR="006C571D" w:rsidRDefault="006C571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32F1" w14:textId="77777777" w:rsidR="00671168" w:rsidRDefault="00FB3A49">
    <w:r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100C7F39" wp14:editId="6DDD10E6">
              <wp:simplePos x="0" y="0"/>
              <wp:positionH relativeFrom="page">
                <wp:posOffset>0</wp:posOffset>
              </wp:positionH>
              <wp:positionV relativeFrom="page">
                <wp:posOffset>10069</wp:posOffset>
              </wp:positionV>
              <wp:extent cx="7562850" cy="255270"/>
              <wp:effectExtent l="0" t="0" r="0" b="0"/>
              <wp:wrapNone/>
              <wp:docPr id="2004125276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255270"/>
                      </a:xfrm>
                      <a:prstGeom prst="rect">
                        <a:avLst/>
                      </a:prstGeom>
                      <a:solidFill>
                        <a:srgbClr val="3F485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<w:pict>
            <v:rect id="Retângulo 1" style="position:absolute;margin-left:0;margin-top:.8pt;width:595.5pt;height:20.1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3f4858" stroked="f" w14:anchorId="53B29C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su/76gEAALUDAAAOAAAAZHJzL2Uyb0RvYy54bWysU8Fu2zAMvQ/YPwi6L068uMmMOEWRIsOA bh3Q9QMUWbaFyaJGKXGyrx8lp2mw3YpdBFGknvgen1a3x96wg0KvwVZ8NplypqyEWtu24s8/th+W nPkgbC0MWFXxk/L8dv3+3WpwpcqhA1MrZARifTm4inchuDLLvOxUL/wEnLKUbAB7ESjENqtRDITe myyfTm+yAbB2CFJ5T6f3Y5KvE37TKBkem8arwEzFqbeQVkzrLq7ZeiXKFoXrtDy3Id7QRS+0pUcv UPciCLZH/Q9UryWChyZMJPQZNI2WKnEgNrPpX2yeOuFU4kLieHeRyf8/WPnt8OS+Y2zduweQPz2z sOmEbdUdIgydEjU9N4tCZYPz5eVCDDxdZbvhK9Q0WrEPkDQ4NthHQGLHjknq00VqdQxM0uGiuMmX BU1EUi4vinyRZpGJ8uW2Qx8+K+hZ3FQcaZQJXRwefIjdiPKlJHUPRtdbbUwKsN1tDLKDoLF/3M6X xTIRIJLXZcbGYgvx2ogYTxLNyCyayJc7qE/EEmH0DnmdNh3gb84G8k3F/a+9QMWZ+WJJqU+z+Twa LQXzYpFTgNeZ3XVGWElQFQ+cjdtNGM25d6jbjl6aJdIW7kjdRifir12dmyVvJD3OPo7mu45T1etv W/8BAAD//wMAUEsDBBQABgAIAAAAIQC7Q0tJ3AAAAAYBAAAPAAAAZHJzL2Rvd25yZXYueG1sTI9B S8NAEIXvgv9hGcGb3USltDGbYkVBsSCu7X2SjEkwOxuy2zb9905PenzvDe99k68m16sDjaHzbCCd JaCIK1933BjYfr3cLECFiFxj75kMnCjAqri8yDGr/ZE/6WBjo6SEQ4YG2hiHTOtQteQwzPxALNm3 Hx1GkWOj6xGPUu56fZskc+2wY1locaCnlqofu3cG3u2m+1i+be9e18muPJVri7tna8z11fT4ACrS FP+O4Ywv6FAIU+n3XAfVG5BHorhzUOcwXaZilAbu0wXoItf/8YtfAAAA//8DAFBLAQItABQABgAI AAAAIQC2gziS/gAAAOEBAAATAAAAAAAAAAAAAAAAAAAAAABbQ29udGVudF9UeXBlc10ueG1sUEsB Ai0AFAAGAAgAAAAhADj9If/WAAAAlAEAAAsAAAAAAAAAAAAAAAAALwEAAF9yZWxzLy5yZWxzUEsB Ai0AFAAGAAgAAAAhALCy7/vqAQAAtQMAAA4AAAAAAAAAAAAAAAAALgIAAGRycy9lMm9Eb2MueG1s UEsBAi0AFAAGAAgAAAAhALtDS0ncAAAABgEAAA8AAAAAAAAAAAAAAAAARAQAAGRycy9kb3ducmV2 LnhtbFBLBQYAAAAABAAEAPMAAABNBQAAAAA= ">
              <w10:wrap anchorx="page" anchory="page"/>
            </v:rect>
          </w:pict>
        </mc:Fallback>
      </mc:AlternateContent>
    </w:r>
    <w:r w:rsidR="00000000">
      <w:pict w14:anchorId="12A093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451.3pt;height:145.45pt;z-index:-251658239;mso-wrap-edited:f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 w:rsidR="000A4F60">
      <w:rPr>
        <w:noProof/>
      </w:rPr>
      <w:drawing>
        <wp:anchor distT="114300" distB="114300" distL="114300" distR="114300" simplePos="0" relativeHeight="251658240" behindDoc="0" locked="0" layoutInCell="1" hidden="0" allowOverlap="1" wp14:anchorId="37C03F3A" wp14:editId="65466B49">
          <wp:simplePos x="0" y="0"/>
          <wp:positionH relativeFrom="column">
            <wp:posOffset>-895349</wp:posOffset>
          </wp:positionH>
          <wp:positionV relativeFrom="paragraph">
            <wp:posOffset>-342899</wp:posOffset>
          </wp:positionV>
          <wp:extent cx="6096000" cy="1339273"/>
          <wp:effectExtent l="0" t="0" r="0" b="0"/>
          <wp:wrapNone/>
          <wp:docPr id="108179432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0" cy="13392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EE81" w14:textId="77777777" w:rsidR="00671168" w:rsidRDefault="005C372F">
    <w:r>
      <w:rPr>
        <w:rFonts w:ascii="Times New Roman"/>
        <w:noProof/>
        <w:sz w:val="20"/>
      </w:rPr>
      <w:drawing>
        <wp:anchor distT="0" distB="0" distL="114300" distR="114300" simplePos="0" relativeHeight="251658244" behindDoc="0" locked="0" layoutInCell="1" allowOverlap="1" wp14:anchorId="54DD9AA5" wp14:editId="75AEDEA8">
          <wp:simplePos x="0" y="0"/>
          <wp:positionH relativeFrom="column">
            <wp:posOffset>-848995</wp:posOffset>
          </wp:positionH>
          <wp:positionV relativeFrom="paragraph">
            <wp:posOffset>-148590</wp:posOffset>
          </wp:positionV>
          <wp:extent cx="2736000" cy="857476"/>
          <wp:effectExtent l="0" t="0" r="0" b="0"/>
          <wp:wrapTopAndBottom/>
          <wp:docPr id="1" name="image1.png" descr="Desenho de uma placa  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Desenho de uma placa  Descrição gerada automaticamente com confiança méd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6000" cy="85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B3D41E9" wp14:editId="32E7E1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255270"/>
              <wp:effectExtent l="0" t="0" r="0" b="0"/>
              <wp:wrapNone/>
              <wp:docPr id="624874370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255270"/>
                      </a:xfrm>
                      <a:prstGeom prst="rect">
                        <a:avLst/>
                      </a:prstGeom>
                      <a:solidFill>
                        <a:srgbClr val="3F485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rect id="Retângulo 1" style="position:absolute;margin-left:0;margin-top:0;width:595.5pt;height:20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3f4858" stroked="f" w14:anchorId="31EB512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su/76gEAALUDAAAOAAAAZHJzL2Uyb0RvYy54bWysU8Fu2zAMvQ/YPwi6L068uMmMOEWRIsOA bh3Q9QMUWbaFyaJGKXGyrx8lp2mw3YpdBFGknvgen1a3x96wg0KvwVZ8NplypqyEWtu24s8/th+W nPkgbC0MWFXxk/L8dv3+3WpwpcqhA1MrZARifTm4inchuDLLvOxUL/wEnLKUbAB7ESjENqtRDITe myyfTm+yAbB2CFJ5T6f3Y5KvE37TKBkem8arwEzFqbeQVkzrLq7ZeiXKFoXrtDy3Id7QRS+0pUcv UPciCLZH/Q9UryWChyZMJPQZNI2WKnEgNrPpX2yeOuFU4kLieHeRyf8/WPnt8OS+Y2zduweQPz2z sOmEbdUdIgydEjU9N4tCZYPz5eVCDDxdZbvhK9Q0WrEPkDQ4NthHQGLHjknq00VqdQxM0uGiuMmX BU1EUi4vinyRZpGJ8uW2Qx8+K+hZ3FQcaZQJXRwefIjdiPKlJHUPRtdbbUwKsN1tDLKDoLF/3M6X xTIRIJLXZcbGYgvx2ogYTxLNyCyayJc7qE/EEmH0DnmdNh3gb84G8k3F/a+9QMWZ+WJJqU+z+Twa LQXzYpFTgNeZ3XVGWElQFQ+cjdtNGM25d6jbjl6aJdIW7kjdRifir12dmyVvJD3OPo7mu45T1etv W/8BAAD//wMAUEsDBBQABgAIAAAAIQCuo4/22wAAAAUBAAAPAAAAZHJzL2Rvd25yZXYueG1sTI9B S8NAEIXvgv9hGcGb3U0VsTGbYkVBsSCu7X2SHZNgdjZkt23679160cuDxxve+6ZYTq4XexpD51lD NlMgiGtvO240bD6fr+5AhIhssfdMGo4UYFmenxWYW3/gD9qb2IhUwiFHDW2MQy5lqFtyGGZ+IE7Z lx8dxmTHRtoRD6nc9XKu1K102HFaaHGgx5bqb7NzGt7MuntfvG6uX1ZqWx2rlcHtk9H68mJ6uAcR aYp/x3DCT+hQJqbK79gG0WtIj8RfPWXZIku+0nCj5iDLQv6nL38AAAD//wMAUEsBAi0AFAAGAAgA AAAhALaDOJL+AAAA4QEAABMAAAAAAAAAAAAAAAAAAAAAAFtDb250ZW50X1R5cGVzXS54bWxQSwEC LQAUAAYACAAAACEAOP0h/9YAAACUAQAACwAAAAAAAAAAAAAAAAAvAQAAX3JlbHMvLnJlbHNQSwEC LQAUAAYACAAAACEAsLLv++oBAAC1AwAADgAAAAAAAAAAAAAAAAAuAgAAZHJzL2Uyb0RvYy54bWxQ SwECLQAUAAYACAAAACEArqOP9tsAAAAFAQAADwAAAAAAAAAAAAAAAABEBAAAZHJzL2Rvd25yZXYu eG1sUEsFBgAAAAAEAAQA8wAAAEwFAAAAAA== ">
              <w10:wrap anchorx="page" anchory="page"/>
            </v:rect>
          </w:pict>
        </mc:Fallback>
      </mc:AlternateContent>
    </w:r>
    <w:r w:rsidR="00000000">
      <w:pict w14:anchorId="598EB9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451.3pt;height:145.45pt;z-index:-251658238;mso-wrap-edited:f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AC36"/>
    <w:multiLevelType w:val="hybridMultilevel"/>
    <w:tmpl w:val="4716818E"/>
    <w:lvl w:ilvl="0" w:tplc="A40E2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74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A3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23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8C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88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E5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C4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2F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759B"/>
    <w:multiLevelType w:val="hybridMultilevel"/>
    <w:tmpl w:val="D5EEBDD4"/>
    <w:lvl w:ilvl="0" w:tplc="16A64ED2">
      <w:start w:val="1"/>
      <w:numFmt w:val="decimal"/>
      <w:lvlText w:val="%1."/>
      <w:lvlJc w:val="left"/>
      <w:pPr>
        <w:ind w:left="720" w:hanging="360"/>
      </w:pPr>
    </w:lvl>
    <w:lvl w:ilvl="1" w:tplc="6104509E">
      <w:start w:val="1"/>
      <w:numFmt w:val="lowerLetter"/>
      <w:lvlText w:val="%2."/>
      <w:lvlJc w:val="left"/>
      <w:pPr>
        <w:ind w:left="1440" w:hanging="360"/>
      </w:pPr>
    </w:lvl>
    <w:lvl w:ilvl="2" w:tplc="14961128">
      <w:start w:val="1"/>
      <w:numFmt w:val="lowerRoman"/>
      <w:lvlText w:val="%3."/>
      <w:lvlJc w:val="right"/>
      <w:pPr>
        <w:ind w:left="2160" w:hanging="180"/>
      </w:pPr>
    </w:lvl>
    <w:lvl w:ilvl="3" w:tplc="A5262418">
      <w:start w:val="1"/>
      <w:numFmt w:val="decimal"/>
      <w:lvlText w:val="%4."/>
      <w:lvlJc w:val="left"/>
      <w:pPr>
        <w:ind w:left="2880" w:hanging="360"/>
      </w:pPr>
    </w:lvl>
    <w:lvl w:ilvl="4" w:tplc="38BCE698">
      <w:start w:val="1"/>
      <w:numFmt w:val="lowerLetter"/>
      <w:lvlText w:val="%5."/>
      <w:lvlJc w:val="left"/>
      <w:pPr>
        <w:ind w:left="3600" w:hanging="360"/>
      </w:pPr>
    </w:lvl>
    <w:lvl w:ilvl="5" w:tplc="191837AC">
      <w:start w:val="1"/>
      <w:numFmt w:val="lowerRoman"/>
      <w:lvlText w:val="%6."/>
      <w:lvlJc w:val="right"/>
      <w:pPr>
        <w:ind w:left="4320" w:hanging="180"/>
      </w:pPr>
    </w:lvl>
    <w:lvl w:ilvl="6" w:tplc="38043F02">
      <w:start w:val="1"/>
      <w:numFmt w:val="decimal"/>
      <w:lvlText w:val="%7."/>
      <w:lvlJc w:val="left"/>
      <w:pPr>
        <w:ind w:left="5040" w:hanging="360"/>
      </w:pPr>
    </w:lvl>
    <w:lvl w:ilvl="7" w:tplc="99C0DE16">
      <w:start w:val="1"/>
      <w:numFmt w:val="lowerLetter"/>
      <w:lvlText w:val="%8."/>
      <w:lvlJc w:val="left"/>
      <w:pPr>
        <w:ind w:left="5760" w:hanging="360"/>
      </w:pPr>
    </w:lvl>
    <w:lvl w:ilvl="8" w:tplc="9DE292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37ABA"/>
    <w:multiLevelType w:val="hybridMultilevel"/>
    <w:tmpl w:val="1A22ED1E"/>
    <w:lvl w:ilvl="0" w:tplc="33327A42">
      <w:start w:val="1"/>
      <w:numFmt w:val="lowerLetter"/>
      <w:lvlText w:val="%1)"/>
      <w:lvlJc w:val="left"/>
      <w:pPr>
        <w:ind w:left="720" w:hanging="360"/>
      </w:pPr>
    </w:lvl>
    <w:lvl w:ilvl="1" w:tplc="B91884B4">
      <w:start w:val="1"/>
      <w:numFmt w:val="lowerLetter"/>
      <w:lvlText w:val="%2."/>
      <w:lvlJc w:val="left"/>
      <w:pPr>
        <w:ind w:left="1440" w:hanging="360"/>
      </w:pPr>
    </w:lvl>
    <w:lvl w:ilvl="2" w:tplc="6E6C7C84">
      <w:start w:val="1"/>
      <w:numFmt w:val="lowerRoman"/>
      <w:lvlText w:val="%3."/>
      <w:lvlJc w:val="right"/>
      <w:pPr>
        <w:ind w:left="2160" w:hanging="180"/>
      </w:pPr>
    </w:lvl>
    <w:lvl w:ilvl="3" w:tplc="41502212">
      <w:start w:val="1"/>
      <w:numFmt w:val="decimal"/>
      <w:lvlText w:val="%4."/>
      <w:lvlJc w:val="left"/>
      <w:pPr>
        <w:ind w:left="2880" w:hanging="360"/>
      </w:pPr>
    </w:lvl>
    <w:lvl w:ilvl="4" w:tplc="63A8BCB8">
      <w:start w:val="1"/>
      <w:numFmt w:val="lowerLetter"/>
      <w:lvlText w:val="%5."/>
      <w:lvlJc w:val="left"/>
      <w:pPr>
        <w:ind w:left="3600" w:hanging="360"/>
      </w:pPr>
    </w:lvl>
    <w:lvl w:ilvl="5" w:tplc="986CDC42">
      <w:start w:val="1"/>
      <w:numFmt w:val="lowerRoman"/>
      <w:lvlText w:val="%6."/>
      <w:lvlJc w:val="right"/>
      <w:pPr>
        <w:ind w:left="4320" w:hanging="180"/>
      </w:pPr>
    </w:lvl>
    <w:lvl w:ilvl="6" w:tplc="7CC4F00E">
      <w:start w:val="1"/>
      <w:numFmt w:val="decimal"/>
      <w:lvlText w:val="%7."/>
      <w:lvlJc w:val="left"/>
      <w:pPr>
        <w:ind w:left="5040" w:hanging="360"/>
      </w:pPr>
    </w:lvl>
    <w:lvl w:ilvl="7" w:tplc="EA3C8FCE">
      <w:start w:val="1"/>
      <w:numFmt w:val="lowerLetter"/>
      <w:lvlText w:val="%8."/>
      <w:lvlJc w:val="left"/>
      <w:pPr>
        <w:ind w:left="5760" w:hanging="360"/>
      </w:pPr>
    </w:lvl>
    <w:lvl w:ilvl="8" w:tplc="38206E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64C77"/>
    <w:multiLevelType w:val="hybridMultilevel"/>
    <w:tmpl w:val="CA20E034"/>
    <w:lvl w:ilvl="0" w:tplc="BCD61188">
      <w:start w:val="1"/>
      <w:numFmt w:val="decimal"/>
      <w:lvlText w:val="%1."/>
      <w:lvlJc w:val="left"/>
      <w:pPr>
        <w:ind w:left="720" w:hanging="360"/>
      </w:pPr>
    </w:lvl>
    <w:lvl w:ilvl="1" w:tplc="E9B2D1B0">
      <w:start w:val="1"/>
      <w:numFmt w:val="lowerLetter"/>
      <w:lvlText w:val="%2."/>
      <w:lvlJc w:val="left"/>
      <w:pPr>
        <w:ind w:left="1440" w:hanging="360"/>
      </w:pPr>
    </w:lvl>
    <w:lvl w:ilvl="2" w:tplc="C342680C">
      <w:start w:val="1"/>
      <w:numFmt w:val="lowerRoman"/>
      <w:lvlText w:val="%3."/>
      <w:lvlJc w:val="right"/>
      <w:pPr>
        <w:ind w:left="2160" w:hanging="180"/>
      </w:pPr>
    </w:lvl>
    <w:lvl w:ilvl="3" w:tplc="F134E6F2">
      <w:start w:val="1"/>
      <w:numFmt w:val="decimal"/>
      <w:lvlText w:val="%4."/>
      <w:lvlJc w:val="left"/>
      <w:pPr>
        <w:ind w:left="2880" w:hanging="360"/>
      </w:pPr>
    </w:lvl>
    <w:lvl w:ilvl="4" w:tplc="737E0FD2">
      <w:start w:val="1"/>
      <w:numFmt w:val="lowerLetter"/>
      <w:lvlText w:val="%5."/>
      <w:lvlJc w:val="left"/>
      <w:pPr>
        <w:ind w:left="3600" w:hanging="360"/>
      </w:pPr>
    </w:lvl>
    <w:lvl w:ilvl="5" w:tplc="4754B634">
      <w:start w:val="1"/>
      <w:numFmt w:val="lowerRoman"/>
      <w:lvlText w:val="%6."/>
      <w:lvlJc w:val="right"/>
      <w:pPr>
        <w:ind w:left="4320" w:hanging="180"/>
      </w:pPr>
    </w:lvl>
    <w:lvl w:ilvl="6" w:tplc="74A44702">
      <w:start w:val="1"/>
      <w:numFmt w:val="decimal"/>
      <w:lvlText w:val="%7."/>
      <w:lvlJc w:val="left"/>
      <w:pPr>
        <w:ind w:left="5040" w:hanging="360"/>
      </w:pPr>
    </w:lvl>
    <w:lvl w:ilvl="7" w:tplc="923A6798">
      <w:start w:val="1"/>
      <w:numFmt w:val="lowerLetter"/>
      <w:lvlText w:val="%8."/>
      <w:lvlJc w:val="left"/>
      <w:pPr>
        <w:ind w:left="5760" w:hanging="360"/>
      </w:pPr>
    </w:lvl>
    <w:lvl w:ilvl="8" w:tplc="B3DEF6D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21E34"/>
    <w:multiLevelType w:val="hybridMultilevel"/>
    <w:tmpl w:val="F864BA96"/>
    <w:lvl w:ilvl="0" w:tplc="C388E73C">
      <w:start w:val="1"/>
      <w:numFmt w:val="decimal"/>
      <w:lvlText w:val="%1."/>
      <w:lvlJc w:val="left"/>
      <w:pPr>
        <w:ind w:left="720" w:hanging="360"/>
      </w:pPr>
    </w:lvl>
    <w:lvl w:ilvl="1" w:tplc="AA8AF614">
      <w:start w:val="1"/>
      <w:numFmt w:val="lowerLetter"/>
      <w:lvlText w:val="%2."/>
      <w:lvlJc w:val="left"/>
      <w:pPr>
        <w:ind w:left="1440" w:hanging="360"/>
      </w:pPr>
    </w:lvl>
    <w:lvl w:ilvl="2" w:tplc="23560634">
      <w:start w:val="1"/>
      <w:numFmt w:val="lowerRoman"/>
      <w:lvlText w:val="%3."/>
      <w:lvlJc w:val="right"/>
      <w:pPr>
        <w:ind w:left="2160" w:hanging="180"/>
      </w:pPr>
    </w:lvl>
    <w:lvl w:ilvl="3" w:tplc="4C8AA1B6">
      <w:start w:val="1"/>
      <w:numFmt w:val="decimal"/>
      <w:lvlText w:val="%4."/>
      <w:lvlJc w:val="left"/>
      <w:pPr>
        <w:ind w:left="2880" w:hanging="360"/>
      </w:pPr>
    </w:lvl>
    <w:lvl w:ilvl="4" w:tplc="5AAE3E14">
      <w:start w:val="1"/>
      <w:numFmt w:val="lowerLetter"/>
      <w:lvlText w:val="%5."/>
      <w:lvlJc w:val="left"/>
      <w:pPr>
        <w:ind w:left="3600" w:hanging="360"/>
      </w:pPr>
    </w:lvl>
    <w:lvl w:ilvl="5" w:tplc="FA36B6B2">
      <w:start w:val="1"/>
      <w:numFmt w:val="lowerRoman"/>
      <w:lvlText w:val="%6."/>
      <w:lvlJc w:val="right"/>
      <w:pPr>
        <w:ind w:left="4320" w:hanging="180"/>
      </w:pPr>
    </w:lvl>
    <w:lvl w:ilvl="6" w:tplc="7874780A">
      <w:start w:val="1"/>
      <w:numFmt w:val="decimal"/>
      <w:lvlText w:val="%7."/>
      <w:lvlJc w:val="left"/>
      <w:pPr>
        <w:ind w:left="5040" w:hanging="360"/>
      </w:pPr>
    </w:lvl>
    <w:lvl w:ilvl="7" w:tplc="873A4288">
      <w:start w:val="1"/>
      <w:numFmt w:val="lowerLetter"/>
      <w:lvlText w:val="%8."/>
      <w:lvlJc w:val="left"/>
      <w:pPr>
        <w:ind w:left="5760" w:hanging="360"/>
      </w:pPr>
    </w:lvl>
    <w:lvl w:ilvl="8" w:tplc="DACECD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FA2DA"/>
    <w:multiLevelType w:val="hybridMultilevel"/>
    <w:tmpl w:val="5358DC14"/>
    <w:lvl w:ilvl="0" w:tplc="88849748">
      <w:start w:val="1"/>
      <w:numFmt w:val="decimal"/>
      <w:lvlText w:val="%1."/>
      <w:lvlJc w:val="left"/>
      <w:pPr>
        <w:ind w:left="720" w:hanging="360"/>
      </w:pPr>
    </w:lvl>
    <w:lvl w:ilvl="1" w:tplc="10284BB2">
      <w:start w:val="1"/>
      <w:numFmt w:val="lowerLetter"/>
      <w:lvlText w:val="%2."/>
      <w:lvlJc w:val="left"/>
      <w:pPr>
        <w:ind w:left="1440" w:hanging="360"/>
      </w:pPr>
    </w:lvl>
    <w:lvl w:ilvl="2" w:tplc="68B8E658">
      <w:start w:val="1"/>
      <w:numFmt w:val="lowerRoman"/>
      <w:lvlText w:val="%3."/>
      <w:lvlJc w:val="right"/>
      <w:pPr>
        <w:ind w:left="2160" w:hanging="180"/>
      </w:pPr>
    </w:lvl>
    <w:lvl w:ilvl="3" w:tplc="6D12AAC2">
      <w:start w:val="1"/>
      <w:numFmt w:val="decimal"/>
      <w:lvlText w:val="%4."/>
      <w:lvlJc w:val="left"/>
      <w:pPr>
        <w:ind w:left="2880" w:hanging="360"/>
      </w:pPr>
    </w:lvl>
    <w:lvl w:ilvl="4" w:tplc="852A1A9C">
      <w:start w:val="1"/>
      <w:numFmt w:val="lowerLetter"/>
      <w:lvlText w:val="%5."/>
      <w:lvlJc w:val="left"/>
      <w:pPr>
        <w:ind w:left="3600" w:hanging="360"/>
      </w:pPr>
    </w:lvl>
    <w:lvl w:ilvl="5" w:tplc="5706E524">
      <w:start w:val="1"/>
      <w:numFmt w:val="lowerRoman"/>
      <w:lvlText w:val="%6."/>
      <w:lvlJc w:val="right"/>
      <w:pPr>
        <w:ind w:left="4320" w:hanging="180"/>
      </w:pPr>
    </w:lvl>
    <w:lvl w:ilvl="6" w:tplc="3696A506">
      <w:start w:val="1"/>
      <w:numFmt w:val="decimal"/>
      <w:lvlText w:val="%7."/>
      <w:lvlJc w:val="left"/>
      <w:pPr>
        <w:ind w:left="5040" w:hanging="360"/>
      </w:pPr>
    </w:lvl>
    <w:lvl w:ilvl="7" w:tplc="45E4A408">
      <w:start w:val="1"/>
      <w:numFmt w:val="lowerLetter"/>
      <w:lvlText w:val="%8."/>
      <w:lvlJc w:val="left"/>
      <w:pPr>
        <w:ind w:left="5760" w:hanging="360"/>
      </w:pPr>
    </w:lvl>
    <w:lvl w:ilvl="8" w:tplc="73D06C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E38A4"/>
    <w:multiLevelType w:val="hybridMultilevel"/>
    <w:tmpl w:val="C486EECE"/>
    <w:lvl w:ilvl="0" w:tplc="17D6C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A07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88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E4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43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44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EC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8F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60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753390">
    <w:abstractNumId w:val="6"/>
  </w:num>
  <w:num w:numId="2" w16cid:durableId="326522466">
    <w:abstractNumId w:val="2"/>
  </w:num>
  <w:num w:numId="3" w16cid:durableId="2083477389">
    <w:abstractNumId w:val="1"/>
  </w:num>
  <w:num w:numId="4" w16cid:durableId="1916208489">
    <w:abstractNumId w:val="0"/>
  </w:num>
  <w:num w:numId="5" w16cid:durableId="1812401154">
    <w:abstractNumId w:val="4"/>
  </w:num>
  <w:num w:numId="6" w16cid:durableId="203181582">
    <w:abstractNumId w:val="3"/>
  </w:num>
  <w:num w:numId="7" w16cid:durableId="55397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168"/>
    <w:rsid w:val="00003979"/>
    <w:rsid w:val="00041E14"/>
    <w:rsid w:val="00047DBE"/>
    <w:rsid w:val="000503C0"/>
    <w:rsid w:val="000A4F60"/>
    <w:rsid w:val="000B3D1F"/>
    <w:rsid w:val="000C47BD"/>
    <w:rsid w:val="000C5C73"/>
    <w:rsid w:val="00291A41"/>
    <w:rsid w:val="003A065B"/>
    <w:rsid w:val="003E75A6"/>
    <w:rsid w:val="004B5633"/>
    <w:rsid w:val="004C5819"/>
    <w:rsid w:val="004E2412"/>
    <w:rsid w:val="00572A5C"/>
    <w:rsid w:val="00594906"/>
    <w:rsid w:val="005C372F"/>
    <w:rsid w:val="005C5729"/>
    <w:rsid w:val="00615C21"/>
    <w:rsid w:val="0063733E"/>
    <w:rsid w:val="00643D4A"/>
    <w:rsid w:val="00671168"/>
    <w:rsid w:val="006C3AEB"/>
    <w:rsid w:val="006C571D"/>
    <w:rsid w:val="0071542D"/>
    <w:rsid w:val="00727DA3"/>
    <w:rsid w:val="0075034C"/>
    <w:rsid w:val="0078641A"/>
    <w:rsid w:val="007B5E7B"/>
    <w:rsid w:val="007F6FEA"/>
    <w:rsid w:val="008B2E70"/>
    <w:rsid w:val="009411FB"/>
    <w:rsid w:val="0096329A"/>
    <w:rsid w:val="009A721A"/>
    <w:rsid w:val="009E0DDE"/>
    <w:rsid w:val="00A47B13"/>
    <w:rsid w:val="00AF6F00"/>
    <w:rsid w:val="00C73459"/>
    <w:rsid w:val="00CC6D38"/>
    <w:rsid w:val="00E12373"/>
    <w:rsid w:val="00E352E2"/>
    <w:rsid w:val="00E40814"/>
    <w:rsid w:val="00E8493E"/>
    <w:rsid w:val="00EB023F"/>
    <w:rsid w:val="00FA6D75"/>
    <w:rsid w:val="00FB3A49"/>
    <w:rsid w:val="00FB46B0"/>
    <w:rsid w:val="00FC44B6"/>
    <w:rsid w:val="12020A1A"/>
    <w:rsid w:val="139F3D0C"/>
    <w:rsid w:val="2DAFD068"/>
    <w:rsid w:val="4F285F4C"/>
    <w:rsid w:val="54A2DECA"/>
    <w:rsid w:val="54CFE4A4"/>
    <w:rsid w:val="5B3FD27B"/>
    <w:rsid w:val="66D84F53"/>
    <w:rsid w:val="6ECD6380"/>
    <w:rsid w:val="6EE10618"/>
    <w:rsid w:val="7800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6A0BB"/>
  <w15:docId w15:val="{54DDF739-49CF-4F02-B798-3FF6D5FC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E4081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0814"/>
  </w:style>
  <w:style w:type="paragraph" w:styleId="Rodap">
    <w:name w:val="footer"/>
    <w:basedOn w:val="Normal"/>
    <w:link w:val="RodapChar"/>
    <w:uiPriority w:val="99"/>
    <w:unhideWhenUsed/>
    <w:rsid w:val="00E4081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0814"/>
  </w:style>
  <w:style w:type="character" w:styleId="Hyperlink">
    <w:name w:val="Hyperlink"/>
    <w:basedOn w:val="Fontepargpadro"/>
    <w:uiPriority w:val="99"/>
    <w:unhideWhenUsed/>
    <w:rsid w:val="00FB46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46B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link w:val="StandardChar"/>
    <w:qFormat/>
    <w:rsid w:val="00EB023F"/>
    <w:pPr>
      <w:keepNext/>
      <w:suppressAutoHyphens/>
      <w:autoSpaceDN w:val="0"/>
      <w:spacing w:line="240" w:lineRule="auto"/>
    </w:pPr>
    <w:rPr>
      <w:rFonts w:ascii="Liberation Serif" w:eastAsia="Liberation Serif" w:hAnsi="Liberation Serif" w:cs="Liberation Serif"/>
      <w:color w:val="000000"/>
      <w:kern w:val="3"/>
      <w:sz w:val="24"/>
      <w:szCs w:val="24"/>
      <w:lang w:eastAsia="zh-CN" w:bidi="hi-IN"/>
    </w:rPr>
  </w:style>
  <w:style w:type="character" w:customStyle="1" w:styleId="normaltextrun">
    <w:name w:val="normaltextrun"/>
    <w:basedOn w:val="Fontepargpadro"/>
    <w:rsid w:val="00EB023F"/>
  </w:style>
  <w:style w:type="character" w:customStyle="1" w:styleId="eop">
    <w:name w:val="eop"/>
    <w:basedOn w:val="Fontepargpadro"/>
    <w:rsid w:val="00EB023F"/>
  </w:style>
  <w:style w:type="character" w:customStyle="1" w:styleId="StandardChar">
    <w:name w:val="Standard Char"/>
    <w:basedOn w:val="Fontepargpadro"/>
    <w:link w:val="Standard"/>
    <w:rsid w:val="00EB023F"/>
    <w:rPr>
      <w:rFonts w:ascii="Liberation Serif" w:eastAsia="Liberation Serif" w:hAnsi="Liberation Serif" w:cs="Liberation Serif"/>
      <w:color w:val="000000"/>
      <w:kern w:val="3"/>
      <w:sz w:val="24"/>
      <w:szCs w:val="24"/>
      <w:lang w:eastAsia="zh-CN" w:bidi="hi-IN"/>
    </w:rPr>
  </w:style>
  <w:style w:type="paragraph" w:styleId="SemEspaamento">
    <w:name w:val="No Spacing"/>
    <w:uiPriority w:val="1"/>
    <w:qFormat/>
    <w:pPr>
      <w:spacing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E8493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to@cmpadvogados.com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to@cmpadvogados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2625</Words>
  <Characters>14179</Characters>
  <Application>Microsoft Office Word</Application>
  <DocSecurity>0</DocSecurity>
  <Lines>118</Lines>
  <Paragraphs>33</Paragraphs>
  <ScaleCrop>false</ScaleCrop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djan henrique mendonça</dc:creator>
  <cp:keywords/>
  <cp:lastModifiedBy>djan henrique mendonça</cp:lastModifiedBy>
  <cp:revision>22</cp:revision>
  <dcterms:created xsi:type="dcterms:W3CDTF">2024-09-03T15:34:00Z</dcterms:created>
  <dcterms:modified xsi:type="dcterms:W3CDTF">2026-06-18T03:36:00Z</dcterms:modified>
</cp:coreProperties>
</file>