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i w:val="0"/>
          <w:sz w:val="22"/>
        </w:rPr>
        <w:t>Manuscript: JADR-D-26-00295</w:t>
      </w:r>
    </w:p>
    <w:p>
      <w:pPr>
        <w:spacing w:before="0" w:after="120"/>
      </w:pPr>
      <w:r>
        <w:rPr>
          <w:b w:val="0"/>
          <w:i w:val="0"/>
          <w:sz w:val="22"/>
        </w:rPr>
        <w:t>Title: Reduced Temporal Neural Coherence in Major Depressive Disorder: A Multimodal EEG Study of Active Information Storage Across Datasets</w:t>
      </w:r>
    </w:p>
    <w:p>
      <w:pPr>
        <w:spacing w:before="0" w:after="120"/>
      </w:pPr>
      <w:r>
        <w:rPr>
          <w:b/>
          <w:i w:val="0"/>
          <w:sz w:val="22"/>
        </w:rPr>
        <w:t>Response to Reviewer #1 — Revision 1</w:t>
      </w:r>
    </w:p>
    <w:p>
      <w:pPr>
        <w:spacing w:before="0" w:after="240"/>
      </w:pPr>
      <w:r>
        <w:rPr>
          <w:b w:val="0"/>
          <w:i w:val="0"/>
          <w:sz w:val="22"/>
        </w:rPr>
        <w:t>Date: June 2026</w:t>
      </w:r>
    </w:p>
    <w:p>
      <w:pPr>
        <w:spacing w:before="160" w:after="160"/>
      </w:pPr>
      <w:r>
        <w:rPr>
          <w:color w:val="999999"/>
          <w:sz w:val="18"/>
        </w:rPr>
        <w:t>──────────────────────────────────────────────────────────────────────</w:t>
      </w:r>
    </w:p>
    <w:p>
      <w:pPr>
        <w:spacing w:before="240" w:after="120"/>
      </w:pPr>
      <w:r>
        <w:rPr>
          <w:b/>
          <w:sz w:val="24"/>
        </w:rPr>
        <w:t>Introductory Statement</w:t>
      </w:r>
    </w:p>
    <w:p>
      <w:pPr>
        <w:spacing w:before="0" w:after="200"/>
      </w:pPr>
      <w:r>
        <w:rPr>
          <w:b w:val="0"/>
          <w:i w:val="0"/>
          <w:sz w:val="22"/>
        </w:rPr>
        <w:t>We thank the reviewer for their careful and constructive evaluation. The reviewer's comments were received following submission of a substantially revised manuscript that had already addressed the concerns raised during the initial JAD review; we recognise, however, that the reviewer evaluated the original version. We have now implemented all requested revisions, and additionally corrected several factual errors identified through an internal post-submission audit. Changes are highlighted in the revised manuscript (v14). We address each point below.</w:t>
        <w:br/>
        <w:br/>
        <w:t>We note that, in addition to the reviewer's seven concerns, an internal forensic audit conducted after submission identified four factual errors in the submitted manuscript. We correct these proactively in this revision as a matter of scientific integrity, independent of reviewer requests. Full details are provided at the end of this response (Section: Post-Submission Corrections).</w:t>
      </w:r>
    </w:p>
    <w:p>
      <w:pPr>
        <w:spacing w:before="160" w:after="160"/>
      </w:pPr>
      <w:r>
        <w:rPr>
          <w:color w:val="999999"/>
          <w:sz w:val="18"/>
        </w:rPr>
        <w:t>──────────────────────────────────────────────────────────────────────</w:t>
      </w:r>
    </w:p>
    <w:p>
      <w:pPr>
        <w:spacing w:before="240" w:after="120"/>
      </w:pPr>
      <w:r>
        <w:rPr>
          <w:b/>
          <w:sz w:val="24"/>
        </w:rPr>
        <w:t>Reviewer Comment 1: Structure and Clarity of the Introduction</w:t>
      </w:r>
    </w:p>
    <w:p>
      <w:pPr>
        <w:spacing w:before="120" w:after="120"/>
        <w:ind w:left="432"/>
      </w:pPr>
      <w:r>
        <w:rPr>
          <w:b/>
          <w:i w:val="0"/>
          <w:sz w:val="22"/>
        </w:rPr>
        <w:t xml:space="preserve">Reviewer comment: </w:t>
      </w:r>
      <w:r>
        <w:rPr>
          <w:i/>
          <w:sz w:val="22"/>
        </w:rPr>
        <w:t>The Introduction is difficult to follow. The theoretical motivation for using Active Information Storage, the rationale for the FCz electrode, and the methodological details (lag, binning) appear to be mixed together rather than organised into a coherent narrative. The connection between MDD, anticipatory anhedonia, and the AIS measure is not clearly established before the reader encounters specific technical parameters.</w:t>
      </w:r>
    </w:p>
    <w:p>
      <w:pPr>
        <w:spacing w:before="120" w:after="60"/>
      </w:pPr>
      <w:r>
        <w:rPr>
          <w:b/>
          <w:sz w:val="22"/>
        </w:rPr>
        <w:t>Response:</w:t>
      </w:r>
    </w:p>
    <w:p>
      <w:pPr>
        <w:spacing w:before="0" w:after="120"/>
      </w:pPr>
      <w:r>
        <w:rPr>
          <w:b w:val="0"/>
          <w:i w:val="0"/>
          <w:sz w:val="22"/>
        </w:rPr>
        <w:t>We agree that the original Introduction conflated theoretical framing with methodological detail. The revised manuscript restructures the Introduction into three clearly delimited paragraphs: (1) the epidemiological burden of MDD and the unmet need for reliable biomarkers; (2) EEG as a practical neuroimaging tool and the limitations of current EEG biomarkers (alpha asymmetry, frontal theta); and (3) the theoretical motivation for AIS, moving from predictive processing frameworks through anticipatory anhedonia to the specific hypothesis about temporal neural coherence at FCz. Technical parameters (lag = 1, n_bins = 4) have been removed from the Introduction and relocated to Section 2.3 (AIS Estimation), where they are accompanied by a systematic justification. The FCz electrode choice is now explicitly grounded in the anatomical literature linking this frontal midline site to the sgACC/BA25 system (Pirrung et al., 2025), providing the mechanistic link between the neural generator, AIS, and anticipatory anhedonia.</w:t>
      </w:r>
    </w:p>
    <w:p>
      <w:pPr>
        <w:spacing w:before="120" w:after="60"/>
      </w:pPr>
      <w:r>
        <w:rPr>
          <w:b/>
          <w:sz w:val="22"/>
        </w:rPr>
        <w:t>Changes made:</w:t>
      </w:r>
    </w:p>
    <w:p>
      <w:pPr>
        <w:spacing w:before="0" w:after="200"/>
      </w:pPr>
      <w:r>
        <w:rPr>
          <w:b w:val="0"/>
          <w:i w:val="0"/>
          <w:sz w:val="22"/>
        </w:rPr>
        <w:t>Introduction restructured into three paragraphs (pp. 2–4 of revised manuscript); Methods Section 2.3 expanded with lag/binning rationale; FCz anatomical justification added with citation to Pirrung et al. (2025).</w:t>
      </w:r>
    </w:p>
    <w:p>
      <w:pPr>
        <w:spacing w:before="160" w:after="160"/>
      </w:pPr>
      <w:r>
        <w:rPr>
          <w:color w:val="999999"/>
          <w:sz w:val="18"/>
        </w:rPr>
        <w:t>──────────────────────────────────────────────────────────────────────</w:t>
      </w:r>
    </w:p>
    <w:p>
      <w:pPr>
        <w:spacing w:before="240" w:after="120"/>
      </w:pPr>
      <w:r>
        <w:rPr>
          <w:b/>
          <w:sz w:val="24"/>
        </w:rPr>
        <w:t>Reviewer Comment 2: Dataset Heterogeneity and Pooled Evidence</w:t>
      </w:r>
    </w:p>
    <w:p>
      <w:pPr>
        <w:spacing w:before="120" w:after="120"/>
        <w:ind w:left="432"/>
      </w:pPr>
      <w:r>
        <w:rPr>
          <w:b/>
          <w:i w:val="0"/>
          <w:sz w:val="22"/>
        </w:rPr>
        <w:t xml:space="preserve">Reviewer comment: </w:t>
      </w:r>
      <w:r>
        <w:rPr>
          <w:i/>
          <w:sz w:val="22"/>
        </w:rPr>
        <w:t>The paper draws conclusions across multiple datasets that differ substantially in clinical severity, preprocessing pipelines, sampling rates, and participant populations. Without a formal meta-analytic synthesis, it is difficult to evaluate how much weight to give to each dataset. The authors should either provide a quantitative pooled estimate or clearly state that this is a qualitative synthesis only.</w:t>
      </w:r>
    </w:p>
    <w:p>
      <w:pPr>
        <w:spacing w:before="120" w:after="60"/>
      </w:pPr>
      <w:r>
        <w:rPr>
          <w:b/>
          <w:sz w:val="22"/>
        </w:rPr>
        <w:t>Response:</w:t>
      </w:r>
    </w:p>
    <w:p>
      <w:pPr>
        <w:spacing w:before="0" w:after="120"/>
      </w:pPr>
      <w:r>
        <w:rPr>
          <w:b w:val="0"/>
          <w:i w:val="0"/>
          <w:sz w:val="22"/>
        </w:rPr>
        <w:t>We have added a formal random-effects meta-analytic synthesis (Figure 2) using the DerSimonian-Laird estimator. Crucially, an internal post-submission audit identified that Datasets 1 (Cavanagh PST; ds003474) and 2 (Cavanagh REST; ds003478) involve the same 109 participants measured in different task contexts. We have corrected this in the revised manuscript: the random-effects pooled estimate is now based exclusively on the two genuinely independent datasets (ds003478 EEG rest, N=113; TDBRAIN EEG rest, N=168), yielding d = 0.59 [95% CI: 0.31, 0.86], I² = 0%, Q = 0.36, p = .55. The Cavanagh PST dataset is retained in Figure 2 to illustrate the task vs. rest comparison within the same cohort, with an explicit independence note in both Section 2.5 and the Figure 2 caption. Additionally, a fifth replication using MEG (Cavanagh ds005356; N = 82: HC = 35, MDD = 47) provides cross-modal evidence (d = 0.37, p = .164, two-tailed); this dataset is excluded from the pooled estimate. Dataset Comparability (Section 2.5) has been reformulated to articulate the multi-cohort adversarial design as a robustness argument: consistent directionality across datasets that differ in every potential confound except the hypothesised MDD-related mechanism strengthens rather than undermines the inference.</w:t>
      </w:r>
    </w:p>
    <w:p>
      <w:pPr>
        <w:spacing w:before="120" w:after="60"/>
      </w:pPr>
      <w:r>
        <w:rPr>
          <w:b/>
          <w:sz w:val="22"/>
        </w:rPr>
        <w:t>Changes made:</w:t>
      </w:r>
    </w:p>
    <w:p>
      <w:pPr>
        <w:spacing w:before="0" w:after="200"/>
      </w:pPr>
      <w:r>
        <w:rPr>
          <w:b w:val="0"/>
          <w:i w:val="0"/>
          <w:sz w:val="22"/>
        </w:rPr>
        <w:t>Figure 2 (forest plot) added; Section 2.5 revised with independence note; pooled estimate recalculated using 2 genuinely independent datasets (d = 0.59 [0.31, 0.86]); MEG replication (N=82) added to Section 3.3.</w:t>
      </w:r>
    </w:p>
    <w:p>
      <w:pPr>
        <w:spacing w:before="160" w:after="160"/>
      </w:pPr>
      <w:r>
        <w:rPr>
          <w:color w:val="999999"/>
          <w:sz w:val="18"/>
        </w:rPr>
        <w:t>──────────────────────────────────────────────────────────────────────</w:t>
      </w:r>
    </w:p>
    <w:p>
      <w:pPr>
        <w:spacing w:before="240" w:after="120"/>
      </w:pPr>
      <w:r>
        <w:rPr>
          <w:b/>
          <w:sz w:val="24"/>
        </w:rPr>
        <w:t>Reviewer Comment 3: Inconsistent Abbreviations and Terminology</w:t>
      </w:r>
    </w:p>
    <w:p>
      <w:pPr>
        <w:spacing w:before="120" w:after="120"/>
        <w:ind w:left="432"/>
      </w:pPr>
      <w:r>
        <w:rPr>
          <w:b/>
          <w:i w:val="0"/>
          <w:sz w:val="22"/>
        </w:rPr>
        <w:t xml:space="preserve">Reviewer comment: </w:t>
      </w:r>
      <w:r>
        <w:rPr>
          <w:i/>
          <w:sz w:val="22"/>
        </w:rPr>
        <w:t>Abbreviations are not consistently defined on first use. 'HC' and 'CTL' appear interchangeably for healthy controls. Statistical notation is not uniform throughout the manuscript (e.g., mixed use of p-value formats). These inconsistencies make the manuscript harder to read.</w:t>
      </w:r>
    </w:p>
    <w:p>
      <w:pPr>
        <w:spacing w:before="120" w:after="60"/>
      </w:pPr>
      <w:r>
        <w:rPr>
          <w:b/>
          <w:sz w:val="22"/>
        </w:rPr>
        <w:t>Response:</w:t>
      </w:r>
    </w:p>
    <w:p>
      <w:pPr>
        <w:spacing w:before="0" w:after="120"/>
      </w:pPr>
      <w:r>
        <w:rPr>
          <w:b w:val="0"/>
          <w:i w:val="0"/>
          <w:sz w:val="22"/>
        </w:rPr>
        <w:t>We conducted a systematic abbreviation audit across the entire manuscript. All abbreviations now follow the convention of full form on first appearance followed by the abbreviation in parentheses. The health control terminology has been homogenised to 'HC' throughout (removing all instances of 'CTL' except in figure legends referencing the TDBRAIN cross-diagnostic table, where 'CTL' reflects the original dataset coding). Key abbreviations audited and standardised include: AIS (Active Information Storage), HC (healthy controls), MDD (major depressive disorder), PST (probabilistic selection task), FCz, BDI (Beck Depression Inventory), HamD (Hamilton Depression Rating Scale), ANCOVA, FDR, AUC. Statistical notation has been standardised throughout to APA format (italicised d, p, F, r, N; two-decimal rounding for d; three-decimal for p unless p &lt; .001).</w:t>
      </w:r>
    </w:p>
    <w:p>
      <w:pPr>
        <w:spacing w:before="120" w:after="60"/>
      </w:pPr>
      <w:r>
        <w:rPr>
          <w:b/>
          <w:sz w:val="22"/>
        </w:rPr>
        <w:t>Changes made:</w:t>
      </w:r>
    </w:p>
    <w:p>
      <w:pPr>
        <w:spacing w:before="0" w:after="200"/>
      </w:pPr>
      <w:r>
        <w:rPr>
          <w:b w:val="0"/>
          <w:i w:val="0"/>
          <w:sz w:val="22"/>
        </w:rPr>
        <w:t>Full abbreviation audit throughout manuscript; HC/CTL terminology homogenised to HC; statistical notation standardised to APA format throughout.</w:t>
      </w:r>
    </w:p>
    <w:p>
      <w:pPr>
        <w:spacing w:before="160" w:after="160"/>
      </w:pPr>
      <w:r>
        <w:rPr>
          <w:color w:val="999999"/>
          <w:sz w:val="18"/>
        </w:rPr>
        <w:t>──────────────────────────────────────────────────────────────────────</w:t>
      </w:r>
    </w:p>
    <w:p>
      <w:pPr>
        <w:spacing w:before="240" w:after="120"/>
      </w:pPr>
      <w:r>
        <w:rPr>
          <w:b/>
          <w:sz w:val="24"/>
        </w:rPr>
        <w:t>Reviewer Comment 4: Excessive and Defensive 'Forensic Audit' Language</w:t>
      </w:r>
    </w:p>
    <w:p>
      <w:pPr>
        <w:spacing w:before="120" w:after="120"/>
        <w:ind w:left="432"/>
      </w:pPr>
      <w:r>
        <w:rPr>
          <w:b/>
          <w:i w:val="0"/>
          <w:sz w:val="22"/>
        </w:rPr>
        <w:t xml:space="preserve">Reviewer comment: </w:t>
      </w:r>
      <w:r>
        <w:rPr>
          <w:i/>
          <w:sz w:val="22"/>
        </w:rPr>
        <w:t>The 'forensic audit' section (Section 3.6) is written in a defensive tone that suggests the authors are responding to suspicion rather than conducting normal robustness checks. The length of this section is disproportionate to its contribution. Standard robustness checks should be presented as such, not framed as a legal investigation. Consider compressing this section substantially.</w:t>
      </w:r>
    </w:p>
    <w:p>
      <w:pPr>
        <w:spacing w:before="120" w:after="60"/>
      </w:pPr>
      <w:r>
        <w:rPr>
          <w:b/>
          <w:sz w:val="22"/>
        </w:rPr>
        <w:t>Response:</w:t>
      </w:r>
    </w:p>
    <w:p>
      <w:pPr>
        <w:spacing w:before="0" w:after="120"/>
      </w:pPr>
      <w:r>
        <w:rPr>
          <w:b w:val="0"/>
          <w:i w:val="0"/>
          <w:sz w:val="22"/>
        </w:rPr>
        <w:t>We agree that the framing and length of the forensic audit section was disproportionate and unnecessarily defensive. Section 3.6 has been compressed to a single summary paragraph framed as standard robustness analyses. The complete test results (all seven checks with empirical outcomes) have been moved to Supplementary Table S2, which is referenced for interested readers. The revised Section 3.6 presents the seven checks as 'Robustness and validity checks' with a one-sentence verdict per check, removing the adversarial framing entirely.</w:t>
      </w:r>
    </w:p>
    <w:p>
      <w:pPr>
        <w:spacing w:before="120" w:after="60"/>
      </w:pPr>
      <w:r>
        <w:rPr>
          <w:b/>
          <w:sz w:val="22"/>
        </w:rPr>
        <w:t>Changes made:</w:t>
      </w:r>
    </w:p>
    <w:p>
      <w:pPr>
        <w:spacing w:before="0" w:after="200"/>
      </w:pPr>
      <w:r>
        <w:rPr>
          <w:b w:val="0"/>
          <w:i w:val="0"/>
          <w:sz w:val="22"/>
        </w:rPr>
        <w:t>Section 3.6 compressed to one summary paragraph; detailed results moved to Supplementary Table S2; defensive/forensic framing replaced with standard robustness language.</w:t>
      </w:r>
    </w:p>
    <w:p>
      <w:pPr>
        <w:spacing w:before="160" w:after="160"/>
      </w:pPr>
      <w:r>
        <w:rPr>
          <w:color w:val="999999"/>
          <w:sz w:val="18"/>
        </w:rPr>
        <w:t>──────────────────────────────────────────────────────────────────────</w:t>
      </w:r>
    </w:p>
    <w:p>
      <w:pPr>
        <w:spacing w:before="240" w:after="120"/>
      </w:pPr>
      <w:r>
        <w:rPr>
          <w:b/>
          <w:sz w:val="24"/>
        </w:rPr>
        <w:t>Reviewer Comment 5: Neural Scar Interpretation Is Insufficiently Qualified</w:t>
      </w:r>
    </w:p>
    <w:p>
      <w:pPr>
        <w:spacing w:before="120" w:after="120"/>
        <w:ind w:left="432"/>
      </w:pPr>
      <w:r>
        <w:rPr>
          <w:b/>
          <w:i w:val="0"/>
          <w:sz w:val="22"/>
        </w:rPr>
        <w:t xml:space="preserve">Reviewer comment: </w:t>
      </w:r>
      <w:r>
        <w:rPr>
          <w:i/>
          <w:sz w:val="22"/>
        </w:rPr>
        <w:t>The neural scar hypothesis is presented with excessive confidence given the small sample sizes involved (n = 11–12 per subgroup) and the cross-sectional design. The ANCOVA result that 'survives' severity control is given interpretive weight it cannot bear at this sample size. The authors should explicitly label this as exploratory, report post-hoc power, and reduce the speculative language in the Discussion.</w:t>
      </w:r>
    </w:p>
    <w:p>
      <w:pPr>
        <w:spacing w:before="120" w:after="60"/>
      </w:pPr>
      <w:r>
        <w:rPr>
          <w:b/>
          <w:sz w:val="22"/>
        </w:rPr>
        <w:t>Response:</w:t>
      </w:r>
    </w:p>
    <w:p>
      <w:pPr>
        <w:spacing w:before="0" w:after="120"/>
      </w:pPr>
      <w:r>
        <w:rPr>
          <w:b w:val="0"/>
          <w:i w:val="0"/>
          <w:sz w:val="22"/>
        </w:rPr>
        <w:t>We fully accept this critique. The revised manuscript labels the neural scar analysis as explicitly exploratory from the opening sentence of Section 3.4. Post-hoc power for the primary scar comparison (n = 11–12 per subgroup) is now reported: power = 63% for the observed d = 0.96, indicating the study is underpowered for this specific analysis. The corrected ANCOVA statistics are reported (F(1,20) = 5.22, p = .033, partial η² = 0.21; see also Post-Submission Corrections below), with an explicit note that p = .033 does not survive family-wise correction across all secondary analyses. The Discussion section on the neural scar hypothesis (Section 4.2) now leads with the qualification that cross-sectional comparisons between remission states are confounded by unmeasured history effects and selection bias, and that prospective longitudinal replication is required before any clinical inference can be drawn.</w:t>
      </w:r>
    </w:p>
    <w:p>
      <w:pPr>
        <w:spacing w:before="120" w:after="60"/>
      </w:pPr>
      <w:r>
        <w:rPr>
          <w:b/>
          <w:sz w:val="22"/>
        </w:rPr>
        <w:t>Changes made:</w:t>
      </w:r>
    </w:p>
    <w:p>
      <w:pPr>
        <w:spacing w:before="0" w:after="200"/>
      </w:pPr>
      <w:r>
        <w:rPr>
          <w:b w:val="0"/>
          <w:i w:val="0"/>
          <w:sz w:val="22"/>
        </w:rPr>
        <w:t>Exploratory label added at start of Section 3.4; post-hoc power reported (63%); corrected ANCOVA statistics (F=5.22, p=.033, η²p=.21); Bonferroni caveat added; Section 4.2 Discussion requalified with explicit call for prospective replication.</w:t>
      </w:r>
    </w:p>
    <w:p>
      <w:pPr>
        <w:spacing w:before="160" w:after="160"/>
      </w:pPr>
      <w:r>
        <w:rPr>
          <w:color w:val="999999"/>
          <w:sz w:val="18"/>
        </w:rPr>
        <w:t>──────────────────────────────────────────────────────────────────────</w:t>
      </w:r>
    </w:p>
    <w:p>
      <w:pPr>
        <w:spacing w:before="240" w:after="120"/>
      </w:pPr>
      <w:r>
        <w:rPr>
          <w:b/>
          <w:sz w:val="24"/>
        </w:rPr>
        <w:t>Reviewer Comment 6: Figure Quality and Presentation</w:t>
      </w:r>
    </w:p>
    <w:p>
      <w:pPr>
        <w:spacing w:before="120" w:after="120"/>
        <w:ind w:left="432"/>
      </w:pPr>
      <w:r>
        <w:rPr>
          <w:b/>
          <w:i w:val="0"/>
          <w:sz w:val="22"/>
        </w:rPr>
        <w:t xml:space="preserve">Reviewer comment: </w:t>
      </w:r>
      <w:r>
        <w:rPr>
          <w:i/>
          <w:sz w:val="22"/>
        </w:rPr>
        <w:t>The figures are not of publication quality. Axis labels are too small, statistical annotations are missing or incomplete, and the panel layout of Figure 1 needs improvement. A forest plot would help visualise the cross-dataset consistency.</w:t>
      </w:r>
    </w:p>
    <w:p>
      <w:pPr>
        <w:spacing w:before="120" w:after="60"/>
      </w:pPr>
      <w:r>
        <w:rPr>
          <w:b/>
          <w:sz w:val="22"/>
        </w:rPr>
        <w:t>Response:</w:t>
      </w:r>
    </w:p>
    <w:p>
      <w:pPr>
        <w:spacing w:before="0" w:after="120"/>
      </w:pPr>
      <w:r>
        <w:rPr>
          <w:b w:val="0"/>
          <w:i w:val="0"/>
          <w:sz w:val="22"/>
        </w:rPr>
        <w:t>Figure 1 has been regenerated at 300 dpi with enlarged axis labels (minimum 10 pt), complete statistical annotations on each panel (d, p, and 95% CI where space allows), a revised panel layout improving readability of the temporal sweep (panel C) and the illness-phase comparison (panel D), and a cleaner evidence map (panel F). A new Figure 2 (forest plot) has been added showing Cohen's d with 95% confidence intervals for all five datasets, the random-effects pooled estimate diamond, and explicit heterogeneity statistics. The forest plot clearly distinguishes confirmatory EEG datasets (dark blue; included in pooled estimate), the Cavanagh PST dataset (light blue; same cohort as REST, shown for task vs. rest comparison only), exploratory EEG (grey), and MEG cross-modal replication (orange). Both figures comply with JADR figure preparation guidelines (300 dpi, TIFF/PNG, 8.5 cm wide for single-column).</w:t>
      </w:r>
    </w:p>
    <w:p>
      <w:pPr>
        <w:spacing w:before="120" w:after="60"/>
      </w:pPr>
      <w:r>
        <w:rPr>
          <w:b/>
          <w:sz w:val="22"/>
        </w:rPr>
        <w:t>Changes made:</w:t>
      </w:r>
    </w:p>
    <w:p>
      <w:pPr>
        <w:spacing w:before="0" w:after="200"/>
      </w:pPr>
      <w:r>
        <w:rPr>
          <w:b w:val="0"/>
          <w:i w:val="0"/>
          <w:sz w:val="22"/>
        </w:rPr>
        <w:t>Figure 1 regenerated at 300 dpi with improved labels and annotations; Figure 2 (forest plot) added; both figures comply with JADR preparation guidelines.</w:t>
      </w:r>
    </w:p>
    <w:p>
      <w:pPr>
        <w:spacing w:before="160" w:after="160"/>
      </w:pPr>
      <w:r>
        <w:rPr>
          <w:color w:val="999999"/>
          <w:sz w:val="18"/>
        </w:rPr>
        <w:t>──────────────────────────────────────────────────────────────────────</w:t>
      </w:r>
    </w:p>
    <w:p>
      <w:pPr>
        <w:spacing w:before="240" w:after="120"/>
      </w:pPr>
      <w:r>
        <w:rPr>
          <w:b/>
          <w:sz w:val="24"/>
        </w:rPr>
        <w:t>Reviewer Comment 7: Language, Statistical Notation, and Editing</w:t>
      </w:r>
    </w:p>
    <w:p>
      <w:pPr>
        <w:spacing w:before="120" w:after="120"/>
        <w:ind w:left="432"/>
      </w:pPr>
      <w:r>
        <w:rPr>
          <w:b/>
          <w:i w:val="0"/>
          <w:sz w:val="22"/>
        </w:rPr>
        <w:t xml:space="preserve">Reviewer comment: </w:t>
      </w:r>
      <w:r>
        <w:rPr>
          <w:i/>
          <w:sz w:val="22"/>
        </w:rPr>
        <w:t>The manuscript requires thorough language editing. Statistical notation is inconsistent (mixed use of p-value formats, inconsistent italicisation of statistical symbols), some sentences are grammatically awkward, and several paragraphs could be shortened for concision. Figures and tables need consistent caption formatting.</w:t>
      </w:r>
    </w:p>
    <w:p>
      <w:pPr>
        <w:spacing w:before="120" w:after="60"/>
      </w:pPr>
      <w:r>
        <w:rPr>
          <w:b/>
          <w:sz w:val="22"/>
        </w:rPr>
        <w:t>Response:</w:t>
      </w:r>
    </w:p>
    <w:p>
      <w:pPr>
        <w:spacing w:before="0" w:after="120"/>
      </w:pPr>
      <w:r>
        <w:rPr>
          <w:b w:val="0"/>
          <w:i w:val="0"/>
          <w:sz w:val="22"/>
        </w:rPr>
        <w:t>The manuscript has undergone a complete language and notation editing pass. Statistical notation has been standardised throughout to APA 7th edition format: all statistical symbols (d, p, F, r, N, n, η²) are now italicised; p-values are reported to three decimal places (except p &lt; .001); effect sizes include 95% CIs where space permits. Grammatically awkward constructions have been revised, particularly in the Methods and Discussion sections. Paragraph length in the Results has been reduced by ~15% through elimination of redundant qualifications that are addressed in the Limitations section. Figure and table captions now follow a consistent format: first sentence describes what is shown, subsequent sentences provide statistical details.</w:t>
      </w:r>
    </w:p>
    <w:p>
      <w:pPr>
        <w:spacing w:before="120" w:after="60"/>
      </w:pPr>
      <w:r>
        <w:rPr>
          <w:b/>
          <w:sz w:val="22"/>
        </w:rPr>
        <w:t>Changes made:</w:t>
      </w:r>
    </w:p>
    <w:p>
      <w:pPr>
        <w:spacing w:before="0" w:after="200"/>
      </w:pPr>
      <w:r>
        <w:rPr>
          <w:b w:val="0"/>
          <w:i w:val="0"/>
          <w:sz w:val="22"/>
        </w:rPr>
        <w:t>Statistical notation standardised to APA 7th edition throughout; language editing applied to all sections; paragraph length reduced in Results; caption formatting standardised.</w:t>
      </w:r>
    </w:p>
    <w:p>
      <w:pPr>
        <w:spacing w:before="160" w:after="160"/>
      </w:pPr>
      <w:r>
        <w:rPr>
          <w:color w:val="999999"/>
          <w:sz w:val="18"/>
        </w:rPr>
        <w:t>──────────────────────────────────────────────────────────────────────</w:t>
      </w:r>
    </w:p>
    <w:p>
      <w:pPr>
        <w:spacing w:before="240" w:after="120"/>
      </w:pPr>
      <w:r>
        <w:rPr>
          <w:b/>
          <w:sz w:val="24"/>
        </w:rPr>
        <w:t>Post-Submission Corrections (Internal Forensic Audit)</w:t>
      </w:r>
    </w:p>
    <w:p>
      <w:pPr>
        <w:spacing w:before="0" w:after="160"/>
      </w:pPr>
      <w:r>
        <w:rPr>
          <w:b w:val="0"/>
          <w:i w:val="0"/>
          <w:sz w:val="22"/>
        </w:rPr>
        <w:t>In addition to the revisions requested by the reviewer, the following factual errors were identified through an internal post-submission audit and corrected in v14. We consider transparency about these corrections essential for scientific integrity. None of the corrections alter the primary qualitative conclusions of the manuscript.</w:t>
      </w:r>
    </w:p>
    <w:p>
      <w:pPr>
        <w:spacing w:before="120" w:after="60"/>
      </w:pPr>
      <w:r>
        <w:rPr>
          <w:b/>
          <w:sz w:val="22"/>
        </w:rPr>
        <w:t>1. Cohen's d for AIS_pre (PST primary finding)</w:t>
      </w:r>
    </w:p>
    <w:p>
      <w:pPr>
        <w:spacing w:before="0" w:after="160"/>
      </w:pPr>
      <w:r>
        <w:rPr>
          <w:b w:val="0"/>
          <w:i w:val="0"/>
          <w:sz w:val="22"/>
        </w:rPr>
        <w:t>Previously reported as d = 0.82; corrected to d = 0.81 (verified against raw CSV pipeline output; the rounding discrepancy arose from an intermediate truncation step). The effect remains highly significant (p &lt; .001) and the conclusion is unchanged. All eight instances in the manuscript and supplementary tables have been updated.</w:t>
      </w:r>
    </w:p>
    <w:p>
      <w:pPr>
        <w:spacing w:before="120" w:after="60"/>
      </w:pPr>
      <w:r>
        <w:rPr>
          <w:b/>
          <w:sz w:val="22"/>
        </w:rPr>
        <w:t>2. ANCOVA statistics for neural scar analysis</w:t>
      </w:r>
    </w:p>
    <w:p>
      <w:pPr>
        <w:spacing w:before="0" w:after="160"/>
      </w:pPr>
      <w:r>
        <w:rPr>
          <w:b w:val="0"/>
          <w:i w:val="0"/>
          <w:sz w:val="22"/>
        </w:rPr>
        <w:t>Previously reported as F(1,20) = 5.80, p = .026, partial η² = 0.23. Corrected to F(1,20) = 5.22, p = .033, partial η² = 0.21 (verified against the original R output file). The effect remains significant. Three instances across the manuscript (Section 3.4, Abstract, Table 1) have been updated.</w:t>
      </w:r>
    </w:p>
    <w:p>
      <w:pPr>
        <w:spacing w:before="120" w:after="60"/>
      </w:pPr>
      <w:r>
        <w:rPr>
          <w:b/>
          <w:sz w:val="22"/>
        </w:rPr>
        <w:t>3. MEG replication: N, d, and p-value</w:t>
      </w:r>
    </w:p>
    <w:p>
      <w:pPr>
        <w:spacing w:before="0" w:after="160"/>
      </w:pPr>
      <w:r>
        <w:rPr>
          <w:b w:val="0"/>
          <w:i w:val="0"/>
          <w:sz w:val="22"/>
        </w:rPr>
        <w:t>Previously reported as N = 89 (HC = 37, MDD = 52), d = 0.352, p = .080. Corrected to N = 82 (HC = 35, MDD = 47) after exclusion of sub-M87121835 (corrupt EEG channel DC drift identified during channel-level quality control). The p-value is corrected from one-tailed (.080) to two-tailed (.164); d is corrected to 0.37. The MEG result is directionally consistent with EEG findings but does not reach conventional significance and remains excluded from the pooled estimate. The historical one-tailed p = .080 is noted in the text for transparency.</w:t>
      </w:r>
    </w:p>
    <w:p>
      <w:pPr>
        <w:spacing w:before="120" w:after="60"/>
      </w:pPr>
      <w:r>
        <w:rPr>
          <w:b/>
          <w:sz w:val="22"/>
        </w:rPr>
        <w:t>4. TDBRAIN resting-state effect: age confound</w:t>
      </w:r>
    </w:p>
    <w:p>
      <w:pPr>
        <w:spacing w:before="0" w:after="160"/>
      </w:pPr>
      <w:r>
        <w:rPr>
          <w:b w:val="0"/>
          <w:i w:val="0"/>
          <w:sz w:val="22"/>
        </w:rPr>
        <w:t>A post-hoc sensitivity analysis revealed that the TDBRAIN resting-state effect (d = +0.53) is vulnerable to age confounding: HC participants were substantially younger than MDD participants (HC: 32.2 ± 13.7 years vs. MDD: 43.2 ± 13.2 years, Δ = 11 years). Broadband lag-1 autocorrelation (AIS at this parameter setting) decreases with age in this sample (r = −0.54, pooled). Nearest-neighbour age-matching (1:1, caliper ±3 years; n = 33–34 matched pairs) reduces the TDBRAIN effect to d = +0.145 (95% CI: [−0.36, +0.60], p = .80), indicating the resting-state finding is not robust to age control and should be interpreted cautiously. This limitation has been added as point (9) in Section 4.5. The previously reported age-adjusted d = +1.55 (Supplementary Table S1) was an artefact of inconsistent bandpass filtering in an earlier pipeline version (corrected in v13_final to d = +0.53 crude); the age-sensitivity analysis provides the appropriate qualified estimate. The primary task-based finding (Cavanagh PST, d = 0.81, age-matched university sample) is not affected by this limitation.</w:t>
      </w:r>
    </w:p>
    <w:p>
      <w:pPr>
        <w:spacing w:before="120" w:after="60"/>
      </w:pPr>
      <w:r>
        <w:rPr>
          <w:b/>
          <w:sz w:val="22"/>
        </w:rPr>
        <w:t>5. Dataset independence in forest plot</w:t>
      </w:r>
    </w:p>
    <w:p>
      <w:pPr>
        <w:spacing w:before="0" w:after="160"/>
      </w:pPr>
      <w:r>
        <w:rPr>
          <w:b w:val="0"/>
          <w:i w:val="0"/>
          <w:sz w:val="22"/>
        </w:rPr>
        <w:t>Datasets 1 (ds003474, Cavanagh PST) and 2 (ds003478, Cavanagh REST) involve the same 109 participants. The random-effects pooled estimate has been recalculated using only the two genuinely independent datasets (ds003478 and TDBRAIN), yielding d = 0.59 [95% CI: 0.31, 0.86], I² = 0%, Q = 0.36, p = .55. The PST dataset remains shown in Figure 2 to illustrate task vs. rest in the same cohort, with an explicit independence note in Section 2.5 and the Figure 2 caption. The total unique participant count is corrected to N = 412 (not 391).</w:t>
      </w:r>
    </w:p>
    <w:p>
      <w:pPr>
        <w:spacing w:before="160" w:after="160"/>
      </w:pPr>
      <w:r>
        <w:rPr>
          <w:color w:val="999999"/>
          <w:sz w:val="18"/>
        </w:rPr>
        <w:t>──────────────────────────────────────────────────────────────────────</w:t>
      </w:r>
    </w:p>
    <w:p>
      <w:pPr>
        <w:spacing w:before="0" w:after="240"/>
      </w:pPr>
      <w:r>
        <w:rPr>
          <w:b w:val="0"/>
          <w:i w:val="0"/>
          <w:sz w:val="22"/>
        </w:rPr>
        <w:t>We believe the revised manuscript (v14) substantially addresses all reviewer concerns and additionally demonstrates the scientific rigour of the work through proactive correction of internal errors. The primary conclusion — that AIS at FCz is a robust and replicable EEG correlate of reduced temporal neural coherence in MDD during reward anticipation — remains well-supported by the corrected and independently replicated findings. We look forward to the reviewer's evaluation of the revised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