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i w:val="1"/>
        </w:rPr>
      </w:pPr>
      <w:bookmarkStart w:colFirst="0" w:colLast="0" w:name="_2m454vfstc6p" w:id="0"/>
      <w:bookmarkEnd w:id="0"/>
      <w:r w:rsidDel="00000000" w:rsidR="00000000" w:rsidRPr="00000000">
        <w:rPr>
          <w:i w:val="1"/>
          <w:rtl w:val="0"/>
        </w:rPr>
        <w:t xml:space="preserve">Evaluation Tools &amp; Accessibility Levels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tcd7zi5wwb6l" w:id="1"/>
      <w:bookmarkEnd w:id="1"/>
      <w:r w:rsidDel="00000000" w:rsidR="00000000" w:rsidRPr="00000000">
        <w:rPr>
          <w:rtl w:val="0"/>
        </w:rPr>
        <w:t xml:space="preserve">- Improving Accessibility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6.141732283464449" w:firstLine="0"/>
        <w:rPr/>
      </w:pPr>
      <w:r w:rsidDel="00000000" w:rsidR="00000000" w:rsidRPr="00000000">
        <w:rPr>
          <w:rtl w:val="0"/>
        </w:rPr>
        <w:t xml:space="preserve">La primera práctica se centró en introducirnos en el mundo de la Accesibilidad web. Vimos quién es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Web Accessibility Initiative (WAI)</w:t>
        </w:r>
      </w:hyperlink>
      <w:r w:rsidDel="00000000" w:rsidR="00000000" w:rsidRPr="00000000">
        <w:rPr>
          <w:rtl w:val="0"/>
        </w:rPr>
        <w:t xml:space="preserve">, cómo se encarga de fomentar la accesibilidad</w:t>
      </w:r>
      <w:r w:rsidDel="00000000" w:rsidR="00000000" w:rsidRPr="00000000">
        <w:rPr>
          <w:rtl w:val="0"/>
        </w:rPr>
        <w:t xml:space="preserve"> y qué son las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 Content Accessibility Guidelines (WCAG)</w:t>
        </w:r>
      </w:hyperlink>
      <w:r w:rsidDel="00000000" w:rsidR="00000000" w:rsidRPr="00000000">
        <w:rPr>
          <w:rtl w:val="0"/>
        </w:rPr>
        <w:t xml:space="preserve">, que todo desarrollador web debería conocer y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6.1417322834644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6.141732283464449" w:firstLine="0"/>
        <w:rPr/>
      </w:pPr>
      <w:r w:rsidDel="00000000" w:rsidR="00000000" w:rsidRPr="00000000">
        <w:rPr>
          <w:rtl w:val="0"/>
        </w:rPr>
        <w:t xml:space="preserve">También vimos una primera aproximación para evaluar de forma rápida y sencilla si una web es accesible con los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Easy Checks</w:t>
        </w:r>
      </w:hyperlink>
      <w:r w:rsidDel="00000000" w:rsidR="00000000" w:rsidRPr="00000000">
        <w:rPr>
          <w:rtl w:val="0"/>
        </w:rPr>
        <w:t xml:space="preserve">, para continuar utilizando las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Evaluation Tools</w:t>
        </w:r>
      </w:hyperlink>
      <w:r w:rsidDel="00000000" w:rsidR="00000000" w:rsidRPr="00000000">
        <w:rPr>
          <w:rtl w:val="0"/>
        </w:rPr>
        <w:t xml:space="preserve"> para poder hacer una auditoría más exhaustiva.</w:t>
      </w:r>
    </w:p>
    <w:p w:rsidR="00000000" w:rsidDel="00000000" w:rsidP="00000000" w:rsidRDefault="00000000" w:rsidRPr="00000000" w14:paraId="00000008">
      <w:pPr>
        <w:ind w:left="6.1417322834644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.141732283464449" w:firstLine="0"/>
        <w:rPr/>
      </w:pPr>
      <w:r w:rsidDel="00000000" w:rsidR="00000000" w:rsidRPr="00000000">
        <w:rPr>
          <w:rtl w:val="0"/>
        </w:rPr>
        <w:t xml:space="preserve">El resultado de esta auditoría de accesibilidad se concreta en un informe de evaluación de accesibilidad, como el que nos propone la propia WAI, con el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WCAG-EM Report Tool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6.1417322834644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.141732283464449" w:firstLine="0"/>
        <w:rPr/>
      </w:pPr>
      <w:r w:rsidDel="00000000" w:rsidR="00000000" w:rsidRPr="00000000">
        <w:rPr>
          <w:rtl w:val="0"/>
        </w:rPr>
        <w:t xml:space="preserve">En esta práctica nos vamos a centrar en implementar mejoras en una web para que cumpla con los distintos niveles de conformidad de la especificación (A, AA o AAA). Para ello utilizaremos una herramienta de evaluación que es una extensión del navegador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Siteimprove Accessibility Checker</w:t>
        </w:r>
      </w:hyperlink>
      <w:r w:rsidDel="00000000" w:rsidR="00000000" w:rsidRPr="00000000">
        <w:rPr>
          <w:rtl w:val="0"/>
        </w:rPr>
        <w:t xml:space="preserve">), y nos da información detallada e integrada con el código de la página web de los criterios de conformidad que no se cumplen, así como enlaces a la especificación y a las guías donde se explica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cómo deberían solucionarse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6.1417322834644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.141732283464449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q3rdy3i3z4q" w:id="2"/>
      <w:bookmarkEnd w:id="2"/>
      <w:r w:rsidDel="00000000" w:rsidR="00000000" w:rsidRPr="00000000">
        <w:rPr>
          <w:rtl w:val="0"/>
        </w:rPr>
        <w:t xml:space="preserve">PARTE 1 - Preparación del proyecto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  <w:t xml:space="preserve">Vamos a utilizar la misma página web que en la práctica 1, pero la copiaremos en otro directorio</w:t>
      </w:r>
      <w:r w:rsidDel="00000000" w:rsidR="00000000" w:rsidRPr="00000000">
        <w:rPr>
          <w:rtl w:val="0"/>
        </w:rPr>
        <w:t xml:space="preserve">. La idea es tener la siguiente estructura: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UF3/</w:t>
      </w:r>
    </w:p>
    <w:p w:rsidR="00000000" w:rsidDel="00000000" w:rsidP="00000000" w:rsidRDefault="00000000" w:rsidRPr="00000000" w14:paraId="00000015">
      <w:pPr>
        <w:ind w:left="726.1417322834644" w:firstLine="713.8582677165356"/>
        <w:rPr/>
      </w:pPr>
      <w:r w:rsidDel="00000000" w:rsidR="00000000" w:rsidRPr="00000000">
        <w:rPr>
          <w:rtl w:val="0"/>
        </w:rPr>
        <w:t xml:space="preserve">Proyecto/</w:t>
      </w:r>
    </w:p>
    <w:p w:rsidR="00000000" w:rsidDel="00000000" w:rsidP="00000000" w:rsidRDefault="00000000" w:rsidRPr="00000000" w14:paraId="00000016">
      <w:pPr>
        <w:ind w:left="726.1417322834644" w:firstLine="713.8582677165356"/>
        <w:rPr/>
      </w:pPr>
      <w:r w:rsidDel="00000000" w:rsidR="00000000" w:rsidRPr="00000000">
        <w:rPr>
          <w:rtl w:val="0"/>
        </w:rPr>
        <w:t xml:space="preserve">Proyecto_AAA/ </w:t>
      </w:r>
    </w:p>
    <w:p w:rsidR="00000000" w:rsidDel="00000000" w:rsidP="00000000" w:rsidRDefault="00000000" w:rsidRPr="00000000" w14:paraId="00000017">
      <w:pPr>
        <w:ind w:left="726.1417322834644" w:firstLine="713.858267716535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De este modo tendremos la web original y la mejorada accesibles a través de la GitHub Page (que deberíais tener ya configurada) para poder compararlas.</w:t>
      </w:r>
    </w:p>
    <w:p w:rsidR="00000000" w:rsidDel="00000000" w:rsidP="00000000" w:rsidRDefault="00000000" w:rsidRPr="00000000" w14:paraId="00000019">
      <w:pPr>
        <w:ind w:left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Haz una copia en el repositorio de GitHub de la carpeta UF3/Proyecto en la carpeta UF3/Proyecto_AAA. Copia aquí la URL de tu repositorio (debe ser el mismo que has utilizado en las otras UFs).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URL del repositorio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GitHub Page URL del Proyecto_AAA: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 w:firstLine="0"/>
        <w:jc w:val="center"/>
        <w:rPr/>
      </w:pPr>
      <w:bookmarkStart w:colFirst="0" w:colLast="0" w:name="_rpf7ts0kyg3" w:id="3"/>
      <w:bookmarkEnd w:id="3"/>
      <w:r w:rsidDel="00000000" w:rsidR="00000000" w:rsidRPr="00000000">
        <w:rPr>
          <w:rtl w:val="0"/>
        </w:rPr>
        <w:t xml:space="preserve">PARTE 2 - Desarrollo de la práctica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 el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Siteimprove Accessibility Checker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 las modificaciones necesarias en código fuente para que la web cumpla con el nivel A de conformidad con la especificación. Comenta cómo has resuelto cada no conformidad de este nivel.</w:t>
      </w:r>
    </w:p>
    <w:p w:rsidR="00000000" w:rsidDel="00000000" w:rsidP="00000000" w:rsidRDefault="00000000" w:rsidRPr="00000000" w14:paraId="0000002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Haz las modificaciones necesarias en código para que la web cumpla con el nivel AA de conformidad con la especificación. Comenta cómo has resuelto cada no conformidad de este nivel.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Haz las modificaciones necesarias en código para que la web cumpla con el nivel AAA de conformidad con la especificación. Comenta cómo has resuelto cada no conformidad de este nivel.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700.7874015748032" w:top="2267.716535433071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Free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rPr/>
    </w:pPr>
    <w:r w:rsidDel="00000000" w:rsidR="00000000" w:rsidRPr="00000000">
      <w:rPr>
        <w:rtl w:val="0"/>
      </w:rPr>
    </w:r>
  </w:p>
  <w:tbl>
    <w:tblPr>
      <w:tblStyle w:val="Table2"/>
      <w:tblW w:w="9615.0" w:type="dxa"/>
      <w:jc w:val="left"/>
      <w:tblInd w:w="-30.0" w:type="dxa"/>
      <w:tblLayout w:type="fixed"/>
      <w:tblLook w:val="0600"/>
    </w:tblPr>
    <w:tblGrid>
      <w:gridCol w:w="3960"/>
      <w:gridCol w:w="2460"/>
      <w:gridCol w:w="3195"/>
      <w:tblGridChange w:id="0">
        <w:tblGrid>
          <w:gridCol w:w="3960"/>
          <w:gridCol w:w="2460"/>
          <w:gridCol w:w="3195"/>
        </w:tblGrid>
      </w:tblGridChange>
    </w:tblGrid>
    <w:tr>
      <w:trPr>
        <w:trHeight w:val="285" w:hRule="atLeast"/>
      </w:trPr>
      <w:tc>
        <w:tcPr>
          <w:gridSpan w:val="2"/>
          <w:tcBorders>
            <w:top w:color="000000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5">
          <w:pPr>
            <w:spacing w:line="240" w:lineRule="auto"/>
            <w:ind w:left="0" w:firstLine="0"/>
            <w:jc w:val="left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DAW M9 UF3 P2</w:t>
          </w:r>
        </w:p>
      </w:tc>
      <w:tc>
        <w:tcPr>
          <w:tcBorders>
            <w:top w:color="000000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i w:val="1"/>
              <w:sz w:val="22"/>
              <w:szCs w:val="22"/>
            </w:rPr>
          </w:pPr>
          <w:r w:rsidDel="00000000" w:rsidR="00000000" w:rsidRPr="00000000">
            <w:rPr>
              <w:i w:val="1"/>
              <w:rtl w:val="0"/>
            </w:rPr>
            <w:t xml:space="preserve">Page</w:t>
          </w:r>
          <w:r w:rsidDel="00000000" w:rsidR="00000000" w:rsidRPr="00000000">
            <w:rPr>
              <w:i w:val="1"/>
              <w:sz w:val="22"/>
              <w:szCs w:val="22"/>
              <w:rtl w:val="0"/>
            </w:rPr>
            <w:t xml:space="preserve"> </w:t>
          </w:r>
          <w:r w:rsidDel="00000000" w:rsidR="00000000" w:rsidRPr="00000000">
            <w:rPr>
              <w:i w:val="1"/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22"/>
              <w:szCs w:val="22"/>
              <w:rtl w:val="0"/>
            </w:rPr>
            <w:t xml:space="preserve"> </w:t>
          </w:r>
          <w:r w:rsidDel="00000000" w:rsidR="00000000" w:rsidRPr="00000000">
            <w:rPr>
              <w:i w:val="1"/>
              <w:rtl w:val="0"/>
            </w:rPr>
            <w:t xml:space="preserve">/</w:t>
          </w:r>
          <w:r w:rsidDel="00000000" w:rsidR="00000000" w:rsidRPr="00000000">
            <w:rPr>
              <w:i w:val="1"/>
              <w:sz w:val="22"/>
              <w:szCs w:val="22"/>
              <w:rtl w:val="0"/>
            </w:rPr>
            <w:t xml:space="preserve"> </w:t>
          </w:r>
          <w:r w:rsidDel="00000000" w:rsidR="00000000" w:rsidRPr="00000000">
            <w:rPr>
              <w:i w:val="1"/>
              <w:sz w:val="22"/>
              <w:szCs w:val="2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ind w:lef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660.0" w:type="dxa"/>
      <w:jc w:val="left"/>
      <w:tblInd w:w="-45.0" w:type="dxa"/>
      <w:tblLayout w:type="fixed"/>
      <w:tblLook w:val="0000"/>
    </w:tblPr>
    <w:tblGrid>
      <w:gridCol w:w="3465"/>
      <w:gridCol w:w="2880"/>
      <w:gridCol w:w="3315"/>
      <w:tblGridChange w:id="0">
        <w:tblGrid>
          <w:gridCol w:w="3465"/>
          <w:gridCol w:w="2880"/>
          <w:gridCol w:w="3315"/>
        </w:tblGrid>
      </w:tblGridChange>
    </w:tblGrid>
    <w:tr>
      <w:tc>
        <w:tcPr>
          <w:tcBorders>
            <w:bottom w:color="000000" w:space="0" w:sz="8" w:val="single"/>
          </w:tcBorders>
          <w:shd w:fill="ffffff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2C">
          <w:pPr>
            <w:spacing w:line="240" w:lineRule="auto"/>
            <w:ind w:left="381.1417322834644" w:hanging="360"/>
            <w:jc w:val="left"/>
            <w:rPr>
              <w:rFonts w:ascii="Times New Roman" w:cs="Times New Roman" w:eastAsia="Times New Roman" w:hAnsi="Times New Roman"/>
              <w:color w:val="43434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434343"/>
              <w:rtl w:val="0"/>
            </w:rPr>
            <w:t xml:space="preserve">CFGS Desarrollo de aplicaciones web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ind w:left="381.1417322834644" w:hanging="360"/>
            <w:jc w:val="left"/>
            <w:rPr>
              <w:rFonts w:ascii="Times New Roman" w:cs="Times New Roman" w:eastAsia="Times New Roman" w:hAnsi="Times New Roman"/>
              <w:b w:val="1"/>
              <w:color w:val="434343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434343"/>
              <w:rtl w:val="0"/>
            </w:rPr>
            <w:t xml:space="preserve">Departamento de Informática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bottom w:color="000000" w:space="0" w:sz="4" w:val="single"/>
          </w:tcBorders>
          <w:shd w:fill="ffffff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E">
          <w:pPr>
            <w:spacing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bottom w:color="000000" w:space="0" w:sz="4" w:val="single"/>
          </w:tcBorders>
          <w:shd w:fill="ffffff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2F">
          <w:pPr>
            <w:spacing w:line="240" w:lineRule="auto"/>
            <w:jc w:val="right"/>
            <w:rPr>
              <w:rFonts w:ascii="FreeSans" w:cs="FreeSans" w:eastAsia="FreeSans" w:hAnsi="FreeSans"/>
              <w:b w:val="1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1591538" cy="485775"/>
                <wp:effectExtent b="0" l="0" r="0" t="0"/>
                <wp:docPr id="1" name="image1.gif"/>
                <a:graphic>
                  <a:graphicData uri="http://schemas.openxmlformats.org/drawingml/2006/picture">
                    <pic:pic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538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cfe2f3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30">
          <w:pPr>
            <w:spacing w:line="240" w:lineRule="auto"/>
            <w:ind w:left="381.1417322834644" w:hanging="36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Ins. Jaume Balmes</w:t>
          </w:r>
        </w:p>
      </w:tc>
      <w:tc>
        <w:tcPr>
          <w:vMerge w:val="continue"/>
          <w:tcBorders>
            <w:top w:color="000000" w:space="0" w:sz="4" w:val="single"/>
            <w:left w:color="000000" w:space="0" w:sz="8" w:val="single"/>
            <w:bottom w:color="000000" w:space="0" w:sz="4" w:val="single"/>
          </w:tcBorders>
          <w:shd w:fill="ffffff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1">
          <w:pPr>
            <w:spacing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bottom w:color="000000" w:space="0" w:sz="4" w:val="single"/>
          </w:tcBorders>
          <w:shd w:fill="ffffff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32">
          <w:pPr>
            <w:spacing w:line="240" w:lineRule="auto"/>
            <w:ind w:lef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left="6.141732283464449" w:firstLine="713.858267716535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  <w:ind w:left="0"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Liberation Serif" w:cs="Liberation Serif" w:eastAsia="Liberation Serif" w:hAnsi="Liberation Serif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left="0" w:firstLine="0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240" w:lineRule="auto"/>
      <w:ind w:left="0" w:firstLine="0"/>
      <w:jc w:val="center"/>
    </w:pPr>
    <w:rPr>
      <w:rFonts w:ascii="Georgia" w:cs="Georgia" w:eastAsia="Georgia" w:hAnsi="Georgia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13.0" w:type="dxa"/>
        <w:left w:w="110.0" w:type="dxa"/>
        <w:bottom w:w="113.0" w:type="dxa"/>
        <w:right w:w="113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rome.google.com/webstore/detail/siteimprove-accessibility/efcfolpjihicnikpmhnmphjhhpiclljc" TargetMode="External"/><Relationship Id="rId10" Type="http://schemas.openxmlformats.org/officeDocument/2006/relationships/hyperlink" Target="https://www.w3.org/WAI/eval/report-tool/#/" TargetMode="External"/><Relationship Id="rId13" Type="http://schemas.openxmlformats.org/officeDocument/2006/relationships/hyperlink" Target="https://chrome.google.com/webstore/detail/siteimprove-accessibility/efcfolpjihicnikpmhnmphjhhpiclljc" TargetMode="External"/><Relationship Id="rId12" Type="http://schemas.openxmlformats.org/officeDocument/2006/relationships/hyperlink" Target="https://www.w3.org/WAI/WCAG21/quickref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.org/WAI/test-evaluate/tools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w3.org/WAI/" TargetMode="External"/><Relationship Id="rId7" Type="http://schemas.openxmlformats.org/officeDocument/2006/relationships/hyperlink" Target="https://www.w3.org/WAI/standards-guidelines/wcag/" TargetMode="External"/><Relationship Id="rId8" Type="http://schemas.openxmlformats.org/officeDocument/2006/relationships/hyperlink" Target="https://www.w3.org/WAI/test-evaluate/preliminary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