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Override PartName="/word/media/image_rId9_document.jpeg" ContentType="image/jpeg"/>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006/LHP/PM.01.02/JI-11.07.2008/24/06/2024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Ahlaqiyah</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Sedayulawas</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Sedayulawas</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Langsung </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pendaftaran PPDP  dan Pelantikan Pantarlih Terpilih </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 Pantarlih </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Sedayulawas 09:00-13:00 WIB </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Pengawasan pada Tanggal 24 Juni Jan 07.30 diaula Desa Sedayulawas dilaksanakan kegiatan pelantikan Pantarlih atau PPDP yang telah lulus Administrasi dan dokumen. 
Yang dihadiri oleh PPK bapak Wasis Budiono, PKD Sedayulawas, ibu kepala Desa dan bapak ibu kepala Dusun Sedayulawas. Acara pelantikan tersusun dengan pembukaan, Pembacaan Ikrar atau sumpah, pembacaan Pakta integritas dan penanda tanganan oleh Pantarlih Terpilih dan Ketua PPS. Pemberian alat kerja dan atribut Pantarlih secara simbolis oleh kepala desa Sedayulawas ibu Heni vikawati, Amd. 
Pengawasan yang dilakukan pada tanggal 24 Juni oleh PKD dari awal kegiatan pelantikan sampai bimbingan Teknis penggunaan Aplikasi dan cara kerja Pantarlih yang disampaikan oleh PPS. 
PPS bersama kepala desa dan perangkat bersinergi untuk menjaga dan mengawal kegiatan pemilihan Gubernur dan Bupati tahun 2024
Dalam kegiatan Pelantikan Pantarlih Terpilih desa Sedayulawas tidak ditemukan pelanggaran maupun sengketa dalam kegiatan tersebut. Semua berjalan dengan baik dan sesuai. </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Tidak ada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24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17.33333333333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Ahlaqiyah</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350px;height:262.5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
              <w:pict>
                <v:shape type="#_x0000_t75" style="width:262.5px;height:350px" stroked="f">
                  <v:imagedata r:id="rId9" o:title=""/>
                </v:shape>
              </w:pict>
              <w:t xml:space="preserve">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262.5px;height:350px" stroked="f">
                  <v:imagedata r:id="rId10" o:title=""/>
                </v:shape>
              </w:pict>
              <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 Id="rId9" Type="http://schemas.openxmlformats.org/officeDocument/2006/relationships/image" Target="media/image_rId9_document.jpeg"/><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