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006/LHP/PM.01.02/JI-11.07.2005/24/06/2024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Ronji Fatoni</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Tlogoretno</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Tlogoretno</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Memastikan Pembentukan Pantarlih berjalan sesuai Perundang-undangan</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Pelantikan Pantarlih</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07.30 WIB, Balai Desa Tlogoretno</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Senin tanggal 24 Juni 2024 saya PKD Tlogoretno telah melakukan kegiatan Pengawasan Pelantikan Pantarlih di wilayah desa Tlogoretno dengan hasil pengawasan PPS Desa Tlogoretno mengangkat dan melantik calon Pantarlih yang dinyatakan
lulus Penetapan hasil seleksi pantarlih.
Tidak ditemukan adanya pelanggaran dalam proses pelantikan.
Pengawasan tersebut dilaksanakan untuk memastikan kegiatan Pelantikan Pantarlih berjalan sesuai dengan perundang-undangan.
Demikiran hasil pengawasan ini disampaikan.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24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87.2881355932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Ronji Fatoni</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262.5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350px;height:262.5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262.5px" stroked="f">
                  <v:imagedata r:id="rId10" o:title=""/>
                </v:shape>
              </w:pict>
              <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