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UNIVERSIDAD NACIONAL AUTONOMA DE MÉXICO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FACULTAD DE INGENIERÍA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COMPUTACIÓN GRÁFICA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PROFESOR: ING. CARLOS ALDAIR ROMAN BALBUENA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EQUIPO: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Jacales Rojas Héctor Daniel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Viveros Campos Omar Alfonso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1b60w188ig2k" w:id="0"/>
      <w:bookmarkEnd w:id="0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Implementar los conocimientos adquiridos en Computación Gráfica, para el modelado, texturizado, animación y programación de un espacio tridimensional.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 uso de OpenGl y GLUT para la construcción de proyectos tridimensionales.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uso de la herramienta Visual Studio para la configuración, desarrollo e implementación de proyectos relativos a la Computación Gráfica.</w:t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ah2f26mz4ply" w:id="1"/>
      <w:bookmarkEnd w:id="1"/>
      <w:r w:rsidDel="00000000" w:rsidR="00000000" w:rsidRPr="00000000">
        <w:rPr>
          <w:rtl w:val="0"/>
        </w:rPr>
        <w:t xml:space="preserve">Introducción.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Inspirados en la cultura Japones y en “animes” como Naruto y One Punch Man, se decidió elaborar dos cuartos, estilo oriental. Procurando guardar realismo y la esencia de los cuartos reales. Para la elaboración del siguiente proyecto nos basamos en las siguientes imágenes. Para la distribución, uso de objetos y texturas.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2128838" cy="2553034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2553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36225" cy="176688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225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ropsdrse720w" w:id="2"/>
      <w:bookmarkEnd w:id="2"/>
      <w:r w:rsidDel="00000000" w:rsidR="00000000" w:rsidRPr="00000000">
        <w:rPr>
          <w:rtl w:val="0"/>
        </w:rPr>
        <w:t xml:space="preserve">Manual De Usuario.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Requerimientos: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2015 o superior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Librerías OpenGL y Glut (Incluidas en el proyecto)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Archivos .obj y texturas en formato .bmp (Incluidas en el proyecto)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Controles de Usuario: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Desplazamiento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Tecla “a” : Sirve para desplazarse hacia la izquierda por el escenario.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Tecla “d” : Sirve para desplazarse hacia la derecha por el escenario.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Tecla “w” : Sirve para desplazarse hacia adelante por el escenario.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Tecla “s” : Sirve para desplazarse hacia atrás por el escenario.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Cámara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Tecla “i” y “k” : Sirve para  mover el foco de la cámara hacia abajo o hacia arriba, respectivamente.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Tecla “j” e “l” : Sirve para  mover el foco de la cámara hacia la derecha o hacia la izquierda, respectivamente.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Tecla “y” e “Y” : Sirve para mover la cámara de posición hacia arriba o hacia abajo, respectivamente. [Posición respecto eje Y]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Tecla “x” y “X” : Sirve para mover la cámara de posición hacia la derecha o hacia la izquierda respectivamente. [Posición respecto eje X]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Tecla “z” y “X” : Sirve para mover la cámara de posición hacia atrás o hacia adelante, respectivamente. [Posición respecto eje Z]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Animaciones: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Tecla “q” y “Q” : Abrir o cerrar puerta de entrada.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Tecla “t” : Derramar cartón de leche.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