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888888"/>
          <w:sz w:val="20"/>
          <w:szCs w:val="20"/>
        </w:rPr>
        <w:t xml:space="preserve">MANUSCRIPT DRAFT</w:t>
      </w:r>
    </w:p>
    <w:p>
      <w:pPr>
        <w:spacing w:after="120"/>
        <w:jc w:val="center"/>
      </w:pPr>
      <w:r>
        <w:rPr>
          <w:rFonts w:ascii="Times New Roman" w:cs="Times New Roman" w:eastAsia="Times New Roman" w:hAnsi="Times New Roman"/>
          <w:b/>
          <w:bCs/>
          <w:color w:val="2E4057"/>
          <w:sz w:val="32"/>
          <w:szCs w:val="32"/>
        </w:rPr>
        <w:t xml:space="preserve">The Entropy of Analytic Choice:</w:t>
      </w:r>
    </w:p>
    <w:p>
      <w:pPr>
        <w:spacing w:after="80"/>
        <w:jc w:val="center"/>
      </w:pPr>
      <w:r>
        <w:rPr>
          <w:rFonts w:ascii="Times New Roman" w:cs="Times New Roman" w:eastAsia="Times New Roman" w:hAnsi="Times New Roman"/>
          <w:b/>
          <w:bCs/>
          <w:color w:val="2E4057"/>
          <w:sz w:val="28"/>
          <w:szCs w:val="28"/>
        </w:rPr>
        <w:t xml:space="preserve">A Multiverse Framework for Count Data Models</w:t>
      </w:r>
    </w:p>
    <w:p>
      <w:pPr>
        <w:spacing w:after="80"/>
        <w:jc w:val="center"/>
      </w:pPr>
      <w:r>
        <w:rPr>
          <w:rFonts w:ascii="Times New Roman" w:cs="Times New Roman" w:eastAsia="Times New Roman" w:hAnsi="Times New Roman"/>
          <w:b/>
          <w:bCs/>
          <w:color w:val="2E4057"/>
          <w:sz w:val="28"/>
          <w:szCs w:val="28"/>
        </w:rPr>
        <w:t xml:space="preserve">in Health Services Utilization</w:t>
      </w:r>
    </w:p>
    <w:p>
      <w:pPr>
        <w:spacing w:after="200"/>
        <w:jc w:val="center"/>
      </w:pPr>
      <w:r>
        <w:rPr>
          <w:rFonts w:ascii="Times New Roman" w:cs="Times New Roman" w:eastAsia="Times New Roman" w:hAnsi="Times New Roman"/>
          <w:color w:val="888888"/>
          <w:sz w:val="20"/>
          <w:szCs w:val="20"/>
        </w:rPr>
        <w:t xml:space="preserve">Introduction — Version 3</w:t>
      </w:r>
    </w:p>
    <w:p>
      <w:pPr>
        <w:pBdr>
          <w:bottom w:val="single" w:color="2E4057" w:sz="6" w:space="1"/>
        </w:pBdr>
        <w:spacing w:after="400"/>
      </w:pPr>
    </w:p>
    <w:p>
      <w:pPr>
        <w:spacing w:after="200" w:line="480"/>
        <w:ind/>
        <w:jc w:val="both"/>
      </w:pPr>
      <w:r>
        <w:rPr>
          <w:rFonts w:ascii="Times New Roman" w:cs="Times New Roman" w:eastAsia="Times New Roman" w:hAnsi="Times New Roman"/>
          <w:sz w:val="24"/>
          <w:szCs w:val="24"/>
        </w:rPr>
        <w:t xml:space="preserve">Emergency department (ED) visits and inpatient hospitalizations are among the most widely studied outcomes in health services research. Utilization counts serve as proxies for disease burden, healthcare access, system efficiency, and the effectiveness of interventions and policies. As value-based care models expand and health systems face increasing pressure to reduce avoidable utilization, accurate estimation of the associations between patient characteristics and service use has become essential for resource allocation, risk adjustment, and policy evaluation. Yet the </w:t>
      </w:r>
      <w:r>
        <w:rPr>
          <w:rFonts w:ascii="Times New Roman" w:cs="Times New Roman" w:eastAsia="Times New Roman" w:hAnsi="Times New Roman"/>
          <w:i/>
          <w:iCs/>
          <w:sz w:val="24"/>
          <w:szCs w:val="24"/>
        </w:rPr>
        <w:t xml:space="preserve">information</w:t>
      </w:r>
      <w:r>
        <w:rPr>
          <w:rFonts w:ascii="Times New Roman" w:cs="Times New Roman" w:eastAsia="Times New Roman" w:hAnsi="Times New Roman"/>
          <w:sz w:val="24"/>
          <w:szCs w:val="24"/>
        </w:rPr>
        <w:t xml:space="preserve"> that these analyses yield—the strength, direction, and significance of estimated associations—depends not only on the data themselves but on a series of modeling decisions whose consequences are rarely examined.</w:t>
      </w:r>
    </w:p>
    <w:p>
      <w:pPr>
        <w:spacing w:after="200" w:line="480"/>
        <w:ind/>
        <w:jc w:val="both"/>
      </w:pPr>
      <w:r>
        <w:rPr>
          <w:rFonts w:ascii="Times New Roman" w:cs="Times New Roman" w:eastAsia="Times New Roman" w:hAnsi="Times New Roman"/>
          <w:sz w:val="24"/>
          <w:szCs w:val="24"/>
        </w:rPr>
        <w:t xml:space="preserve">The statistical modeling of utilization counts presents well-known challenges. Visit counts are non-negative integers characterized by right-skewed distributions, overdispersion (variance exceeding the mean), and a substantial proportion of zeros representing individuals who did not use services during the observation period. These features violate the assumptions of standard Poisson regression, which requires equidispersion, and have motivated the development of a family of alternative count data models including negative binomial (NB) regression, zero-inflated Poisson (ZIP), zero-inflated negative binomial (ZINB), hurdle models, generalized Poisson models, and finite mixture models. Each of these approaches embodies different assumptions about the data-generating process, and no single model is universally appropriate. The choice among them is, in a precise sense, an analytic degree of freedom—one whose informational consequences can be quantified.</w:t>
      </w:r>
    </w:p>
    <w:p>
      <w:pPr>
        <w:spacing w:after="200" w:line="480"/>
        <w:ind/>
        <w:jc w:val="both"/>
      </w:pPr>
      <w:r>
        <w:rPr>
          <w:rFonts w:ascii="Times New Roman" w:cs="Times New Roman" w:eastAsia="Times New Roman" w:hAnsi="Times New Roman"/>
          <w:sz w:val="24"/>
          <w:szCs w:val="24"/>
        </w:rPr>
        <w:t xml:space="preserve">In practice, however, the choice among these models is rarely subjected to rigorous scrutiny. A survey of the recent literature reveals that the majority of applied studies modeling ED or inpatient visit counts rely on negative binomial regression, often with minimal justification for the distributional choice. For example, studies of ED utilization patterns during the COVID-19 pandemic, ER visit predictors among Medicaid populations, and frequent ED use among specific demographic groups have employed either Poisson or negative binomial regression with little or no discussion of model fit, overdispersion testing, or sensitivity to alternative specifications. When justification is offered, it typically consists of a single sentence noting that the outcome is a skewed count variable, accompanied by a citation to a methods textbook.</w:t>
      </w:r>
    </w:p>
    <w:p>
      <w:pPr>
        <w:spacing w:after="200" w:line="480"/>
        <w:ind/>
        <w:jc w:val="both"/>
      </w:pPr>
      <w:r>
        <w:rPr>
          <w:rFonts w:ascii="Times New Roman" w:cs="Times New Roman" w:eastAsia="Times New Roman" w:hAnsi="Times New Roman"/>
          <w:sz w:val="24"/>
          <w:szCs w:val="24"/>
        </w:rPr>
        <w:t xml:space="preserve">Notable exceptions exist. Guttmann and colleagues compared six count data models—Poisson, NB, ZIP, ZINB, Hurdle Poisson, and Hurdle NB—when modeling demand for emergency department services in Ontario, using the Vuong test to adjudicate among non-nested specifications. Quinn and colleagues demonstrated that Poisson and ZIP models yielded hospitalization rate ratios nearly double those obtained from NB and ZINB models when comparing hemodialysis and peritoneal dialysis patients, concluding that model selection can substantively alter clinical conclusions. Lee and colleagues conducted a simulation study comparing NB and ZINB models for zero-inflated count data and found that, contrary to common heuristic guidance, the standard NB model was often preferred by AIC even when data were generated from a zero-inflated distribution, with the mean and skewness of the non-zero portion of the data being stronger predictors of model preference than the proportion of zeros. Tran and colleagues compared nine econometric models for outpatient visit counts among Vietnamese older adults using multiple fit criteria. These studies collectively demonstrate that model choice can meaningfully influence both statistical fit and substantive conclusions, yet such comparisons remain the exception rather than the norm.</w:t>
      </w:r>
    </w:p>
    <w:p>
      <w:pPr>
        <w:spacing w:after="200" w:line="480"/>
        <w:ind/>
        <w:jc w:val="both"/>
      </w:pPr>
      <w:r>
        <w:rPr>
          <w:rFonts w:ascii="Times New Roman" w:cs="Times New Roman" w:eastAsia="Times New Roman" w:hAnsi="Times New Roman"/>
          <w:sz w:val="24"/>
          <w:szCs w:val="24"/>
        </w:rPr>
        <w:t xml:space="preserve">The multiverse analysis framework offers a principled approach to examining the consequences of analytic choices. Introduced by Steegen and colleagues as a method for systematically exploring how alternative data-processing decisions affect statistical conclusions, multiverse analysis has gained traction in psychology, neuroscience, and the social sciences as a tool for diagnosing the robustness or fragility of empirical findings. The original formulation focused on the data-processing multiverse—choices about exclusion criteria, variable transformations, and operationalization—and explicitly noted that the model-specification multiverse, including the choice of distributional assumptions, represented a separate and largely unexplored dimension. Young and Cumberworth have since formalized the broader multiverse framework, demonstrating through extensive simulation that the proportion of false positives is highest when model uncertainty is high and that systematic exploration of alternative specifications is at least as important as statistical significance testing. Yet a critical question remains unaddressed by the multiverse literature: once the full space of plausible models has been mapped, how much of that space do researchers actually need to explore? If most of the inferential diversity is concentrated in a small subset of models, the full multiverse may be unnecessarily burdensome—and an information-theoretic criterion could identify the minimum sufficient set.</w:t>
      </w:r>
    </w:p>
    <w:p>
      <w:pPr>
        <w:spacing w:after="200" w:line="480"/>
        <w:ind/>
        <w:jc w:val="both"/>
      </w:pPr>
      <w:r>
        <w:rPr>
          <w:rFonts w:ascii="Times New Roman" w:cs="Times New Roman" w:eastAsia="Times New Roman" w:hAnsi="Times New Roman"/>
          <w:sz w:val="24"/>
          <w:szCs w:val="24"/>
        </w:rPr>
        <w:t xml:space="preserve">To our knowledge, neither the multiverse framework nor an information-theoretic lens has been applied to the specific problem of distributional model choice in healthcare utilization research. While individual studies have compared two or three count data models head-to-head, no study has systematically mapped the full analytic space—including Poisson, NB, ZIP, ZINB, hurdle, generalized Poisson, and finite Poisson mixture models—and evaluated how conclusions about the associations between patient characteristics and utilization shift across that space. Importantly, the consequences of distributional model choice may manifest along two distinct dimensions that do not necessarily move in lockstep. First, different datasets or patient populations may or may not require different distributional families to achieve adequate fit. Second, even when model fit varies, the estimated associations between covariates and utilization may prove robust to model choice—or they may not. Whether a single distributional family adequately describes most utilization data, or whether different settings demand different models, and whether the resulting covariate associations are stable or fragile across specifications, remain open empirical questions with direct implications for the credibility of the existing evidence base. Equally unresolved is whether the informational contribution of each model to the multiverse is uniform or highly concentrated—and if the latter, which models carry the most analytic information.</w:t>
      </w:r>
    </w:p>
    <w:p>
      <w:pPr>
        <w:spacing w:after="200" w:line="480"/>
        <w:ind/>
        <w:jc w:val="both"/>
      </w:pPr>
      <w:r>
        <w:rPr>
          <w:rFonts w:ascii="Times New Roman" w:cs="Times New Roman" w:eastAsia="Times New Roman" w:hAnsi="Times New Roman"/>
          <w:sz w:val="24"/>
          <w:szCs w:val="24"/>
        </w:rPr>
        <w:t xml:space="preserve">In this study, we address these questions through a multiverse analysis of distributional model choice applied to ED and inpatient visit counts, unified by an information-theoretic framework grounded in Shannon entropy. Our approach comprises four interconnected contributions. First, we conduct Monte Carlo simulations in which data are generated from known distributional families and then fit with competing models, establishing baseline expectations for how reliably information criteria identify the correct generating model and how sensitive covariate effect estimates are to distributional misspecification. Second, we apply the full suite of models to empirical patient-level data from a regional health information hub comprising at least 10 hospital systems as well as Medicaid claims data, evaluating model fit via AIC and BIC independently across datasources and under alternative cohort definitions; datasources are themselves selected using an entropy-based criterion that retains the most informationally diverse subset. Third, we estimate associations between utilization and patient characteristics—including age, gender, zip-code median income, and selected clinical and social determinants—across all model specifications and examine the stability of effect estimates, statistical significance, and inferential conclusions across the analytic multiverse. Fourth, and perhaps most consequentially for practice, we apply Shannon entropy to the multiverse itself to identify the minimum sufficient set of models—the smallest subset that preserves the vast majority of the inferential diversity observed across the full analytic space. This final contribution transforms the multiverse from an exhaustive audit into a practical tool: rather than asking researchers to fit every plausible model, we provide an empirically grounded, information-theoretic answer to the question of how much multiverse is enough. We additionally introduce an open-source, object-oriented Python package with YAML-driven configuration to enable researchers to conduct their own multiverse analyses on count data, promoting transparency and reproducibility in utilization research.</w:t>
      </w:r>
    </w:p>
    <w:p>
      <w:pPr>
        <w:spacing w:before="480" w:after="240"/>
      </w:pPr>
    </w:p>
    <w:p>
      <w:pPr>
        <w:spacing w:after="360"/>
        <w:jc w:val="center"/>
      </w:pPr>
      <w:r>
        <w:rPr>
          <w:rFonts w:ascii="Times New Roman" w:cs="Times New Roman" w:eastAsia="Times New Roman" w:hAnsi="Times New Roman"/>
          <w:b/>
          <w:bCs/>
          <w:sz w:val="28"/>
          <w:szCs w:val="28"/>
        </w:rPr>
        <w:t xml:space="preserve">References</w:t>
      </w:r>
    </w:p>
    <w:p>
      <w:pPr>
        <w:spacing w:after="200" w:line="480"/>
        <w:jc w:val="both"/>
      </w:pPr>
      <w:r>
        <w:rPr>
          <w:rFonts w:ascii="Times New Roman" w:cs="Times New Roman" w:eastAsia="Times New Roman" w:hAnsi="Times New Roman"/>
          <w:sz w:val="24"/>
          <w:szCs w:val="24"/>
        </w:rPr>
        <w:t xml:space="preserve">Guttmann A, Shipman SA, Lam K, Goodman DC, Stukel TA. Modeling factors influencing the demand for emergency department services in Ontario: a comparison of methods. </w:t>
      </w:r>
      <w:r>
        <w:rPr>
          <w:rFonts w:ascii="Times New Roman" w:cs="Times New Roman" w:eastAsia="Times New Roman" w:hAnsi="Times New Roman"/>
          <w:i/>
          <w:iCs/>
          <w:sz w:val="24"/>
          <w:szCs w:val="24"/>
        </w:rPr>
        <w:t xml:space="preserve">Ann Emerg Med.</w:t>
      </w:r>
      <w:r>
        <w:rPr>
          <w:rFonts w:ascii="Times New Roman" w:cs="Times New Roman" w:eastAsia="Times New Roman" w:hAnsi="Times New Roman"/>
          <w:sz w:val="24"/>
          <w:szCs w:val="24"/>
        </w:rPr>
        <w:t xml:space="preserve"> 2013;61(1):44–51.</w:t>
      </w:r>
    </w:p>
    <w:p>
      <w:pPr>
        <w:spacing w:after="200" w:line="480"/>
        <w:jc w:val="both"/>
      </w:pPr>
      <w:r>
        <w:rPr>
          <w:rFonts w:ascii="Times New Roman" w:cs="Times New Roman" w:eastAsia="Times New Roman" w:hAnsi="Times New Roman"/>
          <w:sz w:val="24"/>
          <w:szCs w:val="24"/>
        </w:rPr>
        <w:t xml:space="preserve">Lee JA, Heberlein E, Engeda J, Gao Y, et al. Evaluation of negative binomial and zero-inflated negative binomial models for the analysis of zero-inflated count data: application to the telemedicine for children with medical complexity trial. </w:t>
      </w:r>
      <w:r>
        <w:rPr>
          <w:rFonts w:ascii="Times New Roman" w:cs="Times New Roman" w:eastAsia="Times New Roman" w:hAnsi="Times New Roman"/>
          <w:i/>
          <w:iCs/>
          <w:sz w:val="24"/>
          <w:szCs w:val="24"/>
        </w:rPr>
        <w:t xml:space="preserve">Trials.</w:t>
      </w:r>
      <w:r>
        <w:rPr>
          <w:rFonts w:ascii="Times New Roman" w:cs="Times New Roman" w:eastAsia="Times New Roman" w:hAnsi="Times New Roman"/>
          <w:sz w:val="24"/>
          <w:szCs w:val="24"/>
        </w:rPr>
        <w:t xml:space="preserve"> 2023;24:613.</w:t>
      </w:r>
    </w:p>
    <w:p>
      <w:pPr>
        <w:spacing w:after="200" w:line="480"/>
        <w:jc w:val="both"/>
      </w:pPr>
      <w:r>
        <w:rPr>
          <w:rFonts w:ascii="Times New Roman" w:cs="Times New Roman" w:eastAsia="Times New Roman" w:hAnsi="Times New Roman"/>
          <w:sz w:val="24"/>
          <w:szCs w:val="24"/>
        </w:rPr>
        <w:t xml:space="preserve">Quinn RR, Hartmann KE, Austin PC, Bhatt DL, et al. Analyzing hospitalization data: potential limitations of Poisson regression. </w:t>
      </w:r>
      <w:r>
        <w:rPr>
          <w:rFonts w:ascii="Times New Roman" w:cs="Times New Roman" w:eastAsia="Times New Roman" w:hAnsi="Times New Roman"/>
          <w:i/>
          <w:iCs/>
          <w:sz w:val="24"/>
          <w:szCs w:val="24"/>
        </w:rPr>
        <w:t xml:space="preserve">Nephrol Dial Transplant.</w:t>
      </w:r>
      <w:r>
        <w:rPr>
          <w:rFonts w:ascii="Times New Roman" w:cs="Times New Roman" w:eastAsia="Times New Roman" w:hAnsi="Times New Roman"/>
          <w:sz w:val="24"/>
          <w:szCs w:val="24"/>
        </w:rPr>
        <w:t xml:space="preserve"> 2015;30(8):1244–1249.</w:t>
      </w:r>
    </w:p>
    <w:p>
      <w:pPr>
        <w:spacing w:after="200" w:line="480"/>
        <w:jc w:val="both"/>
      </w:pPr>
      <w:r>
        <w:rPr>
          <w:rFonts w:ascii="Times New Roman" w:cs="Times New Roman" w:eastAsia="Times New Roman" w:hAnsi="Times New Roman"/>
          <w:sz w:val="24"/>
          <w:szCs w:val="24"/>
        </w:rPr>
        <w:t xml:space="preserve">RTI International. Developing Risk-Adjusted Avoidable Hospitalizations and Emergency Department Visits Quality Measures. Report prepared for the Medicare Payment Advisory Commission. August 2019.</w:t>
      </w:r>
    </w:p>
    <w:p>
      <w:pPr>
        <w:spacing w:after="200" w:line="480"/>
        <w:jc w:val="both"/>
      </w:pPr>
      <w:r>
        <w:rPr>
          <w:rFonts w:ascii="Times New Roman" w:cs="Times New Roman" w:eastAsia="Times New Roman" w:hAnsi="Times New Roman"/>
          <w:sz w:val="24"/>
          <w:szCs w:val="24"/>
        </w:rPr>
        <w:t xml:space="preserve">Shannon CE. A mathematical theory of communication. </w:t>
      </w:r>
      <w:r>
        <w:rPr>
          <w:rFonts w:ascii="Times New Roman" w:cs="Times New Roman" w:eastAsia="Times New Roman" w:hAnsi="Times New Roman"/>
          <w:i/>
          <w:iCs/>
          <w:sz w:val="24"/>
          <w:szCs w:val="24"/>
        </w:rPr>
        <w:t xml:space="preserve">Bell Syst Tech J.</w:t>
      </w:r>
      <w:r>
        <w:rPr>
          <w:rFonts w:ascii="Times New Roman" w:cs="Times New Roman" w:eastAsia="Times New Roman" w:hAnsi="Times New Roman"/>
          <w:sz w:val="24"/>
          <w:szCs w:val="24"/>
        </w:rPr>
        <w:t xml:space="preserve"> 1948;27(3):379–423.</w:t>
      </w:r>
    </w:p>
    <w:p>
      <w:pPr>
        <w:spacing w:after="200" w:line="480"/>
        <w:jc w:val="both"/>
      </w:pPr>
      <w:r>
        <w:rPr>
          <w:rFonts w:ascii="Times New Roman" w:cs="Times New Roman" w:eastAsia="Times New Roman" w:hAnsi="Times New Roman"/>
          <w:sz w:val="24"/>
          <w:szCs w:val="24"/>
        </w:rPr>
        <w:t xml:space="preserve">Steegen S, Tuerlinckx F, Gelman A, Vanpaemel W. Increasing transparency through a multiverse analysis. </w:t>
      </w:r>
      <w:r>
        <w:rPr>
          <w:rFonts w:ascii="Times New Roman" w:cs="Times New Roman" w:eastAsia="Times New Roman" w:hAnsi="Times New Roman"/>
          <w:i/>
          <w:iCs/>
          <w:sz w:val="24"/>
          <w:szCs w:val="24"/>
        </w:rPr>
        <w:t xml:space="preserve">Perspect Psychol Sci.</w:t>
      </w:r>
      <w:r>
        <w:rPr>
          <w:rFonts w:ascii="Times New Roman" w:cs="Times New Roman" w:eastAsia="Times New Roman" w:hAnsi="Times New Roman"/>
          <w:sz w:val="24"/>
          <w:szCs w:val="24"/>
        </w:rPr>
        <w:t xml:space="preserve"> 2016;11(5):702–712.</w:t>
      </w:r>
    </w:p>
    <w:p>
      <w:pPr>
        <w:spacing w:after="200" w:line="480"/>
        <w:jc w:val="both"/>
      </w:pPr>
      <w:r>
        <w:rPr>
          <w:rFonts w:ascii="Times New Roman" w:cs="Times New Roman" w:eastAsia="Times New Roman" w:hAnsi="Times New Roman"/>
          <w:sz w:val="24"/>
          <w:szCs w:val="24"/>
        </w:rPr>
        <w:t xml:space="preserve">Tran BX, Nguyen LH, Nong VM, Nguyen CT. Modeling count data for health care utilization: an empirical study of outpatient visits among Vietnamese older people. </w:t>
      </w:r>
      <w:r>
        <w:rPr>
          <w:rFonts w:ascii="Times New Roman" w:cs="Times New Roman" w:eastAsia="Times New Roman" w:hAnsi="Times New Roman"/>
          <w:i/>
          <w:iCs/>
          <w:sz w:val="24"/>
          <w:szCs w:val="24"/>
        </w:rPr>
        <w:t xml:space="preserve">BMC Med Res Methodol.</w:t>
      </w:r>
      <w:r>
        <w:rPr>
          <w:rFonts w:ascii="Times New Roman" w:cs="Times New Roman" w:eastAsia="Times New Roman" w:hAnsi="Times New Roman"/>
          <w:sz w:val="24"/>
          <w:szCs w:val="24"/>
        </w:rPr>
        <w:t xml:space="preserve"> 2021;21:184.</w:t>
      </w:r>
    </w:p>
    <w:p>
      <w:pPr>
        <w:spacing w:after="200" w:line="480"/>
        <w:jc w:val="both"/>
      </w:pPr>
      <w:r>
        <w:rPr>
          <w:rFonts w:ascii="Times New Roman" w:cs="Times New Roman" w:eastAsia="Times New Roman" w:hAnsi="Times New Roman"/>
          <w:sz w:val="24"/>
          <w:szCs w:val="24"/>
        </w:rPr>
        <w:t xml:space="preserve">Young C, Cumberworth E. </w:t>
      </w:r>
      <w:r>
        <w:rPr>
          <w:rFonts w:ascii="Times New Roman" w:cs="Times New Roman" w:eastAsia="Times New Roman" w:hAnsi="Times New Roman"/>
          <w:i/>
          <w:iCs/>
          <w:sz w:val="24"/>
          <w:szCs w:val="24"/>
        </w:rPr>
        <w:t xml:space="preserve">Multiverse Analysis.</w:t>
      </w:r>
      <w:r>
        <w:rPr>
          <w:rFonts w:ascii="Times New Roman" w:cs="Times New Roman" w:eastAsia="Times New Roman" w:hAnsi="Times New Roman"/>
          <w:sz w:val="24"/>
          <w:szCs w:val="24"/>
        </w:rPr>
        <w:t xml:space="preserve"> Cambridge University Press; 2024.</w:t>
      </w:r>
    </w:p>
    <w:p>
      <w:pPr>
        <w:spacing w:after="200" w:line="480"/>
        <w:jc w:val="both"/>
      </w:pPr>
      <w:r>
        <w:rPr>
          <w:rFonts w:ascii="Times New Roman" w:cs="Times New Roman" w:eastAsia="Times New Roman" w:hAnsi="Times New Roman"/>
          <w:sz w:val="24"/>
          <w:szCs w:val="24"/>
        </w:rPr>
        <w:t xml:space="preserve">Atun RA, Obazanek JM, et al. Emergency department utilization, hospital admissions, and physician visits among elderly African American persons. </w:t>
      </w:r>
      <w:r>
        <w:rPr>
          <w:rFonts w:ascii="Times New Roman" w:cs="Times New Roman" w:eastAsia="Times New Roman" w:hAnsi="Times New Roman"/>
          <w:i/>
          <w:iCs/>
          <w:sz w:val="24"/>
          <w:szCs w:val="24"/>
        </w:rPr>
        <w:t xml:space="preserve">J Natl Med Assoc.</w:t>
      </w:r>
      <w:r>
        <w:rPr>
          <w:rFonts w:ascii="Times New Roman" w:cs="Times New Roman" w:eastAsia="Times New Roman" w:hAnsi="Times New Roman"/>
          <w:sz w:val="24"/>
          <w:szCs w:val="24"/>
        </w:rPr>
        <w:t xml:space="preserve"> 1998;90(1):41–46.</w:t>
      </w:r>
    </w:p>
    <w:p>
      <w:pPr>
        <w:spacing w:after="200" w:line="480"/>
        <w:jc w:val="both"/>
      </w:pPr>
      <w:r>
        <w:rPr>
          <w:rFonts w:ascii="Times New Roman" w:cs="Times New Roman" w:eastAsia="Times New Roman" w:hAnsi="Times New Roman"/>
          <w:sz w:val="24"/>
          <w:szCs w:val="24"/>
        </w:rPr>
        <w:t xml:space="preserve">Doupe MB, Palatnick W, Day S, et al. Characteristics and predictors of frequent utilization of emergency services. </w:t>
      </w:r>
      <w:r>
        <w:rPr>
          <w:rFonts w:ascii="Times New Roman" w:cs="Times New Roman" w:eastAsia="Times New Roman" w:hAnsi="Times New Roman"/>
          <w:i/>
          <w:iCs/>
          <w:sz w:val="24"/>
          <w:szCs w:val="24"/>
        </w:rPr>
        <w:t xml:space="preserve">J Emerg Nurs.</w:t>
      </w:r>
      <w:r>
        <w:rPr>
          <w:rFonts w:ascii="Times New Roman" w:cs="Times New Roman" w:eastAsia="Times New Roman" w:hAnsi="Times New Roman"/>
          <w:sz w:val="24"/>
          <w:szCs w:val="24"/>
        </w:rPr>
        <w:t xml:space="preserve"> 2012;38(2):106–114.</w:t>
      </w:r>
    </w:p>
    <w:p>
      <w:pPr>
        <w:spacing w:after="200" w:line="480"/>
        <w:jc w:val="both"/>
      </w:pPr>
      <w:r>
        <w:rPr>
          <w:rFonts w:ascii="Times New Roman" w:cs="Times New Roman" w:eastAsia="Times New Roman" w:hAnsi="Times New Roman"/>
          <w:sz w:val="24"/>
          <w:szCs w:val="24"/>
        </w:rPr>
        <w:t xml:space="preserve">Boudreaux M, et al. COVID-19 and Emergency Department Visits: An Interrupted Time Series Analysis of Ontario and Alberta, Canada. </w:t>
      </w:r>
      <w:r>
        <w:rPr>
          <w:rFonts w:ascii="Times New Roman" w:cs="Times New Roman" w:eastAsia="Times New Roman" w:hAnsi="Times New Roman"/>
          <w:i/>
          <w:iCs/>
          <w:sz w:val="24"/>
          <w:szCs w:val="24"/>
        </w:rPr>
        <w:t xml:space="preserve">eScholarship.</w:t>
      </w:r>
      <w:r>
        <w:rPr>
          <w:rFonts w:ascii="Times New Roman" w:cs="Times New Roman" w:eastAsia="Times New Roman" w:hAnsi="Times New Roman"/>
          <w:sz w:val="24"/>
          <w:szCs w:val="24"/>
        </w:rPr>
        <w:t xml:space="preserve"> 2025.</w:t>
      </w:r>
    </w:p>
    <w:p>
      <w:pPr>
        <w:spacing w:after="200" w:line="480"/>
        <w:jc w:val="both"/>
      </w:pPr>
      <w:r>
        <w:rPr>
          <w:rFonts w:ascii="Times New Roman" w:cs="Times New Roman" w:eastAsia="Times New Roman" w:hAnsi="Times New Roman"/>
          <w:sz w:val="24"/>
          <w:szCs w:val="24"/>
        </w:rPr>
        <w:t xml:space="preserve">Platonova EA, Carnes KJ. Relationship between patient-centered primary care provider communication and emergency room visits in the Medicaid population. </w:t>
      </w:r>
      <w:r>
        <w:rPr>
          <w:rFonts w:ascii="Times New Roman" w:cs="Times New Roman" w:eastAsia="Times New Roman" w:hAnsi="Times New Roman"/>
          <w:i/>
          <w:iCs/>
          <w:sz w:val="24"/>
          <w:szCs w:val="24"/>
        </w:rPr>
        <w:t xml:space="preserve">J Patient Exp.</w:t>
      </w:r>
      <w:r>
        <w:rPr>
          <w:rFonts w:ascii="Times New Roman" w:cs="Times New Roman" w:eastAsia="Times New Roman" w:hAnsi="Times New Roman"/>
          <w:sz w:val="24"/>
          <w:szCs w:val="24"/>
        </w:rPr>
        <w:t xml:space="preserve"> 2020.</w:t>
      </w:r>
    </w:p>
    <w:p>
      <w:pPr>
        <w:spacing w:after="200" w:line="480"/>
        <w:jc w:val="both"/>
      </w:pPr>
      <w:r>
        <w:rPr>
          <w:rFonts w:ascii="Times New Roman" w:cs="Times New Roman" w:eastAsia="Times New Roman" w:hAnsi="Times New Roman"/>
          <w:sz w:val="24"/>
          <w:szCs w:val="24"/>
        </w:rPr>
        <w:t xml:space="preserve">Du J, Park Y-T, Theera-Ampornpunt N, et al. The use of count data models in biomedical informatics evaluation research. </w:t>
      </w:r>
      <w:r>
        <w:rPr>
          <w:rFonts w:ascii="Times New Roman" w:cs="Times New Roman" w:eastAsia="Times New Roman" w:hAnsi="Times New Roman"/>
          <w:i/>
          <w:iCs/>
          <w:sz w:val="24"/>
          <w:szCs w:val="24"/>
        </w:rPr>
        <w:t xml:space="preserve">J Am Med Inform Assoc.</w:t>
      </w:r>
      <w:r>
        <w:rPr>
          <w:rFonts w:ascii="Times New Roman" w:cs="Times New Roman" w:eastAsia="Times New Roman" w:hAnsi="Times New Roman"/>
          <w:sz w:val="24"/>
          <w:szCs w:val="24"/>
        </w:rPr>
        <w:t xml:space="preserve"> 2012;19(2):334–340.</w:t>
      </w:r>
    </w:p>
    <w:p>
      <w:pPr>
        <w:spacing w:after="200" w:line="480"/>
        <w:jc w:val="both"/>
      </w:pPr>
      <w:r>
        <w:rPr>
          <w:rFonts w:ascii="Times New Roman" w:cs="Times New Roman" w:eastAsia="Times New Roman" w:hAnsi="Times New Roman"/>
          <w:sz w:val="24"/>
          <w:szCs w:val="24"/>
        </w:rPr>
        <w:t xml:space="preserve">Mullahy J. Specification and testing of some modified count data models. </w:t>
      </w:r>
      <w:r>
        <w:rPr>
          <w:rFonts w:ascii="Times New Roman" w:cs="Times New Roman" w:eastAsia="Times New Roman" w:hAnsi="Times New Roman"/>
          <w:i/>
          <w:iCs/>
          <w:sz w:val="24"/>
          <w:szCs w:val="24"/>
        </w:rPr>
        <w:t xml:space="preserve">J Econom.</w:t>
      </w:r>
      <w:r>
        <w:rPr>
          <w:rFonts w:ascii="Times New Roman" w:cs="Times New Roman" w:eastAsia="Times New Roman" w:hAnsi="Times New Roman"/>
          <w:sz w:val="24"/>
          <w:szCs w:val="24"/>
        </w:rPr>
        <w:t xml:space="preserve"> 1986;33(3):341–365.</w:t>
      </w:r>
    </w:p>
    <w:p>
      <w:pPr>
        <w:spacing w:after="200" w:line="480"/>
        <w:jc w:val="both"/>
      </w:pPr>
      <w:r>
        <w:rPr>
          <w:rFonts w:ascii="Times New Roman" w:cs="Times New Roman" w:eastAsia="Times New Roman" w:hAnsi="Times New Roman"/>
          <w:sz w:val="24"/>
          <w:szCs w:val="24"/>
        </w:rPr>
        <w:t xml:space="preserve">Hilbe JM. </w:t>
      </w:r>
      <w:r>
        <w:rPr>
          <w:rFonts w:ascii="Times New Roman" w:cs="Times New Roman" w:eastAsia="Times New Roman" w:hAnsi="Times New Roman"/>
          <w:i/>
          <w:iCs/>
          <w:sz w:val="24"/>
          <w:szCs w:val="24"/>
        </w:rPr>
        <w:t xml:space="preserve">Negative Binomial Regression.</w:t>
      </w:r>
      <w:r>
        <w:rPr>
          <w:rFonts w:ascii="Times New Roman" w:cs="Times New Roman" w:eastAsia="Times New Roman" w:hAnsi="Times New Roman"/>
          <w:sz w:val="24"/>
          <w:szCs w:val="24"/>
        </w:rPr>
        <w:t xml:space="preserve"> 2nd ed. Cambridge University Press; 2011.</w:t>
      </w:r>
    </w:p>
    <w:p>
      <w:pPr>
        <w:spacing w:after="200" w:line="480"/>
        <w:jc w:val="both"/>
      </w:pPr>
      <w:r>
        <w:rPr>
          <w:rFonts w:ascii="Times New Roman" w:cs="Times New Roman" w:eastAsia="Times New Roman" w:hAnsi="Times New Roman"/>
          <w:sz w:val="24"/>
          <w:szCs w:val="24"/>
        </w:rPr>
        <w:t xml:space="preserve">Vuong QH. Likelihood ratio tests for model selection and non-nested hypotheses.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1989;57(2):307–333.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2026-03-05T22:10:56.377Z</dcterms:created>
  <dcterms:modified xsi:type="dcterms:W3CDTF">2026-03-05T22:10:56.378Z</dcterms:modified>
</cp:coreProperties>
</file>

<file path=docProps/custom.xml><?xml version="1.0" encoding="utf-8"?>
<Properties xmlns="http://schemas.openxmlformats.org/officeDocument/2006/custom-properties" xmlns:vt="http://schemas.openxmlformats.org/officeDocument/2006/docPropsVTypes"/>
</file>