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Methods</w:t>
      </w:r>
    </w:p>
    <w:p>
      <w:pPr>
        <w:spacing w:after="200"/>
        <w:jc w:val="center"/>
      </w:pPr>
      <w:r>
        <w:rPr>
          <w:rFonts w:ascii="Times New Roman" w:cs="Times New Roman" w:eastAsia="Times New Roman" w:hAnsi="Times New Roman"/>
          <w:i/>
          <w:iCs/>
          <w:color w:val="666666"/>
          <w:sz w:val="22"/>
          <w:szCs w:val="22"/>
        </w:rPr>
        <w:t xml:space="preserve">The Impact of Distributional Choices on Health Services Utilization Analyses</w:t>
      </w:r>
    </w:p>
    <w:p>
      <w:pPr>
        <w:pBdr>
          <w:bottom w:val="single" w:color="2E4057" w:sz="6" w:space="1"/>
        </w:pBdr>
        <w:spacing w:after="400"/>
      </w:pPr>
    </w:p>
    <w:p>
      <w:pPr>
        <w:pStyle w:val="Heading1"/>
      </w:pPr>
      <w:r>
        <w:rPr>
          <w:rFonts w:ascii="Times New Roman" w:cs="Times New Roman" w:eastAsia="Times New Roman" w:hAnsi="Times New Roman"/>
          <w:sz w:val="24"/>
          <w:szCs w:val="24"/>
        </w:rPr>
        <w:t xml:space="preserve">2.1 Data Sources and Study Population</w:t>
      </w:r>
    </w:p>
    <w:p>
      <w:pPr>
        <w:spacing w:after="200" w:line="480"/>
        <w:ind w:firstLine="720"/>
        <w:jc w:val="both"/>
      </w:pPr>
      <w:r>
        <w:rPr>
          <w:rFonts w:ascii="Times New Roman" w:cs="Times New Roman" w:eastAsia="Times New Roman" w:hAnsi="Times New Roman"/>
          <w:sz w:val="24"/>
          <w:szCs w:val="24"/>
        </w:rPr>
        <w:t xml:space="preserve">Patient-level data were drawn from two primary sources: (a) encounter records from hospital systems participating in a regional health information hub (RHH), and (b) administrative claims from a state Medicaid program. The RHH aggregates encounter data—including emergency department visits and inpatient admissions—from at least 10 independent hospital systems spanning academic medical centers, community hospitals, and safety-net facilities. The Medicaid claims data provide a complementary source representing a defined, closed insurance population in which a zero event count can be more confidently interpreted as true non-utilization during the observation period.</w:t>
      </w:r>
    </w:p>
    <w:p>
      <w:pPr>
        <w:spacing w:after="200" w:line="480"/>
        <w:ind w:firstLine="720"/>
        <w:jc w:val="both"/>
      </w:pPr>
      <w:r>
        <w:rPr>
          <w:rFonts w:ascii="Times New Roman" w:cs="Times New Roman" w:eastAsia="Times New Roman" w:hAnsi="Times New Roman"/>
          <w:sz w:val="24"/>
          <w:szCs w:val="24"/>
        </w:rPr>
        <w:t xml:space="preserve">The study period is calendar year 2024, chosen to ensure complete data capture across all contributing systems. The unit of analysis is the individual patient (identified by a unique person identifier), and the primary outcome is the number of qualifying events—ED visits or inpatient admissions—per person during the study year.</w:t>
      </w:r>
    </w:p>
    <w:p>
      <w:pPr>
        <w:spacing w:after="200" w:line="480"/>
        <w:ind w:firstLine="720"/>
        <w:jc w:val="both"/>
      </w:pPr>
      <w:r>
        <w:rPr>
          <w:rFonts w:ascii="Times New Roman" w:cs="Times New Roman" w:eastAsia="Times New Roman" w:hAnsi="Times New Roman"/>
          <w:sz w:val="24"/>
          <w:szCs w:val="24"/>
        </w:rPr>
        <w:t xml:space="preserve">Because the number of available datasources is large and some may be informationally redundant, we applied an entropy-based selection procedure to identify the subset of datasources that preserves at least 80% of the total Shannon entropy of the datasource distribution. This approach retains datasources that contribute meaningfully to distributional diversity while excluding sources whose removal causes negligible information loss. The formal algorithm and a worked example are provided in Supplementary Methods Section S1. After entropy-based selection,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datasources were retained for the primary analysis. Results for the full, unselected set of datasources are reported in supplementary materials.</w:t>
      </w:r>
    </w:p>
    <w:p>
      <w:pPr>
        <w:pStyle w:val="Heading2"/>
      </w:pPr>
      <w:r>
        <w:rPr>
          <w:rFonts w:ascii="Times New Roman" w:cs="Times New Roman" w:eastAsia="Times New Roman" w:hAnsi="Times New Roman"/>
          <w:sz w:val="24"/>
          <w:szCs w:val="24"/>
        </w:rPr>
        <w:t xml:space="preserve">Cohort Definitions</w:t>
      </w:r>
    </w:p>
    <w:p>
      <w:pPr>
        <w:spacing w:after="200" w:line="480"/>
        <w:ind w:firstLine="720"/>
        <w:jc w:val="both"/>
      </w:pPr>
      <w:r>
        <w:rPr>
          <w:rFonts w:ascii="Times New Roman" w:cs="Times New Roman" w:eastAsia="Times New Roman" w:hAnsi="Times New Roman"/>
          <w:sz w:val="24"/>
          <w:szCs w:val="24"/>
        </w:rPr>
        <w:t xml:space="preserve">To examine the sensitivity of results to the handling of zero counts, we defined two overlapping cohorts:</w:t>
      </w:r>
    </w:p>
    <w:p>
      <w:pPr>
        <w:spacing w:after="200" w:line="480"/>
        <w:ind w:firstLine="720"/>
        <w:jc w:val="both"/>
      </w:pPr>
      <w:r>
        <w:rPr>
          <w:rFonts w:ascii="Times New Roman" w:cs="Times New Roman" w:eastAsia="Times New Roman" w:hAnsi="Times New Roman"/>
          <w:b/>
          <w:bCs/>
          <w:sz w:val="24"/>
          <w:szCs w:val="24"/>
        </w:rPr>
        <w:t xml:space="preserve">Full cohort. </w:t>
      </w:r>
      <w:r>
        <w:rPr>
          <w:rFonts w:ascii="Times New Roman" w:cs="Times New Roman" w:eastAsia="Times New Roman" w:hAnsi="Times New Roman"/>
          <w:sz w:val="24"/>
          <w:szCs w:val="24"/>
        </w:rPr>
        <w:t xml:space="preserve">All individuals appearing in a given datasource at any point during the study year or in the two preceding years, regardless of whether they had a qualifying event in 2024. This cohort includes individuals with zero events and is appropriate for models that explicitly accommodate zero-inflation or excess zeros (e.g., zero-inflated and hurdle models).</w:t>
      </w:r>
    </w:p>
    <w:p>
      <w:pPr>
        <w:spacing w:after="200" w:line="480"/>
        <w:ind w:firstLine="720"/>
        <w:jc w:val="both"/>
      </w:pPr>
      <w:r>
        <w:rPr>
          <w:rFonts w:ascii="Times New Roman" w:cs="Times New Roman" w:eastAsia="Times New Roman" w:hAnsi="Times New Roman"/>
          <w:b/>
          <w:bCs/>
          <w:sz w:val="24"/>
          <w:szCs w:val="24"/>
        </w:rPr>
        <w:t xml:space="preserve">Utilizer cohort. </w:t>
      </w:r>
      <w:r>
        <w:rPr>
          <w:rFonts w:ascii="Times New Roman" w:cs="Times New Roman" w:eastAsia="Times New Roman" w:hAnsi="Times New Roman"/>
          <w:sz w:val="24"/>
          <w:szCs w:val="24"/>
        </w:rPr>
        <w:t xml:space="preserve">All individuals with at least one qualifying event in 2024. This cohort excludes structural zeros and is appropriate for modeling the frequency of utilization conditional on any use. It provides a natural complement to the full cohort: if results are concordant across both cohort definitions, the findings are robust to this important analytic choice.</w:t>
      </w:r>
    </w:p>
    <w:p>
      <w:pPr>
        <w:spacing w:after="200" w:line="480"/>
        <w:ind w:firstLine="720"/>
        <w:jc w:val="both"/>
      </w:pPr>
      <w:r>
        <w:rPr>
          <w:rFonts w:ascii="Times New Roman" w:cs="Times New Roman" w:eastAsia="Times New Roman" w:hAnsi="Times New Roman"/>
          <w:sz w:val="24"/>
          <w:szCs w:val="24"/>
        </w:rPr>
        <w:t xml:space="preserve">Both cohort definitions are applied to each retained datasource independently. The choice between full and utilizer cohorts constitutes an explicit dimension of the analytic multiverse.</w:t>
      </w:r>
    </w:p>
    <w:p>
      <w:pPr>
        <w:pStyle w:val="Heading1"/>
      </w:pPr>
      <w:r>
        <w:rPr>
          <w:rFonts w:ascii="Times New Roman" w:cs="Times New Roman" w:eastAsia="Times New Roman" w:hAnsi="Times New Roman"/>
          <w:sz w:val="24"/>
          <w:szCs w:val="24"/>
        </w:rPr>
        <w:t xml:space="preserve">2.2 Analytic Framework</w:t>
      </w:r>
    </w:p>
    <w:p>
      <w:pPr>
        <w:spacing w:after="200" w:line="480"/>
        <w:ind w:firstLine="720"/>
        <w:jc w:val="both"/>
      </w:pPr>
      <w:r>
        <w:rPr>
          <w:rFonts w:ascii="Times New Roman" w:cs="Times New Roman" w:eastAsia="Times New Roman" w:hAnsi="Times New Roman"/>
          <w:sz w:val="24"/>
          <w:szCs w:val="24"/>
        </w:rPr>
        <w:t xml:space="preserve">The consequences of distributional model choice may manifest along two distinct dimensions. First, different datasources or patient populations may require different distributional families to achieve adequate fit—or a single family may prove universally sufficient. Second, the estimated associations between covariates and utilization may be robust to distributional choice—or they may be sensitive to it. These two dimensions are logically independent: it is possible, for example, that different datasets favor different models and yet the covariate associations remain stable, or conversely that a single model fits most data well but the associations estimated by runner-up models diverge meaningfully.</w:t>
      </w:r>
    </w:p>
    <w:p>
      <w:pPr>
        <w:spacing w:after="200" w:line="480"/>
        <w:ind w:firstLine="720"/>
        <w:jc w:val="both"/>
      </w:pPr>
      <w:r>
        <w:rPr>
          <w:rFonts w:ascii="Times New Roman" w:cs="Times New Roman" w:eastAsia="Times New Roman" w:hAnsi="Times New Roman"/>
          <w:sz w:val="24"/>
          <w:szCs w:val="24"/>
        </w:rPr>
        <w:t xml:space="preserve">We formalize this observation as a 2×2 framework that organizes the space of possible findings (Table 1). Our analyses are designed to locate the empirical results within this framework and, importantly, to determine whether the answer depends on the specific covariate, datasource, or outcome under examination.</w:t>
      </w:r>
    </w:p>
    <w:p>
      <w:pPr>
        <w:spacing w:before="200" w:after="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Framework for interpreting the consequences of distributional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p>
        </w:tc>
        <w:tc>
          <w:tcPr>
            <w:tcW w:type="dxa" w:w="23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spacing w:after="0"/>
              <w:jc w:val="center"/>
            </w:pPr>
            <w:r>
              <w:rPr>
                <w:rFonts w:ascii="Times New Roman" w:cs="Times New Roman" w:eastAsia="Times New Roman" w:hAnsi="Times New Roman"/>
                <w:b/>
                <w:bCs/>
                <w:color w:val="FFFFFF"/>
                <w:sz w:val="20"/>
                <w:szCs w:val="20"/>
              </w:rPr>
              <w:t xml:space="preserve">Associations Robust</w:t>
            </w:r>
          </w:p>
        </w:tc>
        <w:tc>
          <w:tcPr>
            <w:tcW w:type="dxa" w:w="23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spacing w:after="0"/>
              <w:jc w:val="center"/>
            </w:pPr>
            <w:r>
              <w:rPr>
                <w:rFonts w:ascii="Times New Roman" w:cs="Times New Roman" w:eastAsia="Times New Roman" w:hAnsi="Times New Roman"/>
                <w:b/>
                <w:bCs/>
                <w:color w:val="FFFFFF"/>
                <w:sz w:val="20"/>
                <w:szCs w:val="20"/>
              </w:rPr>
              <w:t xml:space="preserve">Associations Sensitive</w:t>
            </w:r>
          </w:p>
        </w:tc>
      </w:tr>
      <w:tr>
        <w:tc>
          <w:tcPr>
            <w:tcW w:type="dxa" w:w="23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spacing w:after="0"/>
              <w:jc w:val="center"/>
            </w:pPr>
            <w:r>
              <w:rPr>
                <w:rFonts w:ascii="Times New Roman" w:cs="Times New Roman" w:eastAsia="Times New Roman" w:hAnsi="Times New Roman"/>
                <w:b/>
                <w:bCs/>
                <w:color w:val="FFFFFF"/>
                <w:sz w:val="20"/>
                <w:szCs w:val="20"/>
              </w:rPr>
              <w:t xml:space="preserve">One Distribution Fits Most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p>
        </w:tc>
        <w:tc>
          <w:tcPr>
            <w:tcW w:type="dxa" w:w="2340"/>
            <w:tcBorders>
              <w:top w:val="single" w:color="CCCCCC" w:sz="1"/>
              <w:left w:val="single" w:color="CCCCCC" w:sz="1"/>
              <w:bottom w:val="single" w:color="CCCCCC" w:sz="1"/>
              <w:right w:val="single" w:color="CCCCCC" w:sz="1"/>
            </w:tcBorders>
            <w:shd w:fill="D6EAD9" w:val="clear"/>
            <w:tcMar>
              <w:top w:type="dxa" w:w="120"/>
              <w:left w:type="dxa" w:w="160"/>
              <w:bottom w:type="dxa" w:w="120"/>
              <w:right w:type="dxa" w:w="160"/>
            </w:tcMar>
          </w:tcPr>
          <w:p>
            <w:pPr>
              <w:spacing w:after="0" w:line="276"/>
            </w:pPr>
            <w:r>
              <w:rPr>
                <w:rFonts w:ascii="Times New Roman" w:cs="Times New Roman" w:eastAsia="Times New Roman" w:hAnsi="Times New Roman"/>
                <w:sz w:val="20"/>
                <w:szCs w:val="20"/>
              </w:rPr>
              <w:t xml:space="preserve">Scenario A: Current practice is adequate. A single default model yields reliable associations. Sensitivity analysis is confirmatory.</w:t>
            </w:r>
          </w:p>
        </w:tc>
        <w:tc>
          <w:tcPr>
            <w:tcW w:type="dxa" w:w="234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after="0" w:line="276"/>
            </w:pPr>
            <w:r>
              <w:rPr>
                <w:rFonts w:ascii="Times New Roman" w:cs="Times New Roman" w:eastAsia="Times New Roman" w:hAnsi="Times New Roman"/>
                <w:sz w:val="20"/>
                <w:szCs w:val="20"/>
              </w:rPr>
              <w:t xml:space="preserve">Scenario B: Subtle danger. The preferred model is clear, but runner-up models that a reviewer might consider equally plausible yield different substantive conclusions.</w:t>
            </w:r>
          </w:p>
        </w:tc>
      </w:tr>
      <w:tr>
        <w:tc>
          <w:tcPr>
            <w:tcW w:type="dxa" w:w="23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spacing w:after="0"/>
              <w:jc w:val="center"/>
            </w:pPr>
            <w:r>
              <w:rPr>
                <w:rFonts w:ascii="Times New Roman" w:cs="Times New Roman" w:eastAsia="Times New Roman" w:hAnsi="Times New Roman"/>
                <w:b/>
                <w:bCs/>
                <w:color w:val="FFFFFF"/>
                <w:sz w:val="20"/>
                <w:szCs w:val="20"/>
              </w:rPr>
              <w:t xml:space="preserve">Different Data Requires Different Distributions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p>
        </w:tc>
        <w:tc>
          <w:tcPr>
            <w:tcW w:type="dxa" w:w="2340"/>
            <w:tcBorders>
              <w:top w:val="single" w:color="CCCCCC" w:sz="1"/>
              <w:left w:val="single" w:color="CCCCCC" w:sz="1"/>
              <w:bottom w:val="single" w:color="CCCCCC" w:sz="1"/>
              <w:right w:val="single" w:color="CCCCCC" w:sz="1"/>
            </w:tcBorders>
            <w:shd w:fill="D6EAD9" w:val="clear"/>
            <w:tcMar>
              <w:top w:type="dxa" w:w="120"/>
              <w:left w:type="dxa" w:w="160"/>
              <w:bottom w:type="dxa" w:w="120"/>
              <w:right w:type="dxa" w:w="160"/>
            </w:tcMar>
          </w:tcPr>
          <w:p>
            <w:pPr>
              <w:spacing w:after="0" w:line="276"/>
            </w:pPr>
            <w:r>
              <w:rPr>
                <w:rFonts w:ascii="Times New Roman" w:cs="Times New Roman" w:eastAsia="Times New Roman" w:hAnsi="Times New Roman"/>
                <w:sz w:val="20"/>
                <w:szCs w:val="20"/>
              </w:rPr>
              <w:t xml:space="preserve">Scenario C: Distributional heterogeneity without inferential consequence. Model selection matters for fit but not for conclusions. Researchers should match models to data but need not worry about association estimates.</w:t>
            </w:r>
          </w:p>
        </w:tc>
        <w:tc>
          <w:tcPr>
            <w:tcW w:type="dxa" w:w="2340"/>
            <w:tcBorders>
              <w:top w:val="single" w:color="CCCCCC" w:sz="1"/>
              <w:left w:val="single" w:color="CCCCCC" w:sz="1"/>
              <w:bottom w:val="single" w:color="CCCCCC" w:sz="1"/>
              <w:right w:val="single" w:color="CCCCCC" w:sz="1"/>
            </w:tcBorders>
            <w:shd w:fill="F4CCCC" w:val="clear"/>
            <w:tcMar>
              <w:top w:type="dxa" w:w="120"/>
              <w:left w:type="dxa" w:w="160"/>
              <w:bottom w:type="dxa" w:w="120"/>
              <w:right w:type="dxa" w:w="160"/>
            </w:tcMar>
          </w:tcPr>
          <w:p>
            <w:pPr>
              <w:spacing w:after="0" w:line="276"/>
            </w:pPr>
            <w:r>
              <w:rPr>
                <w:rFonts w:ascii="Times New Roman" w:cs="Times New Roman" w:eastAsia="Times New Roman" w:hAnsi="Times New Roman"/>
                <w:sz w:val="20"/>
                <w:szCs w:val="20"/>
              </w:rPr>
              <w:t xml:space="preserve">Scenario D: Full fragility. No universal default exists, and conclusions depend on getting the model right. Strong justification for multiverse analysis and the software tool presented here.</w:t>
            </w:r>
          </w:p>
        </w:tc>
      </w:tr>
    </w:tbl>
    <w:p>
      <w:pPr>
        <w:spacing w:after="300"/>
      </w:pPr>
    </w:p>
    <w:p>
      <w:pPr>
        <w:spacing w:after="200" w:line="480"/>
        <w:ind w:firstLine="720"/>
        <w:jc w:val="both"/>
      </w:pPr>
      <w:r>
        <w:rPr>
          <w:rFonts w:ascii="Times New Roman" w:cs="Times New Roman" w:eastAsia="Times New Roman" w:hAnsi="Times New Roman"/>
          <w:sz w:val="24"/>
          <w:szCs w:val="24"/>
        </w:rPr>
        <w:t xml:space="preserve">We note that the empirical reality may not fall cleanly into a single cell. It is plausible—and indeed we consider it likely—that some covariates (e.g., age, chronic disease indicators) occupy Scenario A while others (e.g., income, specific diagnoses) occupy Scenario B or D. Similarly, the answer may differ between ED visits and inpatient admissions, or between encounter data and claims data. We therefore evaluate placement within the framework separately for each covariate, outcome type, and datasource, and report the distribution of findings across cells.</w:t>
      </w:r>
    </w:p>
    <w:p>
      <w:pPr>
        <w:pStyle w:val="Heading1"/>
      </w:pPr>
      <w:r>
        <w:rPr>
          <w:rFonts w:ascii="Times New Roman" w:cs="Times New Roman" w:eastAsia="Times New Roman" w:hAnsi="Times New Roman"/>
          <w:sz w:val="24"/>
          <w:szCs w:val="24"/>
        </w:rPr>
        <w:t xml:space="preserve">2.3 Model Specifications</w:t>
      </w:r>
    </w:p>
    <w:p>
      <w:pPr>
        <w:spacing w:after="200" w:line="480"/>
        <w:ind w:firstLine="720"/>
        <w:jc w:val="both"/>
      </w:pPr>
      <w:r>
        <w:rPr>
          <w:rFonts w:ascii="Times New Roman" w:cs="Times New Roman" w:eastAsia="Times New Roman" w:hAnsi="Times New Roman"/>
          <w:sz w:val="24"/>
          <w:szCs w:val="24"/>
        </w:rPr>
        <w:t xml:space="preserve">We fit nine distributional families to the event-count data. Seven models are applied to all datasources; two additional zero-inflated models are applied exclusively to the Medicaid claims data. Table 2 summarizes the model specifications.</w:t>
      </w:r>
    </w:p>
    <w:p>
      <w:pPr>
        <w:pStyle w:val="Heading2"/>
      </w:pPr>
      <w:r>
        <w:rPr>
          <w:rFonts w:ascii="Times New Roman" w:cs="Times New Roman" w:eastAsia="Times New Roman" w:hAnsi="Times New Roman"/>
          <w:sz w:val="24"/>
          <w:szCs w:val="24"/>
        </w:rPr>
        <w:t xml:space="preserve">Primary Models (All Datasources)</w:t>
      </w:r>
    </w:p>
    <w:p>
      <w:pPr>
        <w:spacing w:after="200" w:line="480"/>
        <w:ind w:firstLine="720"/>
        <w:jc w:val="both"/>
      </w:pPr>
      <w:r>
        <w:rPr>
          <w:rFonts w:ascii="Times New Roman" w:cs="Times New Roman" w:eastAsia="Times New Roman" w:hAnsi="Times New Roman"/>
          <w:b/>
          <w:bCs/>
          <w:sz w:val="24"/>
          <w:szCs w:val="24"/>
        </w:rPr>
        <w:t xml:space="preserve">Poisson regression. </w:t>
      </w:r>
      <w:r>
        <w:rPr>
          <w:rFonts w:ascii="Times New Roman" w:cs="Times New Roman" w:eastAsia="Times New Roman" w:hAnsi="Times New Roman"/>
          <w:sz w:val="24"/>
          <w:szCs w:val="24"/>
        </w:rPr>
        <w:t xml:space="preserve">The canonical model for count data, assuming equidispersion (mean equals variance). Serves as the baseline specification against which all other models can be compared. While rarely appropriate for utilization data due to overdispersion, its inclusion establishes the consequences of using an incorrectly simple model.</w:t>
      </w:r>
    </w:p>
    <w:p>
      <w:pPr>
        <w:spacing w:after="200" w:line="480"/>
        <w:ind w:firstLine="720"/>
        <w:jc w:val="both"/>
      </w:pPr>
      <w:r>
        <w:rPr>
          <w:rFonts w:ascii="Times New Roman" w:cs="Times New Roman" w:eastAsia="Times New Roman" w:hAnsi="Times New Roman"/>
          <w:b/>
          <w:bCs/>
          <w:sz w:val="24"/>
          <w:szCs w:val="24"/>
        </w:rPr>
        <w:t xml:space="preserve">Poisson-Gamma (Negative Binomial) regression. </w:t>
      </w:r>
      <w:r>
        <w:rPr>
          <w:rFonts w:ascii="Times New Roman" w:cs="Times New Roman" w:eastAsia="Times New Roman" w:hAnsi="Times New Roman"/>
          <w:sz w:val="24"/>
          <w:szCs w:val="24"/>
        </w:rPr>
        <w:t xml:space="preserve">Extends the Poisson by introducing a gamma-distributed random effect to accommodate overdispersion, yielding a marginal negative binomial distribution. The dispersion parameter is estimated from the data. This is the most commonly used model in the applied utilization literature and serves as the de facto standard against which alternatives are benchmarked.</w:t>
      </w:r>
    </w:p>
    <w:p>
      <w:pPr>
        <w:spacing w:after="200" w:line="480"/>
        <w:ind w:firstLine="720"/>
        <w:jc w:val="both"/>
      </w:pPr>
      <w:r>
        <w:rPr>
          <w:rFonts w:ascii="Times New Roman" w:cs="Times New Roman" w:eastAsia="Times New Roman" w:hAnsi="Times New Roman"/>
          <w:b/>
          <w:bCs/>
          <w:sz w:val="24"/>
          <w:szCs w:val="24"/>
        </w:rPr>
        <w:t xml:space="preserve">Generalized Poisson regression. </w:t>
      </w:r>
      <w:r>
        <w:rPr>
          <w:rFonts w:ascii="Times New Roman" w:cs="Times New Roman" w:eastAsia="Times New Roman" w:hAnsi="Times New Roman"/>
          <w:sz w:val="24"/>
          <w:szCs w:val="24"/>
        </w:rPr>
        <w:t xml:space="preserve">A flexible extension of the Poisson that accommodates both overdispersion and underdispersion through an additional dispersion parameter. Unlike the negative binomial, which can only handle overdispersion, the Generalized Poisson nests the standard Poisson as a special case and can detect underdispersion if present. Its inclusion expands the multiverse to a distributional assumption rarely considered in the utilization literature.</w:t>
      </w:r>
    </w:p>
    <w:p>
      <w:pPr>
        <w:spacing w:after="200" w:line="480"/>
        <w:ind w:firstLine="720"/>
        <w:jc w:val="both"/>
      </w:pPr>
      <w:r>
        <w:rPr>
          <w:rFonts w:ascii="Times New Roman" w:cs="Times New Roman" w:eastAsia="Times New Roman" w:hAnsi="Times New Roman"/>
          <w:b/>
          <w:bCs/>
          <w:sz w:val="24"/>
          <w:szCs w:val="24"/>
        </w:rPr>
        <w:t xml:space="preserve">Geometric regression. </w:t>
      </w:r>
      <w:r>
        <w:rPr>
          <w:rFonts w:ascii="Times New Roman" w:cs="Times New Roman" w:eastAsia="Times New Roman" w:hAnsi="Times New Roman"/>
          <w:sz w:val="24"/>
          <w:szCs w:val="24"/>
        </w:rPr>
        <w:t xml:space="preserve">A special case of the negative binomial with the dispersion parameter fixed at 1, corresponding to a geometric distribution for the count. This highly constrained model provides a test of whether the additional flexibility of the full negative binomial is justified by the data. If the geometric performs comparably, it suggests a simpler parametric structure may suffice.</w:t>
      </w:r>
    </w:p>
    <w:p>
      <w:pPr>
        <w:spacing w:after="200" w:line="480"/>
        <w:ind w:firstLine="720"/>
        <w:jc w:val="both"/>
      </w:pPr>
      <w:r>
        <w:rPr>
          <w:rFonts w:ascii="Times New Roman" w:cs="Times New Roman" w:eastAsia="Times New Roman" w:hAnsi="Times New Roman"/>
          <w:b/>
          <w:bCs/>
          <w:sz w:val="24"/>
          <w:szCs w:val="24"/>
        </w:rPr>
        <w:t xml:space="preserve">Hurdle-Poisson model. </w:t>
      </w:r>
      <w:r>
        <w:rPr>
          <w:rFonts w:ascii="Times New Roman" w:cs="Times New Roman" w:eastAsia="Times New Roman" w:hAnsi="Times New Roman"/>
          <w:sz w:val="24"/>
          <w:szCs w:val="24"/>
        </w:rPr>
        <w:t xml:space="preserve">A two-part model in which a binary component (logistic regression) models the probability of any utilization, and a zero-truncated Poisson models the frequency of visits conditional on at least one event. The two components are estimated independently. The hurdle framework treats all zeros as arising from a single process—the decision not to seek care—in contrast to zero-inflated models, which posit two sources of zeros.</w:t>
      </w:r>
    </w:p>
    <w:p>
      <w:pPr>
        <w:spacing w:after="200" w:line="480"/>
        <w:ind w:firstLine="720"/>
        <w:jc w:val="both"/>
      </w:pPr>
      <w:r>
        <w:rPr>
          <w:rFonts w:ascii="Times New Roman" w:cs="Times New Roman" w:eastAsia="Times New Roman" w:hAnsi="Times New Roman"/>
          <w:b/>
          <w:bCs/>
          <w:sz w:val="24"/>
          <w:szCs w:val="24"/>
        </w:rPr>
        <w:t xml:space="preserve">Hurdle-Poisson-Gamma (Hurdle-Negative Binomial) model. </w:t>
      </w:r>
      <w:r>
        <w:rPr>
          <w:rFonts w:ascii="Times New Roman" w:cs="Times New Roman" w:eastAsia="Times New Roman" w:hAnsi="Times New Roman"/>
          <w:sz w:val="24"/>
          <w:szCs w:val="24"/>
        </w:rPr>
        <w:t xml:space="preserve">As above, but the positive-count component uses a zero-truncated negative binomial distribution, accommodating overdispersion among utilizers. This is the most flexible of the hurdle specifications and is expected to perform well when the utilizer population exhibits substantial heterogeneity in visit frequency.</w:t>
      </w:r>
    </w:p>
    <w:p>
      <w:pPr>
        <w:spacing w:after="200" w:line="480"/>
        <w:ind w:firstLine="720"/>
        <w:jc w:val="both"/>
      </w:pPr>
      <w:r>
        <w:rPr>
          <w:rFonts w:ascii="Times New Roman" w:cs="Times New Roman" w:eastAsia="Times New Roman" w:hAnsi="Times New Roman"/>
          <w:b/>
          <w:bCs/>
          <w:sz w:val="24"/>
          <w:szCs w:val="24"/>
        </w:rPr>
        <w:t xml:space="preserve">Finite Poisson Mixture model. </w:t>
      </w:r>
      <w:r>
        <w:rPr>
          <w:rFonts w:ascii="Times New Roman" w:cs="Times New Roman" w:eastAsia="Times New Roman" w:hAnsi="Times New Roman"/>
          <w:sz w:val="24"/>
          <w:szCs w:val="24"/>
        </w:rPr>
        <w:t xml:space="preserve">A latent-class model positing that the observed count distribution arises from a mixture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Poisson subpopulations, each with its own rate parameter λ</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and mixing weight π</w:t>
      </w:r>
      <w:r>
        <w:rPr>
          <w:rFonts w:ascii="Cambria Math" w:cs="Cambria Math" w:eastAsia="Cambria Math" w:hAnsi="Cambria Math"/>
          <w:i/>
          <w:iCs/>
          <w:sz w:val="24"/>
          <w:szCs w:val="24"/>
          <w:vertAlign w:val="subscript"/>
        </w:rPr>
        <w:t xml:space="preserve">k</w:t>
      </w:r>
      <w:r>
        <w:rPr>
          <w:rFonts w:ascii="Times New Roman" w:cs="Times New Roman" w:eastAsia="Times New Roman" w:hAnsi="Times New Roman"/>
          <w:sz w:val="24"/>
          <w:szCs w:val="24"/>
        </w:rPr>
        <w:t xml:space="preserve">. The number of components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selected by fitting models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2, …, </w:t>
      </w:r>
      <w:r>
        <w:rPr>
          <w:rFonts w:ascii="Times New Roman" w:cs="Times New Roman" w:eastAsia="Times New Roman" w:hAnsi="Times New Roman"/>
          <w:i/>
          <w:iCs/>
          <w:sz w:val="24"/>
          <w:szCs w:val="24"/>
        </w:rPr>
        <w:t xml:space="preserve">K</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and choosing the value that minimizes AIC. Estimation proceeds via the expectation-maximization (EM) algorithm with multiple random initializations to mitigate sensitivity to starting values (see Supplementary Methods Section S2 for convergence criteria and initialization details). This model captures unobserved population heterogeneity—for example, latent low-use, moderate-use, and high-use groups—without requiring the analyst to pre-specify the group structure. After fitting, individuals can be probabilistically assigned to components via posterior membership probabilities.</w:t>
      </w:r>
    </w:p>
    <w:p>
      <w:pPr>
        <w:pStyle w:val="Heading2"/>
      </w:pPr>
      <w:r>
        <w:rPr>
          <w:rFonts w:ascii="Times New Roman" w:cs="Times New Roman" w:eastAsia="Times New Roman" w:hAnsi="Times New Roman"/>
          <w:sz w:val="24"/>
          <w:szCs w:val="24"/>
        </w:rPr>
        <w:t xml:space="preserve">Claims-Only Models (Medicaid Data)</w:t>
      </w:r>
    </w:p>
    <w:p>
      <w:pPr>
        <w:spacing w:after="200" w:line="480"/>
        <w:ind w:firstLine="720"/>
        <w:jc w:val="both"/>
      </w:pPr>
      <w:r>
        <w:rPr>
          <w:rFonts w:ascii="Times New Roman" w:cs="Times New Roman" w:eastAsia="Times New Roman" w:hAnsi="Times New Roman"/>
          <w:sz w:val="24"/>
          <w:szCs w:val="24"/>
        </w:rPr>
        <w:t xml:space="preserve">Two additional zero-inflated models are fit exclusively to the Medicaid claims data. The restriction to claims data reflects a fundamental assumption of zero-inflated models: that the observed zeros arise from two distinct processes—a structural process generating “true” zeros (individuals who could not have experienced the event) and a sampling process generating zeros among the at-risk population. In hospital encounter data drawn from the RHH, a zero event count may simply reflect the patient seeking care at a non-participating system rather than true non-utilization. The Medicaid claims data, by contrast, represent a defined insurance population in which all covered encounters are captured regardless of the facility, providing a closed population in which the structural-zero assumption is more defensible.</w:t>
      </w:r>
    </w:p>
    <w:p>
      <w:pPr>
        <w:spacing w:after="200" w:line="480"/>
        <w:ind w:firstLine="720"/>
        <w:jc w:val="both"/>
      </w:pPr>
      <w:r>
        <w:rPr>
          <w:rFonts w:ascii="Times New Roman" w:cs="Times New Roman" w:eastAsia="Times New Roman" w:hAnsi="Times New Roman"/>
          <w:b/>
          <w:bCs/>
          <w:sz w:val="24"/>
          <w:szCs w:val="24"/>
        </w:rPr>
        <w:t xml:space="preserve">Zero-Inflated Poisson (ZIP). </w:t>
      </w:r>
      <w:r>
        <w:rPr>
          <w:rFonts w:ascii="Times New Roman" w:cs="Times New Roman" w:eastAsia="Times New Roman" w:hAnsi="Times New Roman"/>
          <w:sz w:val="24"/>
          <w:szCs w:val="24"/>
        </w:rPr>
        <w:t xml:space="preserve">A mixture model combining a point mass at zero (estimated via logistic regression) with a standard Poisson count process. The inflation component models the probability that an individual belongs to the structural-zero class.</w:t>
      </w:r>
    </w:p>
    <w:p>
      <w:pPr>
        <w:spacing w:after="200" w:line="480"/>
        <w:ind w:firstLine="720"/>
        <w:jc w:val="both"/>
      </w:pPr>
      <w:r>
        <w:rPr>
          <w:rFonts w:ascii="Times New Roman" w:cs="Times New Roman" w:eastAsia="Times New Roman" w:hAnsi="Times New Roman"/>
          <w:b/>
          <w:bCs/>
          <w:sz w:val="24"/>
          <w:szCs w:val="24"/>
        </w:rPr>
        <w:t xml:space="preserve">Zero-Inflated Poisson-Gamma (ZINB). </w:t>
      </w:r>
      <w:r>
        <w:rPr>
          <w:rFonts w:ascii="Times New Roman" w:cs="Times New Roman" w:eastAsia="Times New Roman" w:hAnsi="Times New Roman"/>
          <w:sz w:val="24"/>
          <w:szCs w:val="24"/>
        </w:rPr>
        <w:t xml:space="preserve">As above, but the count component uses a negative binomial distribution, accommodating both excess zeros and overdispersion in the count process. For both ZIP and ZINB, the same set of covariates is used in the inflation and count components unless otherwise specified.</w:t>
      </w:r>
    </w:p>
    <w:p>
      <w:pPr>
        <w:spacing w:before="300" w:after="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Summary of distributional models included in the analytic multiverse.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1200"/>
        <w:gridCol w:w="14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Distribution</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Key Feature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Params¹</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0"/>
                <w:szCs w:val="20"/>
              </w:rPr>
              <w:t xml:space="preserve">Applied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Poisson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Poisson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Equidispersion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Poisson-Gamma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Negative Binomial (NB2)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Overdispersion via gamma heterogeneity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 + 2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 Poisson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Generalized Poisson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 and underdispersion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 + 2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Geometric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NB with dispersion =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Constrained overdispersion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Hurdle-Poisson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Logistic + truncated Poisson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Separate zero/positive processes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2(p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Hurdle-PG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Logistic + truncated NB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Separate processes + overdispersion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2(p + 1)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Poisson Mix.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Mixture of K Poissons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Latent subpopulations; K via AIC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2K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All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i/>
                <w:iCs/>
                <w:sz w:val="20"/>
                <w:szCs w:val="20"/>
              </w:rPr>
              <w:t xml:space="preserve">ZIP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Logistic inflation + Poisson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Structural zeros + count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2(p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Claims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i/>
                <w:iCs/>
                <w:sz w:val="20"/>
                <w:szCs w:val="20"/>
              </w:rPr>
              <w:t xml:space="preserve">ZINB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Logistic inflation + NB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Structural zeros + overdispersion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2(p + 1) + 1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Claims only</w:t>
            </w:r>
          </w:p>
        </w:tc>
      </w:tr>
    </w:tbl>
    <w:p>
      <w:pPr>
        <w:spacing w:after="200" w:line="480"/>
        <w:jc w:val="both"/>
      </w:pPr>
      <w:r>
        <w:rPr>
          <w:rFonts w:ascii="Times New Roman" w:cs="Times New Roman" w:eastAsia="Times New Roman" w:hAnsi="Times New Roman"/>
          <w:sz w:val="24"/>
          <w:szCs w:val="24"/>
          <w:vertAlign w:val="superscript"/>
        </w:rPr>
        <w:t xml:space="preserve">¹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number of covariates. Parameter counts for hurdle and zero-inflated models assume the same covariates in both components. The Poisson Mixture parameter count reflects the mixing weights and component rates without covariates; when covariates are included in each component, the count is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w:t>
      </w:r>
    </w:p>
    <w:p>
      <w:pPr>
        <w:spacing w:after="200"/>
      </w:pPr>
    </w:p>
    <w:p>
      <w:pPr>
        <w:pStyle w:val="Heading1"/>
      </w:pPr>
      <w:r>
        <w:rPr>
          <w:rFonts w:ascii="Times New Roman" w:cs="Times New Roman" w:eastAsia="Times New Roman" w:hAnsi="Times New Roman"/>
          <w:sz w:val="24"/>
          <w:szCs w:val="24"/>
        </w:rPr>
        <w:t xml:space="preserve">2.4 Analysis Plan</w:t>
      </w:r>
    </w:p>
    <w:p>
      <w:pPr>
        <w:spacing w:after="200" w:line="480"/>
        <w:ind w:firstLine="720"/>
        <w:jc w:val="both"/>
      </w:pPr>
      <w:r>
        <w:rPr>
          <w:rFonts w:ascii="Times New Roman" w:cs="Times New Roman" w:eastAsia="Times New Roman" w:hAnsi="Times New Roman"/>
          <w:sz w:val="24"/>
          <w:szCs w:val="24"/>
        </w:rPr>
        <w:t xml:space="preserve">The analysis comprises three complementary components, each addressing a different aspect of the consequences of distributional model choice.</w:t>
      </w:r>
    </w:p>
    <w:p>
      <w:pPr>
        <w:pStyle w:val="Heading2"/>
      </w:pPr>
      <w:r>
        <w:rPr>
          <w:rFonts w:ascii="Times New Roman" w:cs="Times New Roman" w:eastAsia="Times New Roman" w:hAnsi="Times New Roman"/>
          <w:sz w:val="24"/>
          <w:szCs w:val="24"/>
        </w:rPr>
        <w:t xml:space="preserve">Component 1: Monte Carlo Simulations</w:t>
      </w:r>
    </w:p>
    <w:p>
      <w:pPr>
        <w:spacing w:after="200" w:line="480"/>
        <w:ind w:firstLine="720"/>
        <w:jc w:val="both"/>
      </w:pPr>
      <w:r>
        <w:rPr>
          <w:rFonts w:ascii="Times New Roman" w:cs="Times New Roman" w:eastAsia="Times New Roman" w:hAnsi="Times New Roman"/>
          <w:sz w:val="24"/>
          <w:szCs w:val="24"/>
        </w:rPr>
        <w:t xml:space="preserve">To establish baseline expectations for model identifiability and coefficient stability, we conduct a simulation study in which the true data-generating process is known. For each of the seven primary distributional families, we generate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simulated datasets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1,000) with sample sizes and distributional parameters estimated from the empirical data to ensure realistic conditions. Covariates are drawn from distributions matching the observed marginals in the study population.</w:t>
      </w:r>
    </w:p>
    <w:p>
      <w:pPr>
        <w:spacing w:after="200" w:line="480"/>
        <w:ind w:firstLine="720"/>
        <w:jc w:val="both"/>
      </w:pPr>
      <w:r>
        <w:rPr>
          <w:rFonts w:ascii="Times New Roman" w:cs="Times New Roman" w:eastAsia="Times New Roman" w:hAnsi="Times New Roman"/>
          <w:sz w:val="24"/>
          <w:szCs w:val="24"/>
        </w:rPr>
        <w:t xml:space="preserve">Each simulated dataset is fit with all seven primary models. For each simulation replicate, we record: (a) whether AIC and BIC correctly identify the true generating model, (b) the magnitude of the difference in AIC/BIC between the true model and the best-fitting alternative, and (c) the bias and variability of the estimated covariate coefficients relative to the true generating parameters.</w:t>
      </w:r>
    </w:p>
    <w:p>
      <w:pPr>
        <w:spacing w:after="200" w:line="480"/>
        <w:ind w:firstLine="720"/>
        <w:jc w:val="both"/>
      </w:pPr>
      <w:r>
        <w:rPr>
          <w:rFonts w:ascii="Times New Roman" w:cs="Times New Roman" w:eastAsia="Times New Roman" w:hAnsi="Times New Roman"/>
          <w:sz w:val="24"/>
          <w:szCs w:val="24"/>
        </w:rPr>
        <w:t xml:space="preserve">This component addresses a question that the empirical analysis alone cannot answer: when the true distribution is known, how often do information criteria lead researchers to the correct model, and how much do coefficient estimates degrade under misspecification? A key secondary analysis examines how the identification rate changes as models are added to or removed from the competitor set, directly testing the hypothesis that the “winner” of a model comparison depends on which alternatives are in the race.</w:t>
      </w:r>
    </w:p>
    <w:p>
      <w:pPr>
        <w:pStyle w:val="Heading2"/>
      </w:pPr>
      <w:r>
        <w:rPr>
          <w:rFonts w:ascii="Times New Roman" w:cs="Times New Roman" w:eastAsia="Times New Roman" w:hAnsi="Times New Roman"/>
          <w:sz w:val="24"/>
          <w:szCs w:val="24"/>
        </w:rPr>
        <w:t xml:space="preserve">Component 2: Empirical Model Fit</w:t>
      </w:r>
    </w:p>
    <w:p>
      <w:pPr>
        <w:spacing w:after="200" w:line="480"/>
        <w:ind w:firstLine="720"/>
        <w:jc w:val="both"/>
      </w:pPr>
      <w:r>
        <w:rPr>
          <w:rFonts w:ascii="Times New Roman" w:cs="Times New Roman" w:eastAsia="Times New Roman" w:hAnsi="Times New Roman"/>
          <w:sz w:val="24"/>
          <w:szCs w:val="24"/>
        </w:rPr>
        <w:t xml:space="preserve">We fit all applicable models to the observed event-count distributions independently for each retained datasource. For the RHH encounter datasources, the seven primary models are fit. For the Medicaid claims datasource, all nine models (including ZIP and ZINB) are fit. Each model-datasource combination is fit under both cohort definitions (full cohort and utilizer cohort), yielding a total of up to 2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9 model fits, 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the number of retained datasources.</w:t>
      </w:r>
    </w:p>
    <w:p>
      <w:pPr>
        <w:spacing w:after="200" w:line="480"/>
        <w:ind w:firstLine="720"/>
        <w:jc w:val="both"/>
      </w:pPr>
      <w:r>
        <w:rPr>
          <w:rFonts w:ascii="Times New Roman" w:cs="Times New Roman" w:eastAsia="Times New Roman" w:hAnsi="Times New Roman"/>
          <w:sz w:val="24"/>
          <w:szCs w:val="24"/>
        </w:rPr>
        <w:t xml:space="preserve">For each fit, we record AIC, BIC, log-likelihood, the number of estimated parameters, and convergence diagnostics. We evaluate whether a single distributional family consistently achieves the best fit across datasources (consistent with the top row of the 2×2 framework) or whether the preferred model varies by datasource, outcome type, or cohort definition (consistent with the bottom row). We additionally document instances in which AIC and BIC disagree on the preferred model, as the two criteria embody different trade-offs between fit and parsimony that become especially pronounced at large sample sizes.</w:t>
      </w:r>
    </w:p>
    <w:p>
      <w:pPr>
        <w:pStyle w:val="Heading2"/>
      </w:pPr>
      <w:r>
        <w:rPr>
          <w:rFonts w:ascii="Times New Roman" w:cs="Times New Roman" w:eastAsia="Times New Roman" w:hAnsi="Times New Roman"/>
          <w:sz w:val="24"/>
          <w:szCs w:val="24"/>
        </w:rPr>
        <w:t xml:space="preserve">Component 3: Stability of Covariate Associations</w:t>
      </w:r>
    </w:p>
    <w:p>
      <w:pPr>
        <w:spacing w:after="200" w:line="480"/>
        <w:ind w:firstLine="720"/>
        <w:jc w:val="both"/>
      </w:pPr>
      <w:r>
        <w:rPr>
          <w:rFonts w:ascii="Times New Roman" w:cs="Times New Roman" w:eastAsia="Times New Roman" w:hAnsi="Times New Roman"/>
          <w:sz w:val="24"/>
          <w:szCs w:val="24"/>
        </w:rPr>
        <w:t xml:space="preserve">The third and most consequential component examines whether the estimated associations between patient characteristics and utilization are robust or sensitive to distributional model choice. A fixed set of covariates is included in all models simultaneously, comprising: patient age (continuous), gender, zip-code-level median household income (continuous), and binary indicators for selected clinical conditions including chronic obstructive pulmonary disease (COPD), congestive heart failure (CHF), homelessness, schizophrenia, and major depressive disorder. The covariate set is deliberately chosen to include both strong, well-established predictors of utilization (age, CHF, COPD) and variables whose associations are more nuanced or policy-relevant (homelessness, income, schizophrenia, depression), where sensitivity to modeling assumptions would have direct implications for health equity research.</w:t>
      </w:r>
    </w:p>
    <w:p>
      <w:pPr>
        <w:spacing w:after="200" w:line="480"/>
        <w:ind w:firstLine="720"/>
        <w:jc w:val="both"/>
      </w:pPr>
      <w:r>
        <w:rPr>
          <w:rFonts w:ascii="Times New Roman" w:cs="Times New Roman" w:eastAsia="Times New Roman" w:hAnsi="Times New Roman"/>
          <w:sz w:val="24"/>
          <w:szCs w:val="24"/>
        </w:rPr>
        <w:t xml:space="preserve">For each model-datasource-cohort combination, we extract the estimated coefficients (or rate ratios, as appropriate), standard errors, 95% confidence intervals, and p-values for every covariate. We then evaluate the stability of these estimates across the analytic multiverse. Specifically, for each covariate we assess: (a) whether the direction of the association (positive or negative) is consistent across all models; (b) whether the statistical significance at the α = 0.05 level is consistent; (c) the range of point estimates across models, expressed as the ratio of the maximum to minimum estimated rate ratio; and (d) whether any model produces a qualitatively different conclusion (e.g., significant in one model, non-significant in another, or a sign reversal).</w:t>
      </w:r>
    </w:p>
    <w:p>
      <w:pPr>
        <w:spacing w:after="200" w:line="480"/>
        <w:ind w:firstLine="720"/>
        <w:jc w:val="both"/>
      </w:pPr>
      <w:r>
        <w:rPr>
          <w:rFonts w:ascii="Times New Roman" w:cs="Times New Roman" w:eastAsia="Times New Roman" w:hAnsi="Times New Roman"/>
          <w:sz w:val="24"/>
          <w:szCs w:val="24"/>
        </w:rPr>
        <w:t xml:space="preserve">These results are presented visually using specification curve plots in which each covariate’s estimated effect is displayed across all model specifications, sorted by magnitude, with indicators for model family, datasource, and statistical significance. This visualization directly maps the findings onto the columns of the 2×2 framework: if all points cluster tightly, the associations are robust (left column); if they are dispersed or cross zero, the associations are sensitive (right column).</w:t>
      </w:r>
    </w:p>
    <w:p>
      <w:pPr>
        <w:pStyle w:val="Heading1"/>
      </w:pPr>
      <w:r>
        <w:rPr>
          <w:rFonts w:ascii="Times New Roman" w:cs="Times New Roman" w:eastAsia="Times New Roman" w:hAnsi="Times New Roman"/>
          <w:sz w:val="24"/>
          <w:szCs w:val="24"/>
        </w:rPr>
        <w:t xml:space="preserve">2.5 Model Comparison Criteria</w:t>
      </w:r>
    </w:p>
    <w:p>
      <w:pPr>
        <w:spacing w:after="200" w:line="480"/>
        <w:ind w:firstLine="720"/>
        <w:jc w:val="both"/>
      </w:pPr>
      <w:r>
        <w:rPr>
          <w:rFonts w:ascii="Times New Roman" w:cs="Times New Roman" w:eastAsia="Times New Roman" w:hAnsi="Times New Roman"/>
          <w:sz w:val="24"/>
          <w:szCs w:val="24"/>
        </w:rPr>
        <w:t xml:space="preserve">Model fit is evaluated using the Akaike Information Criterion (AIC) and the Bayesian Information Criterion (BIC). Both are likelihood-based criteria that penalize model complexity, but they differ in their penalty terms: AIC applies a penalty of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the number of estimated parameters), while BIC applies a penalty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ln(</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sample size). For the large sample sizes typical of utilization data (often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&gt; 10,000), the BIC penalty substantially exceeds the AIC penalty, and the two criteria may prefer different models—with AIC favoring more complex models and BIC favoring simpler ones.</w:t>
      </w:r>
    </w:p>
    <w:p>
      <w:pPr>
        <w:spacing w:after="200" w:line="480"/>
        <w:ind w:firstLine="720"/>
        <w:jc w:val="both"/>
      </w:pPr>
      <w:r>
        <w:rPr>
          <w:rFonts w:ascii="Times New Roman" w:cs="Times New Roman" w:eastAsia="Times New Roman" w:hAnsi="Times New Roman"/>
          <w:sz w:val="24"/>
          <w:szCs w:val="24"/>
        </w:rPr>
        <w:t xml:space="preserve">We treat AIC/BIC disagreement not as a nuisance but as a finding in itself. When the two criteria select different models, we report both preferred models and compare the covariate associations obtained under each. This directly illustrates a practical dilemma faced by applied researchers: even the tools designed to guide model selection do not always agree, and the choice of selection criterion can itself influence substantive conclusions.</w:t>
      </w:r>
    </w:p>
    <w:p>
      <w:pPr>
        <w:spacing w:after="200" w:line="480"/>
        <w:ind w:firstLine="720"/>
        <w:jc w:val="both"/>
      </w:pPr>
      <w:r>
        <w:rPr>
          <w:rFonts w:ascii="Times New Roman" w:cs="Times New Roman" w:eastAsia="Times New Roman" w:hAnsi="Times New Roman"/>
          <w:sz w:val="24"/>
          <w:szCs w:val="24"/>
        </w:rPr>
        <w:t xml:space="preserve">For the Poisson Mixture model, AIC is used as the primary criterion for selecting the number of components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with BIC reported as a secondary criterion. We fit models from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to </w:t>
      </w:r>
      <w:r>
        <w:rPr>
          <w:rFonts w:ascii="Times New Roman" w:cs="Times New Roman" w:eastAsia="Times New Roman" w:hAnsi="Times New Roman"/>
          <w:i/>
          <w:iCs/>
          <w:sz w:val="24"/>
          <w:szCs w:val="24"/>
        </w:rPr>
        <w:t xml:space="preserve">K</w:t>
      </w:r>
      <w:r>
        <w:rPr>
          <w:rFonts w:ascii="Cambria Math" w:cs="Cambria Math" w:eastAsia="Cambria Math" w:hAnsi="Cambria Math"/>
          <w:i/>
          <w:iCs/>
          <w:sz w:val="24"/>
          <w:szCs w:val="24"/>
          <w:vertAlign w:val="subscript"/>
        </w:rPr>
        <w:t xml:space="preserve">max</w:t>
      </w:r>
      <w:r>
        <w:rPr>
          <w:rFonts w:ascii="Times New Roman" w:cs="Times New Roman" w:eastAsia="Times New Roman" w:hAnsi="Times New Roman"/>
          <w:sz w:val="24"/>
          <w:szCs w:val="24"/>
        </w:rPr>
        <w:t xml:space="preserve"> = 8 and select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that minimizes AIC. If AIC and BIC select different values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both solutions are carried forward in the multiverse.</w:t>
      </w:r>
    </w:p>
    <w:p>
      <w:pPr>
        <w:spacing w:after="200" w:line="480"/>
        <w:ind w:firstLine="720"/>
        <w:jc w:val="both"/>
      </w:pPr>
      <w:r>
        <w:rPr>
          <w:rFonts w:ascii="Times New Roman" w:cs="Times New Roman" w:eastAsia="Times New Roman" w:hAnsi="Times New Roman"/>
          <w:sz w:val="24"/>
          <w:szCs w:val="24"/>
        </w:rPr>
        <w:t xml:space="preserve">All model fitting, comparison, and visualization are implemented in the accompanying open-source Python package, which accepts a YAML configuration file specifying the models, covariates, and datasources to include in the multiverse. Full source code and documentation are available at [repository 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2026-03-05T20:25:19.210Z</dcterms:created>
  <dcterms:modified xsi:type="dcterms:W3CDTF">2026-03-05T20:25:19.211Z</dcterms:modified>
</cp:coreProperties>
</file>

<file path=docProps/custom.xml><?xml version="1.0" encoding="utf-8"?>
<Properties xmlns="http://schemas.openxmlformats.org/officeDocument/2006/custom-properties" xmlns:vt="http://schemas.openxmlformats.org/officeDocument/2006/docPropsVTypes"/>
</file>