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test will check if the process of assigning a teacher to a task conforms to the relevant use cases. In this document we will specify a test for the process AssignCSTaskToTeacher and AssignNCSTaskToTeacher. Only one test is specified because the process cycle test for both processes is the same.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 Process Cycle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Decision points &amp; paths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A: in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uit - 2,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 Path combinations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A: 1-2; 1-3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Logic test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TG-1: 1-2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TG-2: 1-3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43400" cy="481965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