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PRJ13797 — JMUX REPLACEMENT PROJECT</w:t>
      </w:r>
    </w:p>
    <w:p>
      <w:pPr>
        <w:jc w:val="center"/>
      </w:pPr>
      <w:r>
        <w:rPr>
          <w:b/>
          <w:color w:val="1F3864"/>
          <w:sz w:val="26"/>
        </w:rPr>
        <w:t>Cost Actuals &amp; Forecast Report</w:t>
      </w:r>
    </w:p>
    <w:p>
      <w:pPr>
        <w:jc w:val="center"/>
      </w:pPr>
      <w:r>
        <w:rPr>
          <w:color w:val="666666"/>
          <w:sz w:val="18"/>
        </w:rPr>
        <w:t>Prepared by: Dhananjaya (Jay) Gunaratne, Senior PM  |  Date: May 12, 2026  |  CONFIDENTIAL</w:t>
      </w:r>
    </w:p>
    <w:p/>
    <w:p>
      <w:pPr>
        <w:jc w:val="left"/>
      </w:pPr>
      <w:r>
        <w:rPr>
          <w:b/>
          <w:color w:val="1F3864"/>
          <w:sz w:val="28"/>
        </w:rPr>
        <w:t>EXECUTIVE SUMMARY</w:t>
      </w:r>
    </w:p>
    <w:p>
      <w:r>
        <w:rPr>
          <w:b w:val="0"/>
          <w:color w:val="000000"/>
          <w:sz w:val="20"/>
        </w:rPr>
        <w:t>The JMUX Replacement Project is currently tracking a total projected budget variance of -$668K (-$797K for 2026 capital). This report details the two primary cost drivers:</w:t>
      </w:r>
    </w:p>
    <w:p>
      <w:pPr>
        <w:ind w:left="432"/>
      </w:pPr>
      <w:r>
        <w:rPr>
          <w:b w:val="0"/>
          <w:color w:val="000000"/>
          <w:sz w:val="20"/>
        </w:rPr>
        <w:t>1.  PAR Circuit Migration — mandatory NERC-CIP unbudgeted scope discovered during Phase 2 site surveys</w:t>
      </w:r>
    </w:p>
    <w:p>
      <w:pPr>
        <w:ind w:left="432"/>
      </w:pPr>
      <w:r>
        <w:rPr>
          <w:b w:val="0"/>
          <w:color w:val="000000"/>
          <w:sz w:val="20"/>
        </w:rPr>
        <w:t>2.  Phase 3 Engineering Acceleration — Phase 3 IFR/IFC design and site surveys being pulled forward into Phase 2 staging to compress schedule and avoid 2028 delays</w:t>
      </w:r>
    </w:p>
    <w:p/>
    <w:p>
      <w:pPr>
        <w:jc w:val="left"/>
      </w:pPr>
      <w:r>
        <w:rPr>
          <w:b/>
          <w:color w:val="C00000"/>
          <w:sz w:val="28"/>
        </w:rPr>
        <w:t>SECTION 1 — PAR CIRCUIT MIGRATION (Grouped with Phase 2)</w:t>
      </w:r>
    </w:p>
    <w:p>
      <w:pPr>
        <w:jc w:val="left"/>
      </w:pPr>
      <w:r>
        <w:rPr>
          <w:b/>
          <w:color w:val="1F3864"/>
          <w:sz w:val="24"/>
        </w:rPr>
        <w:t>Description</w:t>
      </w:r>
    </w:p>
    <w:p>
      <w:r>
        <w:rPr>
          <w:b w:val="0"/>
          <w:color w:val="000000"/>
          <w:sz w:val="20"/>
        </w:rPr>
        <w:t>PAR (Phase Angle Regulator) circuits control high-voltage power flow at 6 critical LIPA substations. The legacy JMUX system carried these signals via direct serial connection. The new Nokia MPLS network is IP-based — requiring physical serial-to-IP conversion devices (Iniven RC-30) at each site, plus full engineering design and relay labor for installation and cutover.</w:t>
      </w:r>
    </w:p>
    <w:p>
      <w:r>
        <w:rPr>
          <w:b w:val="0"/>
          <w:color w:val="000000"/>
          <w:sz w:val="20"/>
        </w:rPr>
        <w:t>This scope was originally a Phase 3 placeholder estimated at $30,000–$40,000 in 2024. The full technical scope was discovered during Phase 2 site surveys. This work is MANDATORY for NERC-CIP compliance — there is no alternative path.</w:t>
      </w:r>
    </w:p>
    <w:p/>
    <w:p>
      <w:pPr>
        <w:jc w:val="left"/>
      </w:pPr>
      <w:r>
        <w:rPr>
          <w:b/>
          <w:color w:val="1F3864"/>
          <w:sz w:val="24"/>
        </w:rPr>
        <w:t>Sites Affected (6)</w:t>
      </w:r>
    </w:p>
    <w:p>
      <w:pPr>
        <w:pStyle w:val="ListBullet"/>
        <w:ind w:left="432"/>
      </w:pPr>
      <w:r>
        <w:rPr>
          <w:b/>
          <w:sz w:val="20"/>
        </w:rPr>
        <w:t xml:space="preserve">Northport: </w:t>
      </w:r>
      <w:r>
        <w:rPr>
          <w:sz w:val="20"/>
        </w:rPr>
        <w:t>Unique — also requires C37.94 protocol card in addition to RC-30</w:t>
      </w:r>
    </w:p>
    <w:p>
      <w:pPr>
        <w:pStyle w:val="ListBullet"/>
        <w:ind w:left="432"/>
      </w:pPr>
      <w:r>
        <w:rPr>
          <w:b/>
          <w:sz w:val="20"/>
        </w:rPr>
        <w:t xml:space="preserve">Hicksville (5HK): </w:t>
      </w:r>
      <w:r>
        <w:rPr>
          <w:sz w:val="20"/>
        </w:rPr>
        <w:t>RC-30 ordered. Design not started. Owner TBD.</w:t>
      </w:r>
    </w:p>
    <w:p>
      <w:pPr>
        <w:pStyle w:val="ListBullet"/>
        <w:ind w:left="432"/>
      </w:pPr>
      <w:r>
        <w:rPr>
          <w:b/>
          <w:sz w:val="20"/>
        </w:rPr>
        <w:t xml:space="preserve">Melville: </w:t>
      </w:r>
      <w:r>
        <w:rPr>
          <w:sz w:val="20"/>
        </w:rPr>
        <w:t>RC-30 ordered. Design not started. Owner TBD.</w:t>
      </w:r>
    </w:p>
    <w:p>
      <w:pPr>
        <w:pStyle w:val="ListBullet"/>
        <w:ind w:left="432"/>
      </w:pPr>
      <w:r>
        <w:rPr>
          <w:b/>
          <w:sz w:val="20"/>
        </w:rPr>
        <w:t xml:space="preserve">Lindenhurst (7Z): </w:t>
      </w:r>
      <w:r>
        <w:rPr>
          <w:sz w:val="20"/>
        </w:rPr>
        <w:t>RC-30 ordered. Design not started. Owner TBD.</w:t>
      </w:r>
    </w:p>
    <w:p>
      <w:pPr>
        <w:pStyle w:val="ListBullet"/>
        <w:ind w:left="432"/>
      </w:pPr>
      <w:r>
        <w:rPr>
          <w:b/>
          <w:sz w:val="20"/>
        </w:rPr>
        <w:t xml:space="preserve">Far Rockaway (2H): </w:t>
      </w:r>
      <w:r>
        <w:rPr>
          <w:sz w:val="20"/>
        </w:rPr>
        <w:t>RC-30 ordered. Design not started. Owner TBD.</w:t>
      </w:r>
    </w:p>
    <w:p>
      <w:pPr>
        <w:pStyle w:val="ListBullet"/>
        <w:ind w:left="432"/>
      </w:pPr>
      <w:r>
        <w:rPr>
          <w:b/>
          <w:sz w:val="20"/>
        </w:rPr>
        <w:t xml:space="preserve">Hewlett (2R): </w:t>
      </w:r>
      <w:r>
        <w:rPr>
          <w:sz w:val="20"/>
        </w:rPr>
        <w:t>RC-30 ordered. Design not started. Owner TBD.</w:t>
      </w:r>
    </w:p>
    <w:p/>
    <w:p>
      <w:pPr>
        <w:jc w:val="left"/>
      </w:pPr>
      <w:r>
        <w:rPr>
          <w:b/>
          <w:color w:val="1F3864"/>
          <w:sz w:val="24"/>
        </w:rPr>
        <w:t>PAR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</w:tcPr>
          <w:p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color w:val="FFFFFF"/>
                <w:sz w:val="18"/>
              </w:rPr>
              <w:t>Actuals to Date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color w:val="FFFFFF"/>
                <w:sz w:val="18"/>
              </w:rPr>
              <w:t>Forecast Remaining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Iniven RC-30 Equipment</w:t>
              <w:br/>
              <w:t>(6 units @ ~$10K each)</w:t>
              <w:br/>
              <w:t>PO in progress — 8-wk lead time</w:t>
              <w:br/>
              <w:t>Ordered by Chakrapani team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C37.94 Protocol Card</w:t>
              <w:br/>
              <w:t>(Northport only — unique requirement)</w:t>
              <w:br/>
              <w:t>To be bundled with Phase 2 Nokia PO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Chakrapani Team — Engineering Design</w:t>
              <w:br/>
              <w:t>(6 sites) Rate: $115.34/hr (under audit)</w:t>
              <w:br/>
              <w:t>Design not started — 5 of 6 sites</w:t>
              <w:br/>
              <w:t>Only Northport: In Progress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$240,000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$240,000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Johnny's Relay Team — Installation Labor</w:t>
              <w:br/>
              <w:t>(6 sites) Rate: ~$1,100–$1,200/hr</w:t>
              <w:br/>
              <w:t>Physical install, config, cutover</w:t>
              <w:br/>
              <w:t>Scope per site pending design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$200,000–$495,000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$200,000–$495,000</w:t>
            </w:r>
          </w:p>
        </w:tc>
      </w:tr>
      <w:tr>
        <w:tc>
          <w:tcPr>
            <w:tcW w:type="dxa" w:w="2340"/>
            <w:shd w:fill="FFE0E0" w:val="clear"/>
          </w:tcPr>
          <w:p>
            <w:r>
              <w:rPr>
                <w:b/>
                <w:sz w:val="18"/>
              </w:rPr>
              <w:t>TOTAL PAR</w:t>
            </w:r>
          </w:p>
        </w:tc>
        <w:tc>
          <w:tcPr>
            <w:tcW w:type="dxa" w:w="2340"/>
            <w:shd w:fill="FFE0E0" w:val="clear"/>
          </w:tcPr>
          <w:p>
            <w:r>
              <w:rPr>
                <w:b/>
                <w:sz w:val="18"/>
              </w:rPr>
              <w:t>$0</w:t>
            </w:r>
          </w:p>
        </w:tc>
        <w:tc>
          <w:tcPr>
            <w:tcW w:type="dxa" w:w="2340"/>
            <w:shd w:fill="FFE0E0" w:val="clear"/>
          </w:tcPr>
          <w:p>
            <w:r>
              <w:rPr>
                <w:b/>
                <w:sz w:val="18"/>
              </w:rPr>
              <w:t>~$500,000–$795,000</w:t>
            </w:r>
          </w:p>
        </w:tc>
        <w:tc>
          <w:tcPr>
            <w:tcW w:type="dxa" w:w="2340"/>
            <w:shd w:fill="FFE0E0" w:val="clear"/>
          </w:tcPr>
          <w:p>
            <w:r>
              <w:rPr>
                <w:b/>
                <w:sz w:val="18"/>
              </w:rPr>
              <w:t>~$530,000 (midpoint)</w:t>
            </w:r>
          </w:p>
        </w:tc>
      </w:tr>
    </w:tbl>
    <w:p/>
    <w:p>
      <w:r>
        <w:rPr>
          <w:b/>
          <w:color w:val="C00000"/>
          <w:sz w:val="20"/>
        </w:rPr>
        <w:t xml:space="preserve">⚠ CRITICAL GAP: </w:t>
      </w:r>
      <w:r>
        <w:rPr>
          <w:sz w:val="20"/>
        </w:rPr>
        <w:t>Chad's current forecast includes only $120K (Apr–Jun) for equipment + design. The $200K–$495K relay labor (Johnny's team) is NOT yet in Chad's forecast. Reconciliation meeting required week of May 18.</w:t>
      </w:r>
    </w:p>
    <w:p/>
    <w:p>
      <w:pPr>
        <w:jc w:val="left"/>
      </w:pPr>
      <w:r>
        <w:rPr>
          <w:b/>
          <w:color w:val="1F3864"/>
          <w:sz w:val="24"/>
        </w:rPr>
        <w:t>PAR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RC-30 Equipment PO Placed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April 30,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🔴 In Progress — PO# unknown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RC-30 Equipment Delivery (8-wk lead)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June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⏳ Pending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Chakrapani Design Complete — All 6 Sites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July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🔴 Not Started (5 of 6)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Johnny's Team Installation — All 6 Sites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Aug–Sep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⏳ Not Started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 Circuits 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September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🎯 Target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F3864"/>
          <w:sz w:val="28"/>
        </w:rPr>
        <w:t>SECTION 2 — PHASE 3 ENGINEERING ACCELERATED INTO PHASE 2</w:t>
      </w:r>
    </w:p>
    <w:p>
      <w:pPr>
        <w:jc w:val="left"/>
      </w:pPr>
      <w:r>
        <w:rPr>
          <w:b/>
          <w:color w:val="1F3864"/>
          <w:sz w:val="24"/>
        </w:rPr>
        <w:t>Description</w:t>
      </w:r>
    </w:p>
    <w:p>
      <w:r>
        <w:rPr>
          <w:b w:val="0"/>
          <w:color w:val="000000"/>
          <w:sz w:val="20"/>
        </w:rPr>
        <w:t>To avoid supply chain delays and compress the overall project schedule, Phase 3 site surveys and engineering (IFR/IFC packages) are being started during Phase 2 staging (August 2026) rather than waiting for Phase 2 completion.</w:t>
      </w:r>
    </w:p>
    <w:p/>
    <w:p>
      <w:pPr>
        <w:jc w:val="left"/>
      </w:pPr>
      <w:r>
        <w:rPr>
          <w:b/>
          <w:color w:val="1F3864"/>
          <w:sz w:val="24"/>
        </w:rPr>
        <w:t>Why We Are Accelerating</w:t>
      </w:r>
    </w:p>
    <w:p>
      <w:pPr>
        <w:pStyle w:val="ListBullet"/>
        <w:ind w:left="432"/>
      </w:pPr>
      <w:r>
        <w:rPr>
          <w:sz w:val="20"/>
        </w:rPr>
        <w:t>Nokia MPLS nodes have an 8–12 week lead time. Delaying Phase 3 engineering until after Phase 2 completes pushes Phase 3 construction into 2028.</w:t>
      </w:r>
    </w:p>
    <w:p>
      <w:pPr>
        <w:pStyle w:val="ListBullet"/>
        <w:ind w:left="432"/>
      </w:pPr>
      <w:r>
        <w:rPr>
          <w:sz w:val="20"/>
        </w:rPr>
        <w:t>Starting Phase 3 design in parallel with Phase 2 staging compresses the schedule by approximately 4–6 months.</w:t>
      </w:r>
    </w:p>
    <w:p>
      <w:pPr>
        <w:pStyle w:val="ListBullet"/>
        <w:ind w:left="432"/>
      </w:pPr>
      <w:r>
        <w:rPr>
          <w:sz w:val="20"/>
        </w:rPr>
        <w:t>Avoids double mobilization costs for Hawkeye construction crews.</w:t>
      </w:r>
    </w:p>
    <w:p>
      <w:pPr>
        <w:pStyle w:val="ListBullet"/>
        <w:ind w:left="432"/>
      </w:pPr>
      <w:r>
        <w:rPr>
          <w:sz w:val="20"/>
        </w:rPr>
        <w:t>Confirmed by Ethan (B&amp;M): "As soon as Phase 2 staging begins, Phase 3 engineering can start."</w:t>
      </w:r>
    </w:p>
    <w:p/>
    <w:p>
      <w:pPr>
        <w:jc w:val="left"/>
      </w:pPr>
      <w:r>
        <w:rPr>
          <w:b/>
          <w:color w:val="1F3864"/>
          <w:sz w:val="24"/>
        </w:rPr>
        <w:t>Phase 3 Scope Being Accelerated</w:t>
      </w:r>
    </w:p>
    <w:p>
      <w:r>
        <w:rPr>
          <w:b w:val="0"/>
          <w:color w:val="000000"/>
          <w:sz w:val="20"/>
        </w:rPr>
        <w:t>31 sites (confirmed scope). Site surveys by Hawkeye starting Aug 2026. Engineering IFR/IFC packages by Burns &amp; McDonnell (B&amp;M). Nokia equipment pre-order to be placed Q3 2026.</w:t>
      </w:r>
    </w:p>
    <w:p/>
    <w:p>
      <w:pPr>
        <w:jc w:val="left"/>
      </w:pPr>
      <w:r>
        <w:rPr>
          <w:b/>
          <w:color w:val="1F3864"/>
          <w:sz w:val="24"/>
        </w:rPr>
        <w:t>Phase 3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</w:tcPr>
          <w:p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color w:val="FFFFFF"/>
                <w:sz w:val="18"/>
              </w:rPr>
              <w:t>Actuals to Date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color w:val="FFFFFF"/>
                <w:sz w:val="18"/>
              </w:rPr>
              <w:t>Forecast (2026 Portion)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color w:val="FFFFFF"/>
                <w:sz w:val="18"/>
              </w:rPr>
              <w:t>Total (Full Scope)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B&amp;M Engineering — Phase 3 IFR/IFC Design</w:t>
              <w:br/>
              <w:t>31 sites. Design starts Aug 2026 during</w:t>
              <w:br/>
              <w:t>Phase 2 staging. B&amp;M/Hawkeye quotes</w:t>
              <w:br/>
              <w:t>pending — confirm with Chad by end of May.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$600,000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$900,000–$1,290,000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Hawkeye Site Surveys — Phase 3</w:t>
              <w:br/>
              <w:t>31 sites. Field surveys to support B&amp;M design.</w:t>
              <w:br/>
              <w:t>Starting week of May 18, 2026.</w:t>
              <w:br/>
              <w:t>Included in existing Hawkeye SOW.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TBD</w:t>
              <w:br/>
              <w:t>(in Hawkeye SOW)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Nokia Equipment Pre-Order — Phase 3</w:t>
              <w:br/>
              <w:t>Pre-ordering to avoid 8-wk lead time delay.</w:t>
              <w:br/>
              <w:t>PO target: Q3 2026.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TBD</w:t>
              <w:br/>
              <w:t>(PO: Q3 2026)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340"/>
            <w:shd w:fill="E8F0FE" w:val="clear"/>
          </w:tcPr>
          <w:p>
            <w:r>
              <w:rPr>
                <w:b/>
                <w:sz w:val="18"/>
              </w:rPr>
              <w:t>TOTAL PHASE 3 ACCELERATION</w:t>
            </w:r>
          </w:p>
        </w:tc>
        <w:tc>
          <w:tcPr>
            <w:tcW w:type="dxa" w:w="2340"/>
            <w:shd w:fill="E8F0FE" w:val="clear"/>
          </w:tcPr>
          <w:p>
            <w:r>
              <w:rPr>
                <w:b/>
                <w:sz w:val="18"/>
              </w:rPr>
              <w:t>$0</w:t>
            </w:r>
          </w:p>
        </w:tc>
        <w:tc>
          <w:tcPr>
            <w:tcW w:type="dxa" w:w="2340"/>
            <w:shd w:fill="E8F0FE" w:val="clear"/>
          </w:tcPr>
          <w:p>
            <w:r>
              <w:rPr>
                <w:b/>
                <w:sz w:val="18"/>
              </w:rPr>
              <w:t>~$600,000 (2026)</w:t>
            </w:r>
          </w:p>
        </w:tc>
        <w:tc>
          <w:tcPr>
            <w:tcW w:type="dxa" w:w="2340"/>
            <w:shd w:fill="E8F0FE" w:val="clear"/>
          </w:tcPr>
          <w:p>
            <w:r>
              <w:rPr>
                <w:b/>
                <w:sz w:val="18"/>
              </w:rPr>
              <w:t>~$900K–$1.29M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>This is a budget year timing shift. Phase 3 costs are being front-loaded from 2027 into the 2026 capital plan. Leadership approval required to confirm Phase 3 engineering budget can be accelerated into 2026 capital.</w:t>
      </w:r>
    </w:p>
    <w:p/>
    <w:p>
      <w:pPr>
        <w:jc w:val="left"/>
      </w:pPr>
      <w:r>
        <w:rPr>
          <w:b/>
          <w:color w:val="1F3864"/>
          <w:sz w:val="28"/>
        </w:rPr>
        <w:t>SECTION 3 — OVERALL BUDGET VARIANCE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2"/>
            <w:shd w:fill="1F3864" w:val="clear"/>
          </w:tcPr>
          <w:p>
            <w:r>
              <w:rPr>
                <w:b/>
                <w:color w:val="FFFFFF"/>
                <w:sz w:val="18"/>
              </w:rPr>
              <w:t>Original Budget</w:t>
            </w:r>
          </w:p>
        </w:tc>
        <w:tc>
          <w:tcPr>
            <w:tcW w:type="dxa" w:w="1872"/>
            <w:shd w:fill="1F3864" w:val="clear"/>
          </w:tcPr>
          <w:p>
            <w:r>
              <w:rPr>
                <w:b/>
                <w:color w:val="FFFFFF"/>
                <w:sz w:val="18"/>
              </w:rPr>
              <w:t>Actuals to Date</w:t>
            </w:r>
          </w:p>
        </w:tc>
        <w:tc>
          <w:tcPr>
            <w:tcW w:type="dxa" w:w="1872"/>
            <w:shd w:fill="1F3864" w:val="clear"/>
          </w:tcPr>
          <w:p>
            <w:r>
              <w:rPr>
                <w:b/>
                <w:color w:val="FFFFFF"/>
                <w:sz w:val="18"/>
              </w:rPr>
              <w:t>Forecast Remaining</w:t>
            </w:r>
          </w:p>
        </w:tc>
        <w:tc>
          <w:tcPr>
            <w:tcW w:type="dxa" w:w="1872"/>
            <w:shd w:fill="1F3864" w:val="clear"/>
          </w:tcPr>
          <w:p>
            <w:r>
              <w:rPr>
                <w:b/>
                <w:color w:val="FFFFFF"/>
                <w:sz w:val="18"/>
              </w:rPr>
              <w:t>Variance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PAR Migration</w:t>
              <w:br/>
              <w:t>(new unbudgeted scope)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$30K–$40K</w:t>
              <w:br/>
              <w:t>(2024 placeholder)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~$530,000</w:t>
            </w:r>
          </w:p>
        </w:tc>
        <w:tc>
          <w:tcPr>
            <w:tcW w:type="dxa" w:w="1872"/>
            <w:shd w:fill="FFF2CC" w:val="clear"/>
          </w:tcPr>
          <w:p>
            <w:r>
              <w:rPr>
                <w:sz w:val="18"/>
              </w:rPr>
              <w:t>-$490,000 to</w:t>
              <w:br/>
              <w:t>-$500,000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Phase 3 Engineering</w:t>
              <w:br/>
              <w:t>(accelerated into 2026)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Phase 3 budget</w:t>
              <w:br/>
              <w:t>(2027 original)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~$600K (2026)</w:t>
              <w:br/>
              <w:t>$900K–$1.29M total</w:t>
            </w:r>
          </w:p>
        </w:tc>
        <w:tc>
          <w:tcPr>
            <w:tcW w:type="dxa" w:w="1872"/>
            <w:shd w:fill="FFF2CC" w:val="clear"/>
          </w:tcPr>
          <w:p>
            <w:r>
              <w:rPr>
                <w:sz w:val="18"/>
              </w:rPr>
              <w:t>Budget year</w:t>
              <w:br/>
              <w:t>timing shift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B&amp;M Engineering</w:t>
              <w:br/>
              <w:t>(Phase 1 + 2)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Baselined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Nokia Equipment</w:t>
              <w:br/>
              <w:t>(Phase 1 + 2)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Baselined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Ph1: Received</w:t>
              <w:br/>
              <w:t>Ph2: On order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Hawkeye Construction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Baselined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Ph1: Complete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Aug 2026 start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Graybar Ancillary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Baselined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Ph1: Received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Ph2 BOM pending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Labor Overcharges</w:t>
              <w:br/>
              <w:t>(PQA/relay/assessments)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Baselined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Under audit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PCR in progress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Under review</w:t>
            </w:r>
          </w:p>
        </w:tc>
      </w:tr>
      <w:tr>
        <w:tc>
          <w:tcPr>
            <w:tcW w:type="dxa" w:w="1872"/>
            <w:shd w:fill="FFE0E0" w:val="clear"/>
          </w:tcPr>
          <w:p>
            <w:r>
              <w:rPr>
                <w:b/>
                <w:sz w:val="18"/>
              </w:rPr>
              <w:t>TOTAL PROJECTED</w:t>
              <w:br/>
              <w:t>VARIANCE</w:t>
            </w:r>
          </w:p>
        </w:tc>
        <w:tc>
          <w:tcPr>
            <w:tcW w:type="dxa" w:w="1872"/>
            <w:shd w:fill="FFE0E0" w:val="clear"/>
          </w:tcPr>
          <w:p>
            <w:r>
              <w:rPr>
                <w:b/>
                <w:sz w:val="18"/>
              </w:rPr>
              <w:t>—</w:t>
            </w:r>
          </w:p>
        </w:tc>
        <w:tc>
          <w:tcPr>
            <w:tcW w:type="dxa" w:w="1872"/>
            <w:shd w:fill="FFE0E0" w:val="clear"/>
          </w:tcPr>
          <w:p>
            <w:r>
              <w:rPr>
                <w:b/>
                <w:sz w:val="18"/>
              </w:rPr>
              <w:t>—</w:t>
            </w:r>
          </w:p>
        </w:tc>
        <w:tc>
          <w:tcPr>
            <w:tcW w:type="dxa" w:w="1872"/>
            <w:shd w:fill="FFE0E0" w:val="clear"/>
          </w:tcPr>
          <w:p>
            <w:r>
              <w:rPr>
                <w:b/>
                <w:sz w:val="18"/>
              </w:rPr>
              <w:t>—</w:t>
            </w:r>
          </w:p>
        </w:tc>
        <w:tc>
          <w:tcPr>
            <w:tcW w:type="dxa" w:w="1872"/>
            <w:shd w:fill="FFE0E0" w:val="clear"/>
          </w:tcPr>
          <w:p>
            <w:r>
              <w:rPr>
                <w:b/>
                <w:sz w:val="18"/>
              </w:rPr>
              <w:t>-$668K total</w:t>
              <w:br/>
              <w:t>-$797K (2026 cap)</w:t>
            </w:r>
          </w:p>
        </w:tc>
      </w:tr>
    </w:tbl>
    <w:p/>
    <w:p>
      <w:pPr>
        <w:jc w:val="left"/>
      </w:pPr>
      <w:r>
        <w:rPr>
          <w:b/>
          <w:color w:val="1F3864"/>
          <w:sz w:val="28"/>
        </w:rPr>
        <w:t>SECTION 4 — COST CONTROL ACTIONS IN PROGRESS</w:t>
      </w:r>
    </w:p>
    <w:p>
      <w:r>
        <w:rPr>
          <w:b/>
          <w:sz w:val="20"/>
        </w:rPr>
        <w:t xml:space="preserve">PAR Change Request: </w:t>
      </w:r>
      <w:r>
        <w:rPr>
          <w:sz w:val="20"/>
        </w:rPr>
        <w:t>$530K unbudgeted scope — Change Request to be submitted. NERC-CIP mandatory — no alternative path.</w:t>
      </w:r>
    </w:p>
    <w:p>
      <w:r>
        <w:rPr>
          <w:b/>
          <w:sz w:val="20"/>
        </w:rPr>
        <w:t xml:space="preserve">Assessment Cap: </w:t>
      </w:r>
      <w:r>
        <w:rPr>
          <w:sz w:val="20"/>
        </w:rPr>
        <w:t>Joe Jekyll confirmed assessments capped at 3.5% of total budget. PCR "get out of jail free" cards being issued for over-cap charges.</w:t>
      </w:r>
    </w:p>
    <w:p>
      <w:r>
        <w:rPr>
          <w:b/>
          <w:sz w:val="20"/>
        </w:rPr>
        <w:t xml:space="preserve">PQA Audit: </w:t>
      </w:r>
      <w:r>
        <w:rPr>
          <w:sz w:val="20"/>
        </w:rPr>
        <w:t>Marge Tanner (PQA) charges reviewed for potential double-billing. Escalation in progress.</w:t>
      </w:r>
    </w:p>
    <w:p>
      <w:r>
        <w:rPr>
          <w:b/>
          <w:sz w:val="20"/>
        </w:rPr>
        <w:t xml:space="preserve">Relay Labor Rate Audit: </w:t>
      </w:r>
      <w:r>
        <w:rPr>
          <w:sz w:val="20"/>
        </w:rPr>
        <w:t>Chakrapani rate ($115.34/hr) and Johnny's team rate ($1,100–$1,200/hr) being verified against accounting. Detailed hour justification required for all future funding requests.</w:t>
      </w:r>
    </w:p>
    <w:p>
      <w:r>
        <w:rPr>
          <w:b/>
          <w:sz w:val="20"/>
        </w:rPr>
        <w:t xml:space="preserve">Chad Reconciliation: </w:t>
      </w:r>
      <w:r>
        <w:rPr>
          <w:sz w:val="20"/>
        </w:rPr>
        <w:t>Meeting required week of May 18. Update forecast to include $495K relay labor for PAR and Phase 3 acceleration costs.</w:t>
      </w:r>
    </w:p>
    <w:p/>
    <w:p>
      <w:pPr>
        <w:jc w:val="left"/>
      </w:pPr>
      <w:r>
        <w:rPr>
          <w:b/>
          <w:color w:val="C00000"/>
          <w:sz w:val="28"/>
        </w:rPr>
        <w:t>SECTION 5 — OPEN ITEMS REQUIRING LEADERSHIP DECISION</w:t>
      </w:r>
    </w:p>
    <w:p>
      <w:pPr>
        <w:pStyle w:val="ListNumber"/>
        <w:ind w:left="432"/>
      </w:pPr>
      <w:r>
        <w:rPr>
          <w:color w:val="C00000"/>
          <w:sz w:val="20"/>
        </w:rPr>
        <w:t>PAR Funding Approval — $530K Change Request required. Mandatory NERC-CIP compliance. No alternative.</w:t>
      </w:r>
    </w:p>
    <w:p>
      <w:pPr>
        <w:pStyle w:val="ListNumber"/>
        <w:ind w:left="432"/>
      </w:pPr>
      <w:r>
        <w:rPr>
          <w:color w:val="C00000"/>
          <w:sz w:val="20"/>
        </w:rPr>
        <w:t>Phase 3 Budget Acceleration — Confirm Phase 3 engineering ($900K–$1.29M) can be front-loaded into 2026 capital plan.</w:t>
      </w:r>
    </w:p>
    <w:p>
      <w:pPr>
        <w:pStyle w:val="ListNumber"/>
        <w:ind w:left="432"/>
      </w:pPr>
      <w:r>
        <w:rPr>
          <w:color w:val="C00000"/>
          <w:sz w:val="20"/>
        </w:rPr>
        <w:t>Chad Reconciliation Meeting — Week of May 18. Reconcile PAR relay labor gap and Phase 3 cost timing.</w:t>
      </w:r>
    </w:p>
    <w:p>
      <w:pPr>
        <w:pStyle w:val="ListNumber"/>
        <w:ind w:left="432"/>
      </w:pPr>
      <w:r>
        <w:rPr>
          <w:color w:val="C00000"/>
          <w:sz w:val="20"/>
        </w:rPr>
        <w:t>Chakrapani Confirmation — Design owners not yet assigned for 5 of 6 PAR sites. RC-30 PO number and delivery date still unknown. CRITICAL PATH.</w:t>
      </w:r>
    </w:p>
    <w:p/>
    <w:p>
      <w:pPr>
        <w:jc w:val="center"/>
      </w:pPr>
      <w:r>
        <w:rPr>
          <w:color w:val="999999"/>
          <w:sz w:val="16"/>
        </w:rPr>
        <w:t>PRJ13797 — JMUX Replacement Project  |  Cost Actuals &amp; Forecast  |  May 12, 2026  |  CONFIDENTIAL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