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pPr>
      <w:r>
        <w:rPr>
          <w:rFonts w:ascii="Calibri" w:hAnsi="Calibri"/>
          <w:b/>
          <w:color w:val="1A3C6E"/>
          <w:sz w:val="52"/>
        </w:rPr>
        <w:t>Martin Collins</w:t>
      </w:r>
    </w:p>
    <w:p>
      <w:pPr>
        <w:jc w:val="center"/>
        <w:spacing w:before="0" w:after="20"/>
      </w:pPr>
      <w:r>
        <w:rPr>
          <w:rFonts w:ascii="Calibri" w:hAnsi="Calibri"/>
          <w:i/>
          <w:color w:val="555555"/>
          <w:sz w:val="24"/>
        </w:rPr>
        <w:t>Senior Project Manager  |  Network Infrastructure &amp; Deployment</w:t>
      </w:r>
    </w:p>
    <w:p>
      <w:pPr>
        <w:jc w:val="center"/>
        <w:spacing w:before="0" w:after="60"/>
      </w:pPr>
      <w:r>
        <w:rPr>
          <w:rFonts w:ascii="Calibri" w:hAnsi="Calibri"/>
          <w:color w:val="2E75B6"/>
          <w:sz w:val="20"/>
        </w:rPr>
        <w:t>732-963-7014  ·  mpcmarty@gmail.com</w:t>
      </w:r>
    </w:p>
    <w:p>
      <w:pPr>
        <w:jc w:val="center"/>
        <w:spacing w:before="0" w:after="80"/>
        <w:pBdr>
          <w:bottom w:val="single" w:sz="18" w:space="1" w:color="1A3C6E"/>
        </w:pBdr>
      </w:pPr>
    </w:p>
    <w:p>
      <w:pPr>
        <w:spacing w:before="120" w:after="40"/>
        <w:shd w:val="clear" w:color="auto" w:fill="EDF2FA"/>
      </w:pPr>
      <w:r>
        <w:rPr>
          <w:rFonts w:ascii="Calibri" w:hAnsi="Calibri"/>
          <w:b/>
          <w:color w:val="1A3C6E"/>
          <w:sz w:val="20"/>
        </w:rPr>
        <w:t xml:space="preserve">  PROFESSIONAL SUMMARY</w:t>
      </w:r>
    </w:p>
    <w:p>
      <w:pPr>
        <w:spacing w:before="40" w:after="40" w:line="276" w:lineRule="auto"/>
      </w:pPr>
      <w:r>
        <w:rPr>
          <w:rFonts w:ascii="Calibri" w:hAnsi="Calibri"/>
          <w:b w:val="0"/>
          <w:color w:val="222222"/>
          <w:sz w:val="20"/>
        </w:rPr>
        <w:t>Senior Project Manager specializing in large-scale enterprise network infrastructure refresh, deployment, and decommission initiatives. Proven leader of complex, high-risk production changes across data centers and remote sites involving Cisco and Arista platforms. Trusted partner to engineering teams and executive stakeholders, recognized for strong change governance, risk mitigation, and flawless execution during after-hours network operations.</w:t>
      </w:r>
    </w:p>
    <w:p>
      <w:pPr>
        <w:spacing w:before="120" w:after="40"/>
        <w:shd w:val="clear" w:color="auto" w:fill="EDF2FA"/>
      </w:pPr>
      <w:r>
        <w:rPr>
          <w:rFonts w:ascii="Calibri" w:hAnsi="Calibri"/>
          <w:b/>
          <w:color w:val="1A3C6E"/>
          <w:sz w:val="20"/>
        </w:rPr>
        <w:t xml:space="preserve">  CORE COMPETENCIES</w:t>
      </w:r>
    </w:p>
    <w:tbl>
      <w:tblPr>
        <w:tblStyle w:val="TableGrid"/>
        <w:tblW w:type="auto" w:w="0"/>
        <w:jc w:val="center"/>
        <w:tblLook w:firstColumn="1" w:firstRow="1" w:lastColumn="0" w:lastRow="0" w:noHBand="0" w:noVBand="1" w:val="04A0"/>
      </w:tblPr>
      <w:tblGrid>
        <w:gridCol w:w="3360"/>
        <w:gridCol w:w="3360"/>
        <w:gridCol w:w="3360"/>
      </w:tblGrid>
      <w:tr>
        <w:tc>
          <w:tcPr>
            <w:tcW w:type="dxa" w:w="4176"/>
            <w:tcBorders>
              <w:top w:val="nil"/>
              <w:left w:val="nil"/>
              <w:bottom w:val="nil"/>
              <w:right w:val="nil"/>
              <w:insideH w:val="nil"/>
              <w:insideV w:val="nil"/>
            </w:tcBorders>
          </w:tcPr>
          <w:p>
            <w:pPr>
              <w:spacing w:before="30" w:after="30"/>
            </w:pPr>
            <w:r>
              <w:rPr>
                <w:rFonts w:ascii="Calibri" w:hAnsi="Calibri"/>
                <w:color w:val="222222"/>
                <w:sz w:val="19"/>
              </w:rPr>
              <w:t>✦  Network Infrastructure Refresh &amp; Decommission</w:t>
            </w:r>
          </w:p>
        </w:tc>
        <w:tc>
          <w:tcPr>
            <w:tcW w:type="dxa" w:w="4176"/>
            <w:tcBorders>
              <w:top w:val="nil"/>
              <w:left w:val="nil"/>
              <w:bottom w:val="nil"/>
              <w:right w:val="nil"/>
              <w:insideH w:val="nil"/>
              <w:insideV w:val="nil"/>
            </w:tcBorders>
          </w:tcPr>
          <w:p>
            <w:pPr>
              <w:spacing w:before="30" w:after="30"/>
            </w:pPr>
            <w:r>
              <w:rPr>
                <w:rFonts w:ascii="Calibri" w:hAnsi="Calibri"/>
                <w:color w:val="222222"/>
                <w:sz w:val="19"/>
              </w:rPr>
              <w:t>✦  Project Management (PMBOK / Agile / Waterfall)</w:t>
            </w:r>
          </w:p>
        </w:tc>
        <w:tc>
          <w:tcPr>
            <w:tcW w:type="dxa" w:w="4176"/>
            <w:tcBorders>
              <w:top w:val="nil"/>
              <w:left w:val="nil"/>
              <w:bottom w:val="nil"/>
              <w:right w:val="nil"/>
              <w:insideH w:val="nil"/>
              <w:insideV w:val="nil"/>
            </w:tcBorders>
          </w:tcPr>
          <w:p>
            <w:pPr>
              <w:spacing w:before="30" w:after="30"/>
            </w:pPr>
            <w:r>
              <w:rPr>
                <w:rFonts w:ascii="Calibri" w:hAnsi="Calibri"/>
                <w:color w:val="222222"/>
                <w:sz w:val="19"/>
              </w:rPr>
              <w:t>✦  IT Service Management (ITIL)</w:t>
            </w:r>
          </w:p>
        </w:tc>
      </w:tr>
      <w:tr>
        <w:tc>
          <w:tcPr>
            <w:tcW w:type="dxa" w:w="4176"/>
            <w:tcBorders>
              <w:top w:val="nil"/>
              <w:left w:val="nil"/>
              <w:bottom w:val="nil"/>
              <w:right w:val="nil"/>
              <w:insideH w:val="nil"/>
              <w:insideV w:val="nil"/>
            </w:tcBorders>
          </w:tcPr>
          <w:p>
            <w:pPr>
              <w:spacing w:before="30" w:after="30"/>
            </w:pPr>
            <w:r>
              <w:rPr>
                <w:rFonts w:ascii="Calibri" w:hAnsi="Calibri"/>
                <w:color w:val="222222"/>
                <w:sz w:val="19"/>
              </w:rPr>
              <w:t>✦  Release &amp; Change Management (Logical &amp; Physical)</w:t>
            </w:r>
          </w:p>
        </w:tc>
        <w:tc>
          <w:tcPr>
            <w:tcW w:type="dxa" w:w="4176"/>
            <w:tcBorders>
              <w:top w:val="nil"/>
              <w:left w:val="nil"/>
              <w:bottom w:val="nil"/>
              <w:right w:val="nil"/>
              <w:insideH w:val="nil"/>
              <w:insideV w:val="nil"/>
            </w:tcBorders>
          </w:tcPr>
          <w:p>
            <w:pPr>
              <w:spacing w:before="30" w:after="30"/>
            </w:pPr>
            <w:r>
              <w:rPr>
                <w:rFonts w:ascii="Calibri" w:hAnsi="Calibri"/>
                <w:color w:val="222222"/>
                <w:sz w:val="19"/>
              </w:rPr>
              <w:t>✦  Cisco &amp; Arista Routing &amp; Switching</w:t>
            </w:r>
          </w:p>
        </w:tc>
        <w:tc>
          <w:tcPr>
            <w:tcW w:type="dxa" w:w="4176"/>
            <w:tcBorders>
              <w:top w:val="nil"/>
              <w:left w:val="nil"/>
              <w:bottom w:val="nil"/>
              <w:right w:val="nil"/>
              <w:insideH w:val="nil"/>
              <w:insideV w:val="nil"/>
            </w:tcBorders>
          </w:tcPr>
          <w:p>
            <w:pPr>
              <w:spacing w:before="30" w:after="30"/>
            </w:pPr>
            <w:r>
              <w:rPr>
                <w:rFonts w:ascii="Calibri" w:hAnsi="Calibri"/>
                <w:color w:val="222222"/>
                <w:sz w:val="19"/>
              </w:rPr>
              <w:t>✦  Enterprise Risk, Issue &amp; Escalation Management</w:t>
            </w:r>
          </w:p>
        </w:tc>
      </w:tr>
      <w:tr>
        <w:tc>
          <w:tcPr>
            <w:tcW w:type="dxa" w:w="4176"/>
            <w:tcBorders>
              <w:top w:val="nil"/>
              <w:left w:val="nil"/>
              <w:bottom w:val="nil"/>
              <w:right w:val="nil"/>
              <w:insideH w:val="nil"/>
              <w:insideV w:val="nil"/>
            </w:tcBorders>
          </w:tcPr>
          <w:p>
            <w:pPr>
              <w:spacing w:before="30" w:after="30"/>
            </w:pPr>
            <w:r>
              <w:rPr>
                <w:rFonts w:ascii="Calibri" w:hAnsi="Calibri"/>
                <w:color w:val="222222"/>
                <w:sz w:val="19"/>
              </w:rPr>
              <w:t>✦  Executive &amp; C-Level Communication</w:t>
            </w:r>
          </w:p>
        </w:tc>
        <w:tc>
          <w:tcPr>
            <w:tcW w:type="dxa" w:w="4176"/>
            <w:tcBorders>
              <w:top w:val="nil"/>
              <w:left w:val="nil"/>
              <w:bottom w:val="nil"/>
              <w:right w:val="nil"/>
              <w:insideH w:val="nil"/>
              <w:insideV w:val="nil"/>
            </w:tcBorders>
          </w:tcPr>
          <w:p>
            <w:pPr>
              <w:spacing w:before="30" w:after="30"/>
            </w:pPr>
            <w:r>
              <w:rPr>
                <w:rFonts w:ascii="Calibri" w:hAnsi="Calibri"/>
                <w:color w:val="222222"/>
                <w:sz w:val="19"/>
              </w:rPr>
              <w:t>✦  Cross-Functional Team Leadership</w:t>
            </w:r>
          </w:p>
        </w:tc>
        <w:tc>
          <w:tcPr>
            <w:tcW w:type="dxa" w:w="4176"/>
            <w:tcBorders>
              <w:top w:val="nil"/>
              <w:left w:val="nil"/>
              <w:bottom w:val="nil"/>
              <w:right w:val="nil"/>
              <w:insideH w:val="nil"/>
              <w:insideV w:val="nil"/>
            </w:tcBorders>
          </w:tcPr>
          <w:p>
            <w:pPr>
              <w:spacing w:before="30" w:after="30"/>
            </w:pPr>
            <w:r>
              <w:rPr>
                <w:rFonts w:ascii="Calibri" w:hAnsi="Calibri"/>
                <w:color w:val="222222"/>
                <w:sz w:val="19"/>
              </w:rPr>
              <w:t>✦  Data Center &amp; Remote Site Operations</w:t>
            </w:r>
          </w:p>
        </w:tc>
      </w:tr>
      <w:tr>
        <w:tc>
          <w:tcPr>
            <w:tcW w:type="dxa" w:w="4176"/>
            <w:tcBorders>
              <w:top w:val="nil"/>
              <w:left w:val="nil"/>
              <w:bottom w:val="nil"/>
              <w:right w:val="nil"/>
              <w:insideH w:val="nil"/>
              <w:insideV w:val="nil"/>
            </w:tcBorders>
          </w:tcPr>
          <w:p>
            <w:pPr>
              <w:spacing w:before="30" w:after="30"/>
            </w:pPr>
            <w:r>
              <w:rPr>
                <w:rFonts w:ascii="Calibri" w:hAnsi="Calibri"/>
                <w:color w:val="222222"/>
                <w:sz w:val="19"/>
              </w:rPr>
              <w:t>✦  Smart Hands &amp; Vendor Management</w:t>
            </w:r>
          </w:p>
        </w:tc>
        <w:tc>
          <w:tcPr>
            <w:tcW w:type="dxa" w:w="4176"/>
            <w:tcBorders>
              <w:top w:val="nil"/>
              <w:left w:val="nil"/>
              <w:bottom w:val="nil"/>
              <w:right w:val="nil"/>
              <w:insideH w:val="nil"/>
              <w:insideV w:val="nil"/>
            </w:tcBorders>
          </w:tcPr>
          <w:p>
            <w:pPr>
              <w:spacing w:before="30" w:after="30"/>
            </w:pPr>
            <w:r>
              <w:rPr>
                <w:rFonts w:ascii="Calibri" w:hAnsi="Calibri"/>
                <w:color w:val="222222"/>
                <w:sz w:val="19"/>
              </w:rPr>
              <w:t>✦  Asset Disposal, SIMS &amp; Data Destruction Compliance</w:t>
            </w:r>
          </w:p>
        </w:tc>
        <w:tc>
          <w:tcPr>
            <w:tcW w:type="dxa" w:w="4176"/>
            <w:tcBorders>
              <w:top w:val="nil"/>
              <w:left w:val="nil"/>
              <w:bottom w:val="nil"/>
              <w:right w:val="nil"/>
              <w:insideH w:val="nil"/>
              <w:insideV w:val="nil"/>
            </w:tcBorders>
          </w:tcPr>
          <w:p>
            <w:pPr>
              <w:spacing w:before="30" w:after="30"/>
            </w:pPr>
            <w:r>
              <w:rPr>
                <w:rFonts w:ascii="Calibri" w:hAnsi="Calibri"/>
                <w:color w:val="222222"/>
                <w:sz w:val="19"/>
              </w:rPr>
              <w:t>✦  Agile, Scrum, Kanban, Waterfall Delivery</w:t>
            </w:r>
          </w:p>
        </w:tc>
      </w:tr>
    </w:tbl>
    <w:p>
      <w:pPr>
        <w:spacing w:before="120" w:after="40"/>
        <w:shd w:val="clear" w:color="auto" w:fill="EDF2FA"/>
      </w:pPr>
      <w:r>
        <w:rPr>
          <w:rFonts w:ascii="Calibri" w:hAnsi="Calibri"/>
          <w:b/>
          <w:color w:val="1A3C6E"/>
          <w:sz w:val="20"/>
        </w:rPr>
        <w:t xml:space="preserve">  PROFESSIONAL EXPERIENCE</w:t>
      </w:r>
    </w:p>
    <w:p>
      <w:pPr>
        <w:spacing w:before="80" w:after="10"/>
      </w:pPr>
      <w:r>
        <w:rPr>
          <w:rFonts w:ascii="Calibri" w:hAnsi="Calibri"/>
          <w:b/>
          <w:color w:val="222222"/>
          <w:sz w:val="22"/>
        </w:rPr>
        <w:t>Independent Contractor — Senior Network Infrastructure Consultant</w:t>
      </w:r>
    </w:p>
    <w:p>
      <w:pPr>
        <w:spacing w:before="0" w:after="40"/>
      </w:pPr>
      <w:r>
        <w:rPr>
          <w:rFonts w:ascii="Calibri" w:hAnsi="Calibri"/>
          <w:b w:val="0"/>
          <w:color w:val="555555"/>
          <w:sz w:val="19"/>
        </w:rPr>
        <w:t>January 2025 – Present</w:t>
      </w:r>
    </w:p>
    <w:p>
      <w:pPr>
        <w:pStyle w:val="ListBullet"/>
        <w:spacing w:before="0" w:after="30" w:line="260" w:lineRule="auto"/>
        <w:ind w:left="360" w:hanging="259"/>
      </w:pPr>
      <w:r>
        <w:rPr>
          <w:rFonts w:ascii="Calibri" w:hAnsi="Calibri"/>
          <w:color w:val="222222"/>
          <w:sz w:val="20"/>
        </w:rPr>
        <w:t>Provide senior-level project management for enterprise network infrastructure refresh, deployment, and decommission initiatives.</w:t>
      </w:r>
    </w:p>
    <w:p>
      <w:pPr>
        <w:pStyle w:val="ListBullet"/>
        <w:spacing w:before="0" w:after="30" w:line="260" w:lineRule="auto"/>
        <w:ind w:left="360" w:hanging="259"/>
      </w:pPr>
      <w:r>
        <w:rPr>
          <w:rFonts w:ascii="Calibri" w:hAnsi="Calibri"/>
          <w:color w:val="222222"/>
          <w:sz w:val="20"/>
        </w:rPr>
        <w:t>Lead end-to-end change governance, engineering coordination, smart hands management, and executive communication.</w:t>
      </w:r>
    </w:p>
    <w:p>
      <w:pPr>
        <w:pStyle w:val="ListBullet"/>
        <w:spacing w:before="0" w:after="30" w:line="260" w:lineRule="auto"/>
        <w:ind w:left="360" w:hanging="259"/>
      </w:pPr>
      <w:r>
        <w:rPr>
          <w:rFonts w:ascii="Calibri" w:hAnsi="Calibri"/>
          <w:color w:val="222222"/>
          <w:sz w:val="20"/>
        </w:rPr>
        <w:t>Support complex production network changes across data centers and remote locations while maintaining strict uptime, risk, and compliance controls.</w:t>
      </w:r>
    </w:p>
    <w:p>
      <w:pPr>
        <w:spacing w:before="100" w:after="10"/>
      </w:pPr>
      <w:r>
        <w:rPr>
          <w:rFonts w:ascii="Calibri" w:hAnsi="Calibri"/>
          <w:b/>
          <w:color w:val="222222"/>
          <w:sz w:val="22"/>
        </w:rPr>
        <w:t>Senior Project Manager — Network Infrastructure Release &amp; Deployment</w:t>
      </w:r>
    </w:p>
    <w:p>
      <w:pPr>
        <w:spacing w:before="0" w:after="5"/>
      </w:pPr>
      <w:r>
        <w:rPr>
          <w:rFonts w:ascii="Calibri" w:hAnsi="Calibri"/>
          <w:b/>
          <w:color w:val="2E75B6"/>
          <w:sz w:val="20"/>
        </w:rPr>
        <w:t>GDH Consulting / Cisco / Bank of America</w:t>
      </w:r>
    </w:p>
    <w:p>
      <w:pPr>
        <w:spacing w:before="0" w:after="40"/>
      </w:pPr>
      <w:r>
        <w:rPr>
          <w:rFonts w:ascii="Calibri" w:hAnsi="Calibri"/>
          <w:b w:val="0"/>
          <w:color w:val="555555"/>
          <w:sz w:val="19"/>
        </w:rPr>
        <w:t>August 2021 – December 2024</w:t>
      </w:r>
    </w:p>
    <w:p>
      <w:pPr>
        <w:pStyle w:val="ListBullet"/>
        <w:spacing w:before="0" w:after="30" w:line="260" w:lineRule="auto"/>
        <w:ind w:left="360" w:hanging="259"/>
      </w:pPr>
      <w:r>
        <w:rPr>
          <w:rFonts w:ascii="Calibri" w:hAnsi="Calibri"/>
          <w:color w:val="222222"/>
          <w:sz w:val="20"/>
        </w:rPr>
        <w:t>Led enterprise-wide network infrastructure refresh and decommission programs involving 250+ Cisco and Arista routers, switches, and SFPs across data centers and remote sites.</w:t>
      </w:r>
    </w:p>
    <w:p>
      <w:pPr>
        <w:pStyle w:val="ListBullet"/>
        <w:spacing w:before="0" w:after="30" w:line="260" w:lineRule="auto"/>
        <w:ind w:left="360" w:hanging="259"/>
      </w:pPr>
      <w:r>
        <w:rPr>
          <w:rFonts w:ascii="Calibri" w:hAnsi="Calibri"/>
          <w:color w:val="222222"/>
          <w:sz w:val="20"/>
        </w:rPr>
        <w:t>Planned, hosted, and governed daily and weekly network change windows, coordinating logical and physical changes executed during after-hours and weekend maintenance periods.</w:t>
      </w:r>
    </w:p>
    <w:p>
      <w:pPr>
        <w:pStyle w:val="ListBullet"/>
        <w:spacing w:before="0" w:after="30" w:line="260" w:lineRule="auto"/>
        <w:ind w:left="360" w:hanging="259"/>
      </w:pPr>
      <w:r>
        <w:rPr>
          <w:rFonts w:ascii="Calibri" w:hAnsi="Calibri"/>
          <w:color w:val="222222"/>
          <w:sz w:val="20"/>
        </w:rPr>
        <w:t>Served as primary point of contact for executive stakeholders, providing clear status updates, risk assessments, and escalation management for high-impact network initiatives.</w:t>
      </w:r>
    </w:p>
    <w:p>
      <w:pPr>
        <w:pStyle w:val="ListBullet"/>
        <w:spacing w:before="0" w:after="30" w:line="260" w:lineRule="auto"/>
        <w:ind w:left="360" w:hanging="259"/>
      </w:pPr>
      <w:r>
        <w:rPr>
          <w:rFonts w:ascii="Calibri" w:hAnsi="Calibri"/>
          <w:color w:val="222222"/>
          <w:sz w:val="20"/>
        </w:rPr>
        <w:t>Facilitated daily and weekly change management meetings with engineers, contractors, junior project managers, and data center smart hands teams.</w:t>
      </w:r>
    </w:p>
    <w:p>
      <w:pPr>
        <w:pStyle w:val="ListBullet"/>
        <w:spacing w:before="0" w:after="30" w:line="260" w:lineRule="auto"/>
        <w:ind w:left="360" w:hanging="259"/>
      </w:pPr>
      <w:r>
        <w:rPr>
          <w:rFonts w:ascii="Calibri" w:hAnsi="Calibri"/>
          <w:color w:val="222222"/>
          <w:sz w:val="20"/>
        </w:rPr>
        <w:t>Managed and directed network engineers and junior PMs to ensure delivery milestones, technical readiness, and adherence to change governance standards.</w:t>
      </w:r>
    </w:p>
    <w:p>
      <w:pPr>
        <w:pStyle w:val="ListBullet"/>
        <w:spacing w:before="0" w:after="30" w:line="260" w:lineRule="auto"/>
        <w:ind w:left="360" w:hanging="259"/>
      </w:pPr>
      <w:r>
        <w:rPr>
          <w:rFonts w:ascii="Calibri" w:hAnsi="Calibri"/>
          <w:color w:val="222222"/>
          <w:sz w:val="20"/>
        </w:rPr>
        <w:t>Oversaw pre- and post-change AIT testing to validate tools, applications, and network functionality, ensuring production stability.</w:t>
      </w:r>
    </w:p>
    <w:p>
      <w:pPr>
        <w:pStyle w:val="ListBullet"/>
        <w:spacing w:before="0" w:after="30" w:line="260" w:lineRule="auto"/>
        <w:ind w:left="360" w:hanging="259"/>
      </w:pPr>
      <w:r>
        <w:rPr>
          <w:rFonts w:ascii="Calibri" w:hAnsi="Calibri"/>
          <w:color w:val="222222"/>
          <w:sz w:val="20"/>
        </w:rPr>
        <w:t>Coordinated review and updates of network diagrams, scripts, and implementation plans prior to change execution to minimize risk.</w:t>
      </w:r>
    </w:p>
    <w:p>
      <w:pPr>
        <w:pStyle w:val="ListBullet"/>
        <w:spacing w:before="0" w:after="30" w:line="260" w:lineRule="auto"/>
        <w:ind w:left="360" w:hanging="259"/>
      </w:pPr>
      <w:r>
        <w:rPr>
          <w:rFonts w:ascii="Calibri" w:hAnsi="Calibri"/>
          <w:color w:val="222222"/>
          <w:sz w:val="20"/>
        </w:rPr>
        <w:t>Directed smart hands technicians at data centers and remote sites for accurate execution of physical installations, removals, and cabling changes.</w:t>
      </w:r>
    </w:p>
    <w:p>
      <w:pPr>
        <w:pStyle w:val="ListBullet"/>
        <w:spacing w:before="0" w:after="30" w:line="260" w:lineRule="auto"/>
        <w:ind w:left="360" w:hanging="259"/>
      </w:pPr>
      <w:r>
        <w:rPr>
          <w:rFonts w:ascii="Calibri" w:hAnsi="Calibri"/>
          <w:color w:val="222222"/>
          <w:sz w:val="20"/>
        </w:rPr>
        <w:t>Authored ROMs and SOWs, coordinated hardware orders, and supported device staging ahead of scheduled change windows.</w:t>
      </w:r>
    </w:p>
    <w:p>
      <w:pPr>
        <w:pStyle w:val="ListBullet"/>
        <w:spacing w:before="0" w:after="30" w:line="260" w:lineRule="auto"/>
        <w:ind w:left="360" w:hanging="259"/>
      </w:pPr>
      <w:r>
        <w:rPr>
          <w:rFonts w:ascii="Calibri" w:hAnsi="Calibri"/>
          <w:color w:val="222222"/>
          <w:sz w:val="20"/>
        </w:rPr>
        <w:t>Led SIMS disposal and secure data destruction processes for decommissioned assets in compliance with enterprise security standards.</w:t>
      </w:r>
    </w:p>
    <w:p>
      <w:pPr>
        <w:pStyle w:val="ListBullet"/>
        <w:spacing w:before="0" w:after="30" w:line="260" w:lineRule="auto"/>
        <w:ind w:left="360" w:hanging="259"/>
      </w:pPr>
      <w:r>
        <w:rPr>
          <w:rFonts w:ascii="Calibri" w:hAnsi="Calibri"/>
          <w:color w:val="222222"/>
          <w:sz w:val="20"/>
        </w:rPr>
        <w:t>Onboarded new network devices using Watson for integration into enterprise monitoring platforms.</w:t>
      </w:r>
    </w:p>
    <w:p>
      <w:pPr>
        <w:pStyle w:val="ListBullet"/>
        <w:spacing w:before="0" w:after="30" w:line="260" w:lineRule="auto"/>
        <w:ind w:left="360" w:hanging="259"/>
      </w:pPr>
      <w:r>
        <w:rPr>
          <w:rFonts w:ascii="Calibri" w:hAnsi="Calibri"/>
          <w:color w:val="222222"/>
          <w:sz w:val="20"/>
        </w:rPr>
        <w:t>Tracked, reviewed, and approved weekly time reporting for junior project managers and contractors.</w:t>
      </w:r>
    </w:p>
    <w:p>
      <w:pPr>
        <w:spacing w:before="120" w:after="40"/>
        <w:shd w:val="clear" w:color="auto" w:fill="EDF2FA"/>
      </w:pPr>
      <w:r>
        <w:rPr>
          <w:rFonts w:ascii="Calibri" w:hAnsi="Calibri"/>
          <w:b/>
          <w:color w:val="1A3C6E"/>
          <w:sz w:val="20"/>
        </w:rPr>
        <w:t xml:space="preserve">  EDUCATION</w:t>
      </w:r>
    </w:p>
    <w:p>
      <w:pPr>
        <w:spacing w:before="60" w:after="20"/>
      </w:pPr>
      <w:r>
        <w:rPr>
          <w:rFonts w:ascii="Calibri" w:hAnsi="Calibri"/>
          <w:b/>
          <w:color w:val="222222"/>
          <w:sz w:val="21"/>
        </w:rPr>
        <w:t>Diploma in Technology</w:t>
      </w:r>
      <w:r>
        <w:rPr>
          <w:rFonts w:ascii="Calibri" w:hAnsi="Calibri"/>
          <w:b w:val="0"/>
          <w:color w:val="555555"/>
          <w:sz w:val="20"/>
        </w:rPr>
        <w:t xml:space="preserve">  —  DeVry University</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