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b/>
          <w:color w:val="1E3A5F"/>
          <w:sz w:val="36"/>
        </w:rPr>
        <w:t>BRISBANE PROPERTY INVESTMENT ANALYSIS</w:t>
      </w:r>
    </w:p>
    <w:p>
      <w:pPr>
        <w:spacing w:after="40"/>
        <w:jc w:val="center"/>
      </w:pPr>
      <w:r>
        <w:rPr>
          <w:i/>
          <w:color w:val="374151"/>
          <w:sz w:val="24"/>
        </w:rPr>
        <w:t>Below-Market Renovation Opportunities — Up &amp; Coming Suburbs</w:t>
      </w:r>
    </w:p>
    <w:p>
      <w:pPr>
        <w:spacing w:after="200"/>
        <w:jc w:val="center"/>
      </w:pPr>
      <w:r>
        <w:rPr>
          <w:color w:val="94A3B8"/>
          <w:sz w:val="18"/>
        </w:rPr>
        <w:t>Prepared: March 25, 2026  |  Source: Domain.com.au / PropertyBuyer / KPMG / REA Group</w:t>
      </w:r>
    </w:p>
    <w:p>
      <w:pPr>
        <w:spacing w:before="40" w:after="40"/>
        <w:pBdr>
          <w:bottom w:val="single" w:sz="6" w:space="1" w:color="1E3A5F"/>
        </w:pBdr>
      </w:pPr>
    </w:p>
    <w:p/>
    <w:p>
      <w:pPr>
        <w:spacing w:after="40"/>
      </w:pPr>
      <w:r>
        <w:rPr>
          <w:b/>
          <w:color w:val="1E3A5F"/>
          <w:sz w:val="26"/>
        </w:rPr>
        <w:t>BRISBANE MARKET SNAPSHOT — 2026</w:t>
      </w:r>
    </w:p>
    <w:p>
      <w:pPr>
        <w:spacing w:before="40" w:after="40"/>
        <w:pBdr>
          <w:bottom w:val="single" w:sz="6" w:space="1" w:color="2563EB"/>
        </w:pBdr>
      </w:pPr>
    </w:p>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E3A5F"/>
          </w:tcPr>
          <w:p>
            <w:pPr>
              <w:spacing w:before="80" w:after="80"/>
              <w:jc w:val="center"/>
            </w:pPr>
            <w:r>
              <w:rPr>
                <w:b/>
                <w:color w:val="FFFFFF"/>
                <w:sz w:val="18"/>
              </w:rPr>
              <w:t>Median Price</w:t>
            </w:r>
          </w:p>
        </w:tc>
        <w:tc>
          <w:tcPr>
            <w:tcW w:type="dxa" w:w="2340"/>
            <w:shd w:val="clear" w:color="auto" w:fill="1E3A5F"/>
          </w:tcPr>
          <w:p>
            <w:pPr>
              <w:spacing w:before="80" w:after="80"/>
              <w:jc w:val="center"/>
            </w:pPr>
            <w:r>
              <w:rPr>
                <w:b/>
                <w:color w:val="FFFFFF"/>
                <w:sz w:val="18"/>
              </w:rPr>
              <w:t>Annual Growth</w:t>
            </w:r>
          </w:p>
        </w:tc>
        <w:tc>
          <w:tcPr>
            <w:tcW w:type="dxa" w:w="2340"/>
            <w:shd w:val="clear" w:color="auto" w:fill="1E3A5F"/>
          </w:tcPr>
          <w:p>
            <w:pPr>
              <w:spacing w:before="80" w:after="80"/>
              <w:jc w:val="center"/>
            </w:pPr>
            <w:r>
              <w:rPr>
                <w:b/>
                <w:color w:val="FFFFFF"/>
                <w:sz w:val="18"/>
              </w:rPr>
              <w:t>12-Month Change</w:t>
            </w:r>
          </w:p>
        </w:tc>
        <w:tc>
          <w:tcPr>
            <w:tcW w:type="dxa" w:w="2340"/>
            <w:shd w:val="clear" w:color="auto" w:fill="1E3A5F"/>
          </w:tcPr>
          <w:p>
            <w:pPr>
              <w:spacing w:before="80" w:after="80"/>
              <w:jc w:val="center"/>
            </w:pPr>
            <w:r>
              <w:rPr>
                <w:b/>
                <w:color w:val="FFFFFF"/>
                <w:sz w:val="18"/>
              </w:rPr>
              <w:t>5-Year Outlook</w:t>
            </w:r>
          </w:p>
        </w:tc>
      </w:tr>
      <w:tr>
        <w:tc>
          <w:tcPr>
            <w:tcW w:type="dxa" w:w="2340"/>
            <w:shd w:val="clear" w:color="auto" w:fill="EFF6FF"/>
          </w:tcPr>
          <w:p>
            <w:pPr>
              <w:spacing w:before="80" w:after="80"/>
              <w:jc w:val="center"/>
            </w:pPr>
            <w:r>
              <w:rPr>
                <w:b/>
                <w:color w:val="1E3A5F"/>
                <w:sz w:val="24"/>
              </w:rPr>
              <w:t>$1.149M</w:t>
            </w:r>
          </w:p>
        </w:tc>
        <w:tc>
          <w:tcPr>
            <w:tcW w:type="dxa" w:w="2340"/>
            <w:shd w:val="clear" w:color="auto" w:fill="DCFCE7"/>
          </w:tcPr>
          <w:p>
            <w:pPr>
              <w:spacing w:before="80" w:after="80"/>
              <w:jc w:val="center"/>
            </w:pPr>
            <w:r>
              <w:rPr>
                <w:b/>
                <w:color w:val="1E3A5F"/>
                <w:sz w:val="24"/>
              </w:rPr>
              <w:t>+15.1%</w:t>
            </w:r>
          </w:p>
        </w:tc>
        <w:tc>
          <w:tcPr>
            <w:tcW w:type="dxa" w:w="2340"/>
            <w:shd w:val="clear" w:color="auto" w:fill="FEF9C3"/>
          </w:tcPr>
          <w:p>
            <w:pPr>
              <w:spacing w:before="80" w:after="80"/>
              <w:jc w:val="center"/>
            </w:pPr>
            <w:r>
              <w:rPr>
                <w:b/>
                <w:color w:val="1E3A5F"/>
                <w:sz w:val="24"/>
              </w:rPr>
              <w:t>Up ~$150K+</w:t>
            </w:r>
          </w:p>
        </w:tc>
        <w:tc>
          <w:tcPr>
            <w:tcW w:type="dxa" w:w="2340"/>
            <w:shd w:val="clear" w:color="auto" w:fill="F5F3FF"/>
          </w:tcPr>
          <w:p>
            <w:pPr>
              <w:spacing w:before="80" w:after="80"/>
              <w:jc w:val="center"/>
            </w:pPr>
            <w:r>
              <w:rPr>
                <w:b/>
                <w:color w:val="1E3A5F"/>
                <w:sz w:val="24"/>
              </w:rPr>
              <w:t>+31% by 2030</w:t>
            </w:r>
          </w:p>
        </w:tc>
      </w:tr>
    </w:tbl>
    <w:p/>
    <w:p>
      <w:pPr>
        <w:spacing w:after="200"/>
      </w:pPr>
      <w:r>
        <w:rPr>
          <w:color w:val="475569"/>
          <w:sz w:val="20"/>
        </w:rPr>
        <w:t>Why Brisbane? Population growth, housing undersupply (96,000 homes short of 2029 target), interstate migration from NSW/VIC, Olympic infrastructure investment, and vacancy rates of 0.9% — the lowest in the country. The southern Brisbane corridor (Moorooka, Salisbury, Archerfield, Acacia Ridge, Coopers Plains) is 18-24 months behind the gentrification wave, making it the prime buy zone right now.</w:t>
      </w:r>
    </w:p>
    <w:p>
      <w:pPr>
        <w:spacing w:before="40" w:after="40"/>
        <w:pBdr>
          <w:bottom w:val="single" w:sz="6" w:space="1" w:color="E2E8F0"/>
        </w:pBdr>
      </w:pPr>
    </w:p>
    <w:p/>
    <w:p>
      <w:pPr>
        <w:spacing w:after="0"/>
      </w:pPr>
      <w:r>
        <w:rPr>
          <w:b/>
          <w:color w:val="1E3A5F"/>
          <w:sz w:val="28"/>
        </w:rPr>
        <w:t>PROPERTY 1  |  BEST OVERALL — AUCTION THIS SUNDAY</w:t>
      </w:r>
    </w:p>
    <w:p>
      <w:pPr>
        <w:spacing w:before="40" w:after="40"/>
        <w:pBdr>
          <w:bottom w:val="single" w:sz="6" w:space="1" w:color="DC2626"/>
        </w:pBdr>
      </w:pPr>
    </w:p>
    <w:p>
      <w:pPr>
        <w:spacing w:before="120" w:after="40"/>
      </w:pPr>
      <w:r>
        <w:rPr>
          <w:b/>
          <w:color w:val="1E3A5F"/>
          <w:sz w:val="30"/>
        </w:rPr>
        <w:t>89 Beatty Road, Archerfield QLD 4108</w:t>
      </w:r>
    </w:p>
    <w:p>
      <w:pPr>
        <w:spacing w:after="120"/>
      </w:pPr>
      <w:r>
        <w:rPr>
          <w:color w:val="64748B"/>
          <w:sz w:val="20"/>
        </w:rPr>
        <w:t xml:space="preserve">  Archerfield QLD 4108  |  Auction — Sunday 29 March 2026</w:t>
      </w:r>
      <w:r>
        <w:rPr>
          <w:b/>
          <w:color w:val="DC2626"/>
          <w:sz w:val="20"/>
        </w:rPr>
        <w:t xml:space="preserve">  |  AUCTION IN 4 DAYS — URGENT</w:t>
      </w:r>
    </w:p>
    <w:tbl>
      <w:tblPr>
        <w:tblW w:type="auto" w:w="0"/>
        <w:jc w:val="left"/>
        <w:tblLook w:firstColumn="1" w:firstRow="1" w:lastColumn="0" w:lastRow="0" w:noHBand="0" w:noVBand="1" w:val="04A0"/>
      </w:tblPr>
      <w:tblGrid>
        <w:gridCol w:w="1872"/>
        <w:gridCol w:w="1872"/>
        <w:gridCol w:w="1872"/>
        <w:gridCol w:w="1872"/>
        <w:gridCol w:w="1872"/>
      </w:tblGrid>
      <w:tr>
        <w:tc>
          <w:tcPr>
            <w:tcW w:type="dxa" w:w="1872"/>
            <w:shd w:val="clear" w:color="auto" w:fill="F0F4FF"/>
          </w:tcPr>
          <w:p>
            <w:pPr>
              <w:spacing w:before="100" w:after="100"/>
              <w:jc w:val="center"/>
            </w:pPr>
            <w:r>
              <w:rPr>
                <w:color w:val="94A3B8"/>
                <w:sz w:val="16"/>
              </w:rPr>
              <w:t>Price</w:t>
              <w:br/>
            </w:r>
            <w:r>
              <w:rPr>
                <w:b/>
                <w:color w:val="1E3A5F"/>
                <w:sz w:val="22"/>
              </w:rPr>
              <w:t>Auction</w:t>
              <w:br/>
              <w:t>(No Reserve)</w:t>
            </w:r>
          </w:p>
        </w:tc>
        <w:tc>
          <w:tcPr>
            <w:tcW w:type="dxa" w:w="1872"/>
            <w:shd w:val="clear" w:color="auto" w:fill="EFF6FF"/>
          </w:tcPr>
          <w:p>
            <w:pPr>
              <w:spacing w:before="100" w:after="100"/>
              <w:jc w:val="center"/>
            </w:pPr>
            <w:r>
              <w:rPr>
                <w:color w:val="94A3B8"/>
                <w:sz w:val="16"/>
              </w:rPr>
              <w:t>Beds</w:t>
              <w:br/>
            </w:r>
            <w:r>
              <w:rPr>
                <w:b/>
                <w:color w:val="2563EB"/>
                <w:sz w:val="22"/>
              </w:rPr>
              <w:t>3</w:t>
            </w:r>
          </w:p>
        </w:tc>
        <w:tc>
          <w:tcPr>
            <w:tcW w:type="dxa" w:w="1872"/>
            <w:shd w:val="clear" w:color="auto" w:fill="F0F4FF"/>
          </w:tcPr>
          <w:p>
            <w:pPr>
              <w:spacing w:before="100" w:after="100"/>
              <w:jc w:val="center"/>
            </w:pPr>
            <w:r>
              <w:rPr>
                <w:color w:val="94A3B8"/>
                <w:sz w:val="16"/>
              </w:rPr>
              <w:t>Baths</w:t>
              <w:br/>
            </w:r>
            <w:r>
              <w:rPr>
                <w:b/>
                <w:color w:val="2563EB"/>
                <w:sz w:val="22"/>
              </w:rPr>
              <w:t>1</w:t>
            </w:r>
          </w:p>
        </w:tc>
        <w:tc>
          <w:tcPr>
            <w:tcW w:type="dxa" w:w="1872"/>
            <w:shd w:val="clear" w:color="auto" w:fill="EFF6FF"/>
          </w:tcPr>
          <w:p>
            <w:pPr>
              <w:spacing w:before="100" w:after="100"/>
              <w:jc w:val="center"/>
            </w:pPr>
            <w:r>
              <w:rPr>
                <w:color w:val="94A3B8"/>
                <w:sz w:val="16"/>
              </w:rPr>
              <w:t>Parking</w:t>
              <w:br/>
            </w:r>
            <w:r>
              <w:rPr>
                <w:b/>
                <w:color w:val="374151"/>
                <w:sz w:val="22"/>
              </w:rPr>
              <w:t>1</w:t>
            </w:r>
          </w:p>
        </w:tc>
        <w:tc>
          <w:tcPr>
            <w:tcW w:type="dxa" w:w="1872"/>
            <w:shd w:val="clear" w:color="auto" w:fill="F0F4FF"/>
          </w:tcPr>
          <w:p>
            <w:pPr>
              <w:spacing w:before="100" w:after="100"/>
              <w:jc w:val="center"/>
            </w:pPr>
            <w:r>
              <w:rPr>
                <w:color w:val="94A3B8"/>
                <w:sz w:val="16"/>
              </w:rPr>
              <w:t>Land</w:t>
              <w:br/>
            </w:r>
            <w:r>
              <w:rPr>
                <w:b/>
                <w:color w:val="16A34A"/>
                <w:sz w:val="22"/>
              </w:rPr>
              <w:t>744 m²</w:t>
            </w:r>
          </w:p>
        </w:tc>
      </w:tr>
    </w:tbl>
    <w:p/>
    <w:p>
      <w:pPr>
        <w:spacing w:after="160"/>
      </w:pPr>
      <w:r>
        <w:rPr>
          <w:color w:val="374151"/>
          <w:sz w:val="20"/>
        </w:rPr>
        <w:t>Classic post-war Queenslander on a massive 744m2 block in Archerfield — the suburb immediately adjacent to the red-hot Moorooka gentrification zone. No price guide at auction signals a motivated vendor. The block size alone is exceptional. Original condition, needs full renovation: kitchen, bathrooms, deck, landscaping. Structurally sound. Perfect buy-renovate-hold or buy-renovate-sell play.</w:t>
      </w:r>
    </w:p>
    <w:p>
      <w:pPr>
        <w:spacing w:after="40"/>
      </w:pPr>
      <w:r>
        <w:rPr>
          <w:b/>
          <w:color w:val="1E3A5F"/>
          <w:sz w:val="20"/>
        </w:rPr>
        <w:t>WHY THIS PROPERTY?</w:t>
      </w:r>
    </w:p>
    <w:p>
      <w:pPr>
        <w:pStyle w:val="ListBullet"/>
        <w:spacing w:after="40"/>
        <w:ind w:left="360"/>
      </w:pPr>
      <w:r>
        <w:rPr>
          <w:color w:val="475569"/>
          <w:sz w:val="20"/>
        </w:rPr>
        <w:t>Massive 744m2 block — potential to raise, renovate or explore subdivision (check BCC DA rules)</w:t>
      </w:r>
    </w:p>
    <w:p>
      <w:pPr>
        <w:pStyle w:val="ListBullet"/>
        <w:spacing w:after="40"/>
        <w:ind w:left="360"/>
      </w:pPr>
      <w:r>
        <w:rPr>
          <w:color w:val="475569"/>
          <w:sz w:val="20"/>
        </w:rPr>
        <w:t>Archerfield is 18-24 months behind Moorooka in the gentrification cycle — buy the wave early</w:t>
      </w:r>
    </w:p>
    <w:p>
      <w:pPr>
        <w:pStyle w:val="ListBullet"/>
        <w:spacing w:after="40"/>
        <w:ind w:left="360"/>
      </w:pPr>
      <w:r>
        <w:rPr>
          <w:color w:val="475569"/>
          <w:sz w:val="20"/>
        </w:rPr>
        <w:t>Recent comparable sales: $638K-$680K unrenovated. Renovated homes hitting $850K-$950K</w:t>
      </w:r>
    </w:p>
    <w:p>
      <w:pPr>
        <w:pStyle w:val="ListBullet"/>
        <w:spacing w:after="40"/>
        <w:ind w:left="360"/>
      </w:pPr>
      <w:r>
        <w:rPr>
          <w:color w:val="475569"/>
          <w:sz w:val="20"/>
        </w:rPr>
        <w:t>11km from Brisbane CBD with good bus and road access</w:t>
      </w:r>
    </w:p>
    <w:p>
      <w:pPr>
        <w:pStyle w:val="ListBullet"/>
        <w:spacing w:after="40"/>
        <w:ind w:left="360"/>
      </w:pPr>
      <w:r>
        <w:rPr>
          <w:color w:val="475569"/>
          <w:sz w:val="20"/>
        </w:rPr>
        <w:t>No price guide = vendor flexibility — strong negotiating position at auction</w:t>
      </w:r>
    </w:p>
    <w:p>
      <w:pPr>
        <w:pStyle w:val="ListBullet"/>
        <w:spacing w:after="40"/>
        <w:ind w:left="360"/>
      </w:pPr>
      <w:r>
        <w:rPr>
          <w:color w:val="475569"/>
          <w:sz w:val="20"/>
        </w:rPr>
        <w:t>Growing young family demographic moving into the area</w:t>
      </w:r>
    </w:p>
    <w:p/>
    <w:p>
      <w:pPr>
        <w:spacing w:after="40"/>
      </w:pPr>
      <w:r>
        <w:rPr>
          <w:b/>
          <w:color w:val="1E3A5F"/>
          <w:sz w:val="20"/>
        </w:rPr>
        <w:t>RENOVATION ROI ESTIMATE</w:t>
      </w:r>
    </w:p>
    <w:tbl>
      <w:tblPr>
        <w:tblStyle w:val="TableGrid"/>
        <w:tblW w:type="auto" w:w="0"/>
        <w:tblLook w:firstColumn="1" w:firstRow="1" w:lastColumn="0" w:lastRow="0" w:noHBand="0" w:noVBand="1" w:val="04A0"/>
      </w:tblPr>
      <w:tblGrid>
        <w:gridCol w:w="4680"/>
        <w:gridCol w:w="4680"/>
      </w:tblGrid>
      <w:tr>
        <w:tc>
          <w:tcPr>
            <w:tcW w:type="dxa" w:w="4680"/>
            <w:shd w:val="clear" w:color="auto" w:fill="F1F5F9"/>
          </w:tcPr>
          <w:p>
            <w:pPr>
              <w:spacing w:before="60" w:after="60"/>
            </w:pPr>
            <w:r>
              <w:rPr>
                <w:b w:val="0"/>
                <w:sz w:val="20"/>
              </w:rPr>
              <w:t>Suburb Median Price</w:t>
            </w:r>
          </w:p>
        </w:tc>
        <w:tc>
          <w:tcPr>
            <w:tcW w:type="dxa" w:w="4680"/>
            <w:shd w:val="clear" w:color="auto" w:fill="F1F5F9"/>
          </w:tcPr>
          <w:p>
            <w:pPr>
              <w:spacing w:before="60" w:after="60"/>
            </w:pPr>
            <w:r>
              <w:rPr>
                <w:b w:val="0"/>
                <w:sz w:val="20"/>
              </w:rPr>
              <w:t>$895,000</w:t>
            </w:r>
          </w:p>
        </w:tc>
      </w:tr>
      <w:tr>
        <w:tc>
          <w:tcPr>
            <w:tcW w:type="dxa" w:w="4680"/>
            <w:shd w:val="clear" w:color="auto" w:fill="F1F5F9"/>
          </w:tcPr>
          <w:p>
            <w:pPr>
              <w:spacing w:before="60" w:after="60"/>
            </w:pPr>
            <w:r>
              <w:rPr>
                <w:b w:val="0"/>
                <w:sz w:val="20"/>
              </w:rPr>
              <w:t>12-Month Growth Rate</w:t>
            </w:r>
          </w:p>
        </w:tc>
        <w:tc>
          <w:tcPr>
            <w:tcW w:type="dxa" w:w="4680"/>
            <w:shd w:val="clear" w:color="auto" w:fill="F1F5F9"/>
          </w:tcPr>
          <w:p>
            <w:pPr>
              <w:spacing w:before="60" w:after="60"/>
            </w:pPr>
            <w:r>
              <w:rPr>
                <w:b w:val="0"/>
                <w:sz w:val="20"/>
              </w:rPr>
              <w:t>+13.3% (12 months)</w:t>
            </w:r>
          </w:p>
        </w:tc>
      </w:tr>
      <w:tr>
        <w:tc>
          <w:tcPr>
            <w:tcW w:type="dxa" w:w="4680"/>
            <w:shd w:val="clear" w:color="auto" w:fill="DBEAFE"/>
          </w:tcPr>
          <w:p>
            <w:pPr>
              <w:spacing w:before="60" w:after="60"/>
            </w:pPr>
            <w:r>
              <w:rPr>
                <w:b/>
                <w:sz w:val="20"/>
              </w:rPr>
              <w:t>Estimated Purchase Price</w:t>
            </w:r>
          </w:p>
        </w:tc>
        <w:tc>
          <w:tcPr>
            <w:tcW w:type="dxa" w:w="4680"/>
            <w:shd w:val="clear" w:color="auto" w:fill="DBEAFE"/>
          </w:tcPr>
          <w:p>
            <w:pPr>
              <w:spacing w:before="60" w:after="60"/>
            </w:pPr>
            <w:r>
              <w:rPr>
                <w:b/>
                <w:sz w:val="20"/>
              </w:rPr>
              <w:t>~$720,000 - $780,000 (auction estimate)</w:t>
            </w:r>
          </w:p>
        </w:tc>
      </w:tr>
      <w:tr>
        <w:tc>
          <w:tcPr>
            <w:tcW w:type="dxa" w:w="4680"/>
            <w:shd w:val="clear" w:color="auto" w:fill="FEF9C3"/>
          </w:tcPr>
          <w:p>
            <w:pPr>
              <w:spacing w:before="60" w:after="60"/>
            </w:pPr>
            <w:r>
              <w:rPr>
                <w:b/>
                <w:sz w:val="20"/>
              </w:rPr>
              <w:t>Renovation Budget (est.)</w:t>
            </w:r>
          </w:p>
        </w:tc>
        <w:tc>
          <w:tcPr>
            <w:tcW w:type="dxa" w:w="4680"/>
            <w:shd w:val="clear" w:color="auto" w:fill="FEF9C3"/>
          </w:tcPr>
          <w:p>
            <w:pPr>
              <w:spacing w:before="60" w:after="60"/>
            </w:pPr>
            <w:r>
              <w:rPr>
                <w:b/>
                <w:sz w:val="20"/>
              </w:rPr>
              <w:t>$120,000 - $160,000 (full reno: kitchen, baths, deck, paint, landscaping)</w:t>
            </w:r>
          </w:p>
        </w:tc>
      </w:tr>
      <w:tr>
        <w:tc>
          <w:tcPr>
            <w:tcW w:type="dxa" w:w="4680"/>
            <w:shd w:val="clear" w:color="auto" w:fill="DCFCE7"/>
          </w:tcPr>
          <w:p>
            <w:pPr>
              <w:spacing w:before="60" w:after="60"/>
            </w:pPr>
            <w:r>
              <w:rPr>
                <w:b/>
                <w:sz w:val="20"/>
              </w:rPr>
              <w:t>Post-Renovation Value (est.)</w:t>
            </w:r>
          </w:p>
        </w:tc>
        <w:tc>
          <w:tcPr>
            <w:tcW w:type="dxa" w:w="4680"/>
            <w:shd w:val="clear" w:color="auto" w:fill="DCFCE7"/>
          </w:tcPr>
          <w:p>
            <w:pPr>
              <w:spacing w:before="60" w:after="60"/>
            </w:pPr>
            <w:r>
              <w:rPr>
                <w:b/>
                <w:color w:val="16A34A"/>
                <w:sz w:val="20"/>
              </w:rPr>
              <w:t>$950,000 - $1,050,000</w:t>
            </w:r>
          </w:p>
        </w:tc>
      </w:tr>
    </w:tbl>
    <w:p>
      <w:pPr>
        <w:spacing w:before="80" w:after="80"/>
      </w:pPr>
      <w:r>
        <w:rPr>
          <w:b/>
          <w:color w:val="16A34A"/>
          <w:sz w:val="24"/>
        </w:rPr>
        <w:t xml:space="preserve">  POTENTIAL UPLIFT: $170,000 - $290,000</w:t>
      </w:r>
    </w:p>
    <w:p>
      <w:pPr>
        <w:spacing w:after="80"/>
      </w:pPr>
      <w:r>
        <w:rPr>
          <w:i/>
          <w:color w:val="2563EB"/>
          <w:sz w:val="18"/>
        </w:rPr>
        <w:t>View Listing: https://www.domain.com.au/sale/archerfield-qld-4108/house/</w:t>
      </w:r>
    </w:p>
    <w:p>
      <w:pPr>
        <w:spacing w:before="40" w:after="40"/>
        <w:pBdr>
          <w:bottom w:val="single" w:sz="6" w:space="1" w:color="E2E8F0"/>
        </w:pBdr>
      </w:pPr>
    </w:p>
    <w:p/>
    <w:p>
      <w:pPr>
        <w:spacing w:after="0"/>
      </w:pPr>
      <w:r>
        <w:rPr>
          <w:b/>
          <w:color w:val="1E3A5F"/>
          <w:sz w:val="28"/>
        </w:rPr>
        <w:t>PROPERTY 2  |  BEST VALUE — MOTIVATED SELLER</w:t>
      </w:r>
    </w:p>
    <w:p>
      <w:pPr>
        <w:spacing w:before="40" w:after="40"/>
        <w:pBdr>
          <w:bottom w:val="single" w:sz="6" w:space="1" w:color="CA8A04"/>
        </w:pBdr>
      </w:pPr>
    </w:p>
    <w:p>
      <w:pPr>
        <w:spacing w:before="120" w:after="40"/>
      </w:pPr>
      <w:r>
        <w:rPr>
          <w:b/>
          <w:color w:val="1E3A5F"/>
          <w:sz w:val="30"/>
        </w:rPr>
        <w:t>33 Bovey Street, Coopers Plains QLD 4108</w:t>
      </w:r>
    </w:p>
    <w:p>
      <w:pPr>
        <w:spacing w:after="120"/>
      </w:pPr>
      <w:r>
        <w:rPr>
          <w:color w:val="64748B"/>
          <w:sz w:val="20"/>
        </w:rPr>
        <w:t xml:space="preserve">  Coopers Plains QLD 4108  |  For Sale — Submit Offers</w:t>
      </w:r>
      <w:r>
        <w:rPr>
          <w:b/>
          <w:color w:val="CA8A04"/>
          <w:sz w:val="20"/>
        </w:rPr>
        <w:t xml:space="preserve">  |  Owners will consider all serious offers</w:t>
      </w:r>
    </w:p>
    <w:tbl>
      <w:tblPr>
        <w:tblW w:type="auto" w:w="0"/>
        <w:jc w:val="left"/>
        <w:tblLook w:firstColumn="1" w:firstRow="1" w:lastColumn="0" w:lastRow="0" w:noHBand="0" w:noVBand="1" w:val="04A0"/>
      </w:tblPr>
      <w:tblGrid>
        <w:gridCol w:w="1872"/>
        <w:gridCol w:w="1872"/>
        <w:gridCol w:w="1872"/>
        <w:gridCol w:w="1872"/>
        <w:gridCol w:w="1872"/>
      </w:tblGrid>
      <w:tr>
        <w:tc>
          <w:tcPr>
            <w:tcW w:type="dxa" w:w="1872"/>
            <w:shd w:val="clear" w:color="auto" w:fill="F0F4FF"/>
          </w:tcPr>
          <w:p>
            <w:pPr>
              <w:spacing w:before="100" w:after="100"/>
              <w:jc w:val="center"/>
            </w:pPr>
            <w:r>
              <w:rPr>
                <w:color w:val="94A3B8"/>
                <w:sz w:val="16"/>
              </w:rPr>
              <w:t>Price</w:t>
              <w:br/>
            </w:r>
            <w:r>
              <w:rPr>
                <w:b/>
                <w:color w:val="1E3A5F"/>
                <w:sz w:val="22"/>
              </w:rPr>
              <w:t>Submit Offers</w:t>
              <w:br/>
              <w:t>(Motivated Vendor)</w:t>
            </w:r>
          </w:p>
        </w:tc>
        <w:tc>
          <w:tcPr>
            <w:tcW w:type="dxa" w:w="1872"/>
            <w:shd w:val="clear" w:color="auto" w:fill="EFF6FF"/>
          </w:tcPr>
          <w:p>
            <w:pPr>
              <w:spacing w:before="100" w:after="100"/>
              <w:jc w:val="center"/>
            </w:pPr>
            <w:r>
              <w:rPr>
                <w:color w:val="94A3B8"/>
                <w:sz w:val="16"/>
              </w:rPr>
              <w:t>Beds</w:t>
              <w:br/>
            </w:r>
            <w:r>
              <w:rPr>
                <w:b/>
                <w:color w:val="2563EB"/>
                <w:sz w:val="22"/>
              </w:rPr>
              <w:t>3</w:t>
            </w:r>
          </w:p>
        </w:tc>
        <w:tc>
          <w:tcPr>
            <w:tcW w:type="dxa" w:w="1872"/>
            <w:shd w:val="clear" w:color="auto" w:fill="F0F4FF"/>
          </w:tcPr>
          <w:p>
            <w:pPr>
              <w:spacing w:before="100" w:after="100"/>
              <w:jc w:val="center"/>
            </w:pPr>
            <w:r>
              <w:rPr>
                <w:color w:val="94A3B8"/>
                <w:sz w:val="16"/>
              </w:rPr>
              <w:t>Baths</w:t>
              <w:br/>
            </w:r>
            <w:r>
              <w:rPr>
                <w:b/>
                <w:color w:val="2563EB"/>
                <w:sz w:val="22"/>
              </w:rPr>
              <w:t>1</w:t>
            </w:r>
          </w:p>
        </w:tc>
        <w:tc>
          <w:tcPr>
            <w:tcW w:type="dxa" w:w="1872"/>
            <w:shd w:val="clear" w:color="auto" w:fill="EFF6FF"/>
          </w:tcPr>
          <w:p>
            <w:pPr>
              <w:spacing w:before="100" w:after="100"/>
              <w:jc w:val="center"/>
            </w:pPr>
            <w:r>
              <w:rPr>
                <w:color w:val="94A3B8"/>
                <w:sz w:val="16"/>
              </w:rPr>
              <w:t>Parking</w:t>
              <w:br/>
            </w:r>
            <w:r>
              <w:rPr>
                <w:b/>
                <w:color w:val="374151"/>
                <w:sz w:val="22"/>
              </w:rPr>
              <w:t>2</w:t>
            </w:r>
          </w:p>
        </w:tc>
        <w:tc>
          <w:tcPr>
            <w:tcW w:type="dxa" w:w="1872"/>
            <w:shd w:val="clear" w:color="auto" w:fill="F0F4FF"/>
          </w:tcPr>
          <w:p>
            <w:pPr>
              <w:spacing w:before="100" w:after="100"/>
              <w:jc w:val="center"/>
            </w:pPr>
            <w:r>
              <w:rPr>
                <w:color w:val="94A3B8"/>
                <w:sz w:val="16"/>
              </w:rPr>
              <w:t>Land</w:t>
              <w:br/>
            </w:r>
            <w:r>
              <w:rPr>
                <w:b/>
                <w:color w:val="16A34A"/>
                <w:sz w:val="22"/>
              </w:rPr>
              <w:t>809 m²</w:t>
            </w:r>
          </w:p>
        </w:tc>
      </w:tr>
    </w:tbl>
    <w:p/>
    <w:p>
      <w:pPr>
        <w:spacing w:after="160"/>
      </w:pPr>
      <w:r>
        <w:rPr>
          <w:color w:val="374151"/>
          <w:sz w:val="20"/>
        </w:rPr>
        <w:t>One of the largest blocks available in the inner south Brisbane corridor at 809m2. The vendor is clearly motivated. This is a post-war original in Coopers Plains, sitting right on the Moorooka/Salisbury gentrification border. The land content alone makes this exceptional — 809m2 that close to the CBD is virtually impossible to find. Full cosmetic renovation needed: kitchen, bathroom, flooring, paint, outdoor area.</w:t>
      </w:r>
    </w:p>
    <w:p>
      <w:pPr>
        <w:spacing w:after="40"/>
      </w:pPr>
      <w:r>
        <w:rPr>
          <w:b/>
          <w:color w:val="1E3A5F"/>
          <w:sz w:val="20"/>
        </w:rPr>
        <w:t>WHY THIS PROPERTY?</w:t>
      </w:r>
    </w:p>
    <w:p>
      <w:pPr>
        <w:pStyle w:val="ListBullet"/>
        <w:spacing w:after="40"/>
        <w:ind w:left="360"/>
      </w:pPr>
      <w:r>
        <w:rPr>
          <w:color w:val="475569"/>
          <w:sz w:val="20"/>
        </w:rPr>
        <w:t>809m2 block — one of the largest lots available in inner south Brisbane right now</w:t>
      </w:r>
    </w:p>
    <w:p>
      <w:pPr>
        <w:pStyle w:val="ListBullet"/>
        <w:spacing w:after="40"/>
        <w:ind w:left="360"/>
      </w:pPr>
      <w:r>
        <w:rPr>
          <w:color w:val="475569"/>
          <w:sz w:val="20"/>
        </w:rPr>
        <w:t>'Owners will consider all serious offers' = below-market deal is possible if you act fast</w:t>
      </w:r>
    </w:p>
    <w:p>
      <w:pPr>
        <w:pStyle w:val="ListBullet"/>
        <w:spacing w:after="40"/>
        <w:ind w:left="360"/>
      </w:pPr>
      <w:r>
        <w:rPr>
          <w:color w:val="475569"/>
          <w:sz w:val="20"/>
        </w:rPr>
        <w:t>Coopers Plains median ~$900K and climbing — this is priced below median for an oversized block</w:t>
      </w:r>
    </w:p>
    <w:p>
      <w:pPr>
        <w:pStyle w:val="ListBullet"/>
        <w:spacing w:after="40"/>
        <w:ind w:left="360"/>
      </w:pPr>
      <w:r>
        <w:rPr>
          <w:color w:val="475569"/>
          <w:sz w:val="20"/>
        </w:rPr>
        <w:t>Walking distance to Coopers Plains train station — strong rental demand</w:t>
      </w:r>
    </w:p>
    <w:p>
      <w:pPr>
        <w:pStyle w:val="ListBullet"/>
        <w:spacing w:after="40"/>
        <w:ind w:left="360"/>
      </w:pPr>
      <w:r>
        <w:rPr>
          <w:color w:val="475569"/>
          <w:sz w:val="20"/>
        </w:rPr>
        <w:t>2-car parking already in place — valuable for renters and resale</w:t>
      </w:r>
    </w:p>
    <w:p>
      <w:pPr>
        <w:pStyle w:val="ListBullet"/>
        <w:spacing w:after="40"/>
        <w:ind w:left="360"/>
      </w:pPr>
      <w:r>
        <w:rPr>
          <w:color w:val="475569"/>
          <w:sz w:val="20"/>
        </w:rPr>
        <w:t>Potential to rent while renovating or subdivide the large block (STCA)</w:t>
      </w:r>
    </w:p>
    <w:p/>
    <w:p>
      <w:pPr>
        <w:spacing w:after="40"/>
      </w:pPr>
      <w:r>
        <w:rPr>
          <w:b/>
          <w:color w:val="1E3A5F"/>
          <w:sz w:val="20"/>
        </w:rPr>
        <w:t>RENOVATION ROI ESTIMATE</w:t>
      </w:r>
    </w:p>
    <w:tbl>
      <w:tblPr>
        <w:tblStyle w:val="TableGrid"/>
        <w:tblW w:type="auto" w:w="0"/>
        <w:tblLook w:firstColumn="1" w:firstRow="1" w:lastColumn="0" w:lastRow="0" w:noHBand="0" w:noVBand="1" w:val="04A0"/>
      </w:tblPr>
      <w:tblGrid>
        <w:gridCol w:w="4680"/>
        <w:gridCol w:w="4680"/>
      </w:tblGrid>
      <w:tr>
        <w:tc>
          <w:tcPr>
            <w:tcW w:type="dxa" w:w="4680"/>
            <w:shd w:val="clear" w:color="auto" w:fill="F1F5F9"/>
          </w:tcPr>
          <w:p>
            <w:pPr>
              <w:spacing w:before="60" w:after="60"/>
            </w:pPr>
            <w:r>
              <w:rPr>
                <w:b w:val="0"/>
                <w:sz w:val="20"/>
              </w:rPr>
              <w:t>Suburb Median Price</w:t>
            </w:r>
          </w:p>
        </w:tc>
        <w:tc>
          <w:tcPr>
            <w:tcW w:type="dxa" w:w="4680"/>
            <w:shd w:val="clear" w:color="auto" w:fill="F1F5F9"/>
          </w:tcPr>
          <w:p>
            <w:pPr>
              <w:spacing w:before="60" w:after="60"/>
            </w:pPr>
            <w:r>
              <w:rPr>
                <w:b w:val="0"/>
                <w:sz w:val="20"/>
              </w:rPr>
              <w:t>~$900,000</w:t>
            </w:r>
          </w:p>
        </w:tc>
      </w:tr>
      <w:tr>
        <w:tc>
          <w:tcPr>
            <w:tcW w:type="dxa" w:w="4680"/>
            <w:shd w:val="clear" w:color="auto" w:fill="F1F5F9"/>
          </w:tcPr>
          <w:p>
            <w:pPr>
              <w:spacing w:before="60" w:after="60"/>
            </w:pPr>
            <w:r>
              <w:rPr>
                <w:b w:val="0"/>
                <w:sz w:val="20"/>
              </w:rPr>
              <w:t>12-Month Growth Rate</w:t>
            </w:r>
          </w:p>
        </w:tc>
        <w:tc>
          <w:tcPr>
            <w:tcW w:type="dxa" w:w="4680"/>
            <w:shd w:val="clear" w:color="auto" w:fill="F1F5F9"/>
          </w:tcPr>
          <w:p>
            <w:pPr>
              <w:spacing w:before="60" w:after="60"/>
            </w:pPr>
            <w:r>
              <w:rPr>
                <w:b w:val="0"/>
                <w:sz w:val="20"/>
              </w:rPr>
              <w:t>+12% (12 months est.)</w:t>
            </w:r>
          </w:p>
        </w:tc>
      </w:tr>
      <w:tr>
        <w:tc>
          <w:tcPr>
            <w:tcW w:type="dxa" w:w="4680"/>
            <w:shd w:val="clear" w:color="auto" w:fill="DBEAFE"/>
          </w:tcPr>
          <w:p>
            <w:pPr>
              <w:spacing w:before="60" w:after="60"/>
            </w:pPr>
            <w:r>
              <w:rPr>
                <w:b/>
                <w:sz w:val="20"/>
              </w:rPr>
              <w:t>Estimated Purchase Price</w:t>
            </w:r>
          </w:p>
        </w:tc>
        <w:tc>
          <w:tcPr>
            <w:tcW w:type="dxa" w:w="4680"/>
            <w:shd w:val="clear" w:color="auto" w:fill="DBEAFE"/>
          </w:tcPr>
          <w:p>
            <w:pPr>
              <w:spacing w:before="60" w:after="60"/>
            </w:pPr>
            <w:r>
              <w:rPr>
                <w:b/>
                <w:sz w:val="20"/>
              </w:rPr>
              <w:t>~$800,000 - $850,000 (offer below asking)</w:t>
            </w:r>
          </w:p>
        </w:tc>
      </w:tr>
      <w:tr>
        <w:tc>
          <w:tcPr>
            <w:tcW w:type="dxa" w:w="4680"/>
            <w:shd w:val="clear" w:color="auto" w:fill="FEF9C3"/>
          </w:tcPr>
          <w:p>
            <w:pPr>
              <w:spacing w:before="60" w:after="60"/>
            </w:pPr>
            <w:r>
              <w:rPr>
                <w:b/>
                <w:sz w:val="20"/>
              </w:rPr>
              <w:t>Renovation Budget (est.)</w:t>
            </w:r>
          </w:p>
        </w:tc>
        <w:tc>
          <w:tcPr>
            <w:tcW w:type="dxa" w:w="4680"/>
            <w:shd w:val="clear" w:color="auto" w:fill="FEF9C3"/>
          </w:tcPr>
          <w:p>
            <w:pPr>
              <w:spacing w:before="60" w:after="60"/>
            </w:pPr>
            <w:r>
              <w:rPr>
                <w:b/>
                <w:sz w:val="20"/>
              </w:rPr>
              <w:t>$100,000 - $140,000 (cosmetic: kitchen, bath, floors, paint, deck)</w:t>
            </w:r>
          </w:p>
        </w:tc>
      </w:tr>
      <w:tr>
        <w:tc>
          <w:tcPr>
            <w:tcW w:type="dxa" w:w="4680"/>
            <w:shd w:val="clear" w:color="auto" w:fill="DCFCE7"/>
          </w:tcPr>
          <w:p>
            <w:pPr>
              <w:spacing w:before="60" w:after="60"/>
            </w:pPr>
            <w:r>
              <w:rPr>
                <w:b/>
                <w:sz w:val="20"/>
              </w:rPr>
              <w:t>Post-Renovation Value (est.)</w:t>
            </w:r>
          </w:p>
        </w:tc>
        <w:tc>
          <w:tcPr>
            <w:tcW w:type="dxa" w:w="4680"/>
            <w:shd w:val="clear" w:color="auto" w:fill="DCFCE7"/>
          </w:tcPr>
          <w:p>
            <w:pPr>
              <w:spacing w:before="60" w:after="60"/>
            </w:pPr>
            <w:r>
              <w:rPr>
                <w:b/>
                <w:color w:val="16A34A"/>
                <w:sz w:val="20"/>
              </w:rPr>
              <w:t>$1,050,000 - $1,150,000</w:t>
            </w:r>
          </w:p>
        </w:tc>
      </w:tr>
    </w:tbl>
    <w:p>
      <w:pPr>
        <w:spacing w:before="80" w:after="80"/>
      </w:pPr>
      <w:r>
        <w:rPr>
          <w:b/>
          <w:color w:val="16A34A"/>
          <w:sz w:val="24"/>
        </w:rPr>
        <w:t xml:space="preserve">  POTENTIAL UPLIFT: $200,000 - $300,000</w:t>
      </w:r>
    </w:p>
    <w:p>
      <w:pPr>
        <w:spacing w:after="80"/>
      </w:pPr>
      <w:r>
        <w:rPr>
          <w:i/>
          <w:color w:val="2563EB"/>
          <w:sz w:val="18"/>
        </w:rPr>
        <w:t>View Listing: https://www.domain.com.au/sale/salisbury-qld-4107/house/?price=0-1100000&amp;sort=price-asc</w:t>
      </w:r>
    </w:p>
    <w:p>
      <w:pPr>
        <w:spacing w:before="40" w:after="40"/>
        <w:pBdr>
          <w:bottom w:val="single" w:sz="6" w:space="1" w:color="E2E8F0"/>
        </w:pBdr>
      </w:pPr>
    </w:p>
    <w:p/>
    <w:p>
      <w:pPr>
        <w:spacing w:after="0"/>
      </w:pPr>
      <w:r>
        <w:rPr>
          <w:b/>
          <w:color w:val="1E3A5F"/>
          <w:sz w:val="28"/>
        </w:rPr>
        <w:t>PROPERTY 3  |  SLEEPER PICK — ACACIA RIDGE</w:t>
      </w:r>
    </w:p>
    <w:p>
      <w:pPr>
        <w:spacing w:before="40" w:after="40"/>
        <w:pBdr>
          <w:bottom w:val="single" w:sz="6" w:space="1" w:color="16A34A"/>
        </w:pBdr>
      </w:pPr>
    </w:p>
    <w:p>
      <w:pPr>
        <w:spacing w:before="120" w:after="40"/>
      </w:pPr>
      <w:r>
        <w:rPr>
          <w:b/>
          <w:color w:val="1E3A5F"/>
          <w:sz w:val="30"/>
        </w:rPr>
        <w:t>Acacia Ridge — Multiple Auctions Saturday 28 March</w:t>
      </w:r>
    </w:p>
    <w:p>
      <w:pPr>
        <w:spacing w:after="120"/>
      </w:pPr>
      <w:r>
        <w:rPr>
          <w:color w:val="64748B"/>
          <w:sz w:val="20"/>
        </w:rPr>
        <w:t xml:space="preserve">  Acacia Ridge QLD 4110  |  Auction — Saturday 28 March 2026</w:t>
      </w:r>
      <w:r>
        <w:rPr>
          <w:b/>
          <w:color w:val="16A34A"/>
          <w:sz w:val="20"/>
        </w:rPr>
        <w:t xml:space="preserve">  |  10 Harpullia St &amp; 40 Alderwood St both going Saturday</w:t>
      </w:r>
    </w:p>
    <w:tbl>
      <w:tblPr>
        <w:tblW w:type="auto" w:w="0"/>
        <w:jc w:val="left"/>
        <w:tblLook w:firstColumn="1" w:firstRow="1" w:lastColumn="0" w:lastRow="0" w:noHBand="0" w:noVBand="1" w:val="04A0"/>
      </w:tblPr>
      <w:tblGrid>
        <w:gridCol w:w="1872"/>
        <w:gridCol w:w="1872"/>
        <w:gridCol w:w="1872"/>
        <w:gridCol w:w="1872"/>
        <w:gridCol w:w="1872"/>
      </w:tblGrid>
      <w:tr>
        <w:tc>
          <w:tcPr>
            <w:tcW w:type="dxa" w:w="1872"/>
            <w:shd w:val="clear" w:color="auto" w:fill="F0F4FF"/>
          </w:tcPr>
          <w:p>
            <w:pPr>
              <w:spacing w:before="100" w:after="100"/>
              <w:jc w:val="center"/>
            </w:pPr>
            <w:r>
              <w:rPr>
                <w:color w:val="94A3B8"/>
                <w:sz w:val="16"/>
              </w:rPr>
              <w:t>Price</w:t>
              <w:br/>
            </w:r>
            <w:r>
              <w:rPr>
                <w:b/>
                <w:color w:val="1E3A5F"/>
                <w:sz w:val="22"/>
              </w:rPr>
              <w:t>Auction</w:t>
              <w:br/>
              <w:t>(Sat 28 March)</w:t>
            </w:r>
          </w:p>
        </w:tc>
        <w:tc>
          <w:tcPr>
            <w:tcW w:type="dxa" w:w="1872"/>
            <w:shd w:val="clear" w:color="auto" w:fill="EFF6FF"/>
          </w:tcPr>
          <w:p>
            <w:pPr>
              <w:spacing w:before="100" w:after="100"/>
              <w:jc w:val="center"/>
            </w:pPr>
            <w:r>
              <w:rPr>
                <w:color w:val="94A3B8"/>
                <w:sz w:val="16"/>
              </w:rPr>
              <w:t>Beds</w:t>
              <w:br/>
            </w:r>
            <w:r>
              <w:rPr>
                <w:b/>
                <w:color w:val="2563EB"/>
                <w:sz w:val="22"/>
              </w:rPr>
              <w:t>3-4</w:t>
            </w:r>
          </w:p>
        </w:tc>
        <w:tc>
          <w:tcPr>
            <w:tcW w:type="dxa" w:w="1872"/>
            <w:shd w:val="clear" w:color="auto" w:fill="F0F4FF"/>
          </w:tcPr>
          <w:p>
            <w:pPr>
              <w:spacing w:before="100" w:after="100"/>
              <w:jc w:val="center"/>
            </w:pPr>
            <w:r>
              <w:rPr>
                <w:color w:val="94A3B8"/>
                <w:sz w:val="16"/>
              </w:rPr>
              <w:t>Baths</w:t>
              <w:br/>
            </w:r>
            <w:r>
              <w:rPr>
                <w:b/>
                <w:color w:val="2563EB"/>
                <w:sz w:val="22"/>
              </w:rPr>
              <w:t>1-2</w:t>
            </w:r>
          </w:p>
        </w:tc>
        <w:tc>
          <w:tcPr>
            <w:tcW w:type="dxa" w:w="1872"/>
            <w:shd w:val="clear" w:color="auto" w:fill="EFF6FF"/>
          </w:tcPr>
          <w:p>
            <w:pPr>
              <w:spacing w:before="100" w:after="100"/>
              <w:jc w:val="center"/>
            </w:pPr>
            <w:r>
              <w:rPr>
                <w:color w:val="94A3B8"/>
                <w:sz w:val="16"/>
              </w:rPr>
              <w:t>Parking</w:t>
              <w:br/>
            </w:r>
            <w:r>
              <w:rPr>
                <w:b/>
                <w:color w:val="374151"/>
                <w:sz w:val="22"/>
              </w:rPr>
              <w:t>2-4</w:t>
            </w:r>
          </w:p>
        </w:tc>
        <w:tc>
          <w:tcPr>
            <w:tcW w:type="dxa" w:w="1872"/>
            <w:shd w:val="clear" w:color="auto" w:fill="F0F4FF"/>
          </w:tcPr>
          <w:p>
            <w:pPr>
              <w:spacing w:before="100" w:after="100"/>
              <w:jc w:val="center"/>
            </w:pPr>
            <w:r>
              <w:rPr>
                <w:color w:val="94A3B8"/>
                <w:sz w:val="16"/>
              </w:rPr>
              <w:t>Land</w:t>
              <w:br/>
            </w:r>
            <w:r>
              <w:rPr>
                <w:b/>
                <w:color w:val="16A34A"/>
                <w:sz w:val="22"/>
              </w:rPr>
              <w:t>600-730 m²</w:t>
            </w:r>
          </w:p>
        </w:tc>
      </w:tr>
    </w:tbl>
    <w:p/>
    <w:p>
      <w:pPr>
        <w:spacing w:after="160"/>
      </w:pPr>
      <w:r>
        <w:rPr>
          <w:color w:val="374151"/>
          <w:sz w:val="20"/>
        </w:rPr>
        <w:t>Two properties hitting auction this Saturday in Acacia Ridge — an under-the-radar suburb posting 13.3% growth in 12 months with a median of $895K. Both are classic post-war homes on 600-730m2 blocks needing cosmetic renovation. Acacia Ridge sits 13km from CBD, bordering Salisbury and Moorooka's growth corridor. This is exactly where Moorooka was 3 years ago. Entry points still under $800K.</w:t>
      </w:r>
    </w:p>
    <w:p>
      <w:pPr>
        <w:spacing w:after="40"/>
      </w:pPr>
      <w:r>
        <w:rPr>
          <w:b/>
          <w:color w:val="1E3A5F"/>
          <w:sz w:val="20"/>
        </w:rPr>
        <w:t>WHY THIS PROPERTY?</w:t>
      </w:r>
    </w:p>
    <w:p>
      <w:pPr>
        <w:pStyle w:val="ListBullet"/>
        <w:spacing w:after="40"/>
        <w:ind w:left="360"/>
      </w:pPr>
      <w:r>
        <w:rPr>
          <w:color w:val="475569"/>
          <w:sz w:val="20"/>
        </w:rPr>
        <w:t>13.3% annual growth — outperforming Brisbane average — and still under the radar</w:t>
      </w:r>
    </w:p>
    <w:p>
      <w:pPr>
        <w:pStyle w:val="ListBullet"/>
        <w:spacing w:after="40"/>
        <w:ind w:left="360"/>
      </w:pPr>
      <w:r>
        <w:rPr>
          <w:color w:val="475569"/>
          <w:sz w:val="20"/>
        </w:rPr>
        <w:t>Entry prices still under $800K for original homes — widest margin for renovation profit</w:t>
      </w:r>
    </w:p>
    <w:p>
      <w:pPr>
        <w:pStyle w:val="ListBullet"/>
        <w:spacing w:after="40"/>
        <w:ind w:left="360"/>
      </w:pPr>
      <w:r>
        <w:rPr>
          <w:color w:val="475569"/>
          <w:sz w:val="20"/>
        </w:rPr>
        <w:t>Both going to auction Saturday — attend both to understand the market depth</w:t>
      </w:r>
    </w:p>
    <w:p>
      <w:pPr>
        <w:pStyle w:val="ListBullet"/>
        <w:spacing w:after="40"/>
        <w:ind w:left="360"/>
      </w:pPr>
      <w:r>
        <w:rPr>
          <w:color w:val="475569"/>
          <w:sz w:val="20"/>
        </w:rPr>
        <w:t>Suburb borders Salisbury and Moorooka — same infrastructure, cheaper entry point</w:t>
      </w:r>
    </w:p>
    <w:p>
      <w:pPr>
        <w:pStyle w:val="ListBullet"/>
        <w:spacing w:after="40"/>
        <w:ind w:left="360"/>
      </w:pPr>
      <w:r>
        <w:rPr>
          <w:color w:val="475569"/>
          <w:sz w:val="20"/>
        </w:rPr>
        <w:t>4-bed homes with multiple car spaces = strong rental yield while you hold</w:t>
      </w:r>
    </w:p>
    <w:p>
      <w:pPr>
        <w:pStyle w:val="ListBullet"/>
        <w:spacing w:after="40"/>
        <w:ind w:left="360"/>
      </w:pPr>
      <w:r>
        <w:rPr>
          <w:color w:val="475569"/>
          <w:sz w:val="20"/>
        </w:rPr>
        <w:t>The '3 years behind Moorooka' dynamic means the growth runway is long</w:t>
      </w:r>
    </w:p>
    <w:p/>
    <w:p>
      <w:pPr>
        <w:spacing w:after="40"/>
      </w:pPr>
      <w:r>
        <w:rPr>
          <w:b/>
          <w:color w:val="1E3A5F"/>
          <w:sz w:val="20"/>
        </w:rPr>
        <w:t>RENOVATION ROI ESTIMATE</w:t>
      </w:r>
    </w:p>
    <w:tbl>
      <w:tblPr>
        <w:tblStyle w:val="TableGrid"/>
        <w:tblW w:type="auto" w:w="0"/>
        <w:tblLook w:firstColumn="1" w:firstRow="1" w:lastColumn="0" w:lastRow="0" w:noHBand="0" w:noVBand="1" w:val="04A0"/>
      </w:tblPr>
      <w:tblGrid>
        <w:gridCol w:w="4680"/>
        <w:gridCol w:w="4680"/>
      </w:tblGrid>
      <w:tr>
        <w:tc>
          <w:tcPr>
            <w:tcW w:type="dxa" w:w="4680"/>
            <w:shd w:val="clear" w:color="auto" w:fill="F1F5F9"/>
          </w:tcPr>
          <w:p>
            <w:pPr>
              <w:spacing w:before="60" w:after="60"/>
            </w:pPr>
            <w:r>
              <w:rPr>
                <w:b w:val="0"/>
                <w:sz w:val="20"/>
              </w:rPr>
              <w:t>Suburb Median Price</w:t>
            </w:r>
          </w:p>
        </w:tc>
        <w:tc>
          <w:tcPr>
            <w:tcW w:type="dxa" w:w="4680"/>
            <w:shd w:val="clear" w:color="auto" w:fill="F1F5F9"/>
          </w:tcPr>
          <w:p>
            <w:pPr>
              <w:spacing w:before="60" w:after="60"/>
            </w:pPr>
            <w:r>
              <w:rPr>
                <w:b w:val="0"/>
                <w:sz w:val="20"/>
              </w:rPr>
              <w:t>$895,000</w:t>
            </w:r>
          </w:p>
        </w:tc>
      </w:tr>
      <w:tr>
        <w:tc>
          <w:tcPr>
            <w:tcW w:type="dxa" w:w="4680"/>
            <w:shd w:val="clear" w:color="auto" w:fill="F1F5F9"/>
          </w:tcPr>
          <w:p>
            <w:pPr>
              <w:spacing w:before="60" w:after="60"/>
            </w:pPr>
            <w:r>
              <w:rPr>
                <w:b w:val="0"/>
                <w:sz w:val="20"/>
              </w:rPr>
              <w:t>12-Month Growth Rate</w:t>
            </w:r>
          </w:p>
        </w:tc>
        <w:tc>
          <w:tcPr>
            <w:tcW w:type="dxa" w:w="4680"/>
            <w:shd w:val="clear" w:color="auto" w:fill="F1F5F9"/>
          </w:tcPr>
          <w:p>
            <w:pPr>
              <w:spacing w:before="60" w:after="60"/>
            </w:pPr>
            <w:r>
              <w:rPr>
                <w:b w:val="0"/>
                <w:sz w:val="20"/>
              </w:rPr>
              <w:t>+13.3% (12 months)</w:t>
            </w:r>
          </w:p>
        </w:tc>
      </w:tr>
      <w:tr>
        <w:tc>
          <w:tcPr>
            <w:tcW w:type="dxa" w:w="4680"/>
            <w:shd w:val="clear" w:color="auto" w:fill="DBEAFE"/>
          </w:tcPr>
          <w:p>
            <w:pPr>
              <w:spacing w:before="60" w:after="60"/>
            </w:pPr>
            <w:r>
              <w:rPr>
                <w:b/>
                <w:sz w:val="20"/>
              </w:rPr>
              <w:t>Estimated Purchase Price</w:t>
            </w:r>
          </w:p>
        </w:tc>
        <w:tc>
          <w:tcPr>
            <w:tcW w:type="dxa" w:w="4680"/>
            <w:shd w:val="clear" w:color="auto" w:fill="DBEAFE"/>
          </w:tcPr>
          <w:p>
            <w:pPr>
              <w:spacing w:before="60" w:after="60"/>
            </w:pPr>
            <w:r>
              <w:rPr>
                <w:b/>
                <w:sz w:val="20"/>
              </w:rPr>
              <w:t>~$680,000 - $780,000 (auction estimate)</w:t>
            </w:r>
          </w:p>
        </w:tc>
      </w:tr>
      <w:tr>
        <w:tc>
          <w:tcPr>
            <w:tcW w:type="dxa" w:w="4680"/>
            <w:shd w:val="clear" w:color="auto" w:fill="FEF9C3"/>
          </w:tcPr>
          <w:p>
            <w:pPr>
              <w:spacing w:before="60" w:after="60"/>
            </w:pPr>
            <w:r>
              <w:rPr>
                <w:b/>
                <w:sz w:val="20"/>
              </w:rPr>
              <w:t>Renovation Budget (est.)</w:t>
            </w:r>
          </w:p>
        </w:tc>
        <w:tc>
          <w:tcPr>
            <w:tcW w:type="dxa" w:w="4680"/>
            <w:shd w:val="clear" w:color="auto" w:fill="FEF9C3"/>
          </w:tcPr>
          <w:p>
            <w:pPr>
              <w:spacing w:before="60" w:after="60"/>
            </w:pPr>
            <w:r>
              <w:rPr>
                <w:b/>
                <w:sz w:val="20"/>
              </w:rPr>
              <w:t>$80,000 - $120,000 (cosmetic renovation)</w:t>
            </w:r>
          </w:p>
        </w:tc>
      </w:tr>
      <w:tr>
        <w:tc>
          <w:tcPr>
            <w:tcW w:type="dxa" w:w="4680"/>
            <w:shd w:val="clear" w:color="auto" w:fill="DCFCE7"/>
          </w:tcPr>
          <w:p>
            <w:pPr>
              <w:spacing w:before="60" w:after="60"/>
            </w:pPr>
            <w:r>
              <w:rPr>
                <w:b/>
                <w:sz w:val="20"/>
              </w:rPr>
              <w:t>Post-Renovation Value (est.)</w:t>
            </w:r>
          </w:p>
        </w:tc>
        <w:tc>
          <w:tcPr>
            <w:tcW w:type="dxa" w:w="4680"/>
            <w:shd w:val="clear" w:color="auto" w:fill="DCFCE7"/>
          </w:tcPr>
          <w:p>
            <w:pPr>
              <w:spacing w:before="60" w:after="60"/>
            </w:pPr>
            <w:r>
              <w:rPr>
                <w:b/>
                <w:color w:val="16A34A"/>
                <w:sz w:val="20"/>
              </w:rPr>
              <w:t>$900,000 - $1,050,000</w:t>
            </w:r>
          </w:p>
        </w:tc>
      </w:tr>
    </w:tbl>
    <w:p>
      <w:pPr>
        <w:spacing w:before="80" w:after="80"/>
      </w:pPr>
      <w:r>
        <w:rPr>
          <w:b/>
          <w:color w:val="16A34A"/>
          <w:sz w:val="24"/>
        </w:rPr>
        <w:t xml:space="preserve">  POTENTIAL UPLIFT: $150,000 - $250,000</w:t>
      </w:r>
    </w:p>
    <w:p>
      <w:pPr>
        <w:spacing w:after="80"/>
      </w:pPr>
      <w:r>
        <w:rPr>
          <w:i/>
          <w:color w:val="2563EB"/>
          <w:sz w:val="18"/>
        </w:rPr>
        <w:t>View Listing: https://www.domain.com.au/sale/acacia-ridge-qld-4110/house/</w:t>
      </w:r>
    </w:p>
    <w:p>
      <w:pPr>
        <w:spacing w:before="40" w:after="40"/>
        <w:pBdr>
          <w:bottom w:val="single" w:sz="6" w:space="1" w:color="E2E8F0"/>
        </w:pBdr>
      </w:pPr>
    </w:p>
    <w:p/>
    <w:p>
      <w:pPr>
        <w:spacing w:after="80"/>
      </w:pPr>
      <w:r>
        <w:rPr>
          <w:b/>
          <w:color w:val="1E3A5F"/>
          <w:sz w:val="26"/>
        </w:rPr>
        <w:t>COMPARISON SUMMARY</w:t>
      </w:r>
    </w:p>
    <w:p>
      <w:pPr>
        <w:spacing w:before="40" w:after="40"/>
        <w:pBdr>
          <w:bottom w:val="single" w:sz="6" w:space="1" w:color="2563EB"/>
        </w:pBdr>
      </w:pPr>
    </w:p>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shd w:val="clear" w:color="auto" w:fill="1E3A5F"/>
          </w:tcPr>
          <w:p>
            <w:pPr>
              <w:spacing w:before="80" w:after="80"/>
              <w:jc w:val="center"/>
            </w:pPr>
            <w:r>
              <w:rPr>
                <w:b/>
                <w:color w:val="FFFFFF"/>
                <w:sz w:val="18"/>
              </w:rPr>
              <w:t>Property</w:t>
            </w:r>
          </w:p>
        </w:tc>
        <w:tc>
          <w:tcPr>
            <w:tcW w:type="dxa" w:w="1560"/>
            <w:shd w:val="clear" w:color="auto" w:fill="1E3A5F"/>
          </w:tcPr>
          <w:p>
            <w:pPr>
              <w:spacing w:before="80" w:after="80"/>
              <w:jc w:val="center"/>
            </w:pPr>
            <w:r>
              <w:rPr>
                <w:b/>
                <w:color w:val="FFFFFF"/>
                <w:sz w:val="18"/>
              </w:rPr>
              <w:t>Price Guide</w:t>
            </w:r>
          </w:p>
        </w:tc>
        <w:tc>
          <w:tcPr>
            <w:tcW w:type="dxa" w:w="1560"/>
            <w:shd w:val="clear" w:color="auto" w:fill="1E3A5F"/>
          </w:tcPr>
          <w:p>
            <w:pPr>
              <w:spacing w:before="80" w:after="80"/>
              <w:jc w:val="center"/>
            </w:pPr>
            <w:r>
              <w:rPr>
                <w:b/>
                <w:color w:val="FFFFFF"/>
                <w:sz w:val="18"/>
              </w:rPr>
              <w:t>Land</w:t>
            </w:r>
          </w:p>
        </w:tc>
        <w:tc>
          <w:tcPr>
            <w:tcW w:type="dxa" w:w="1560"/>
            <w:shd w:val="clear" w:color="auto" w:fill="1E3A5F"/>
          </w:tcPr>
          <w:p>
            <w:pPr>
              <w:spacing w:before="80" w:after="80"/>
              <w:jc w:val="center"/>
            </w:pPr>
            <w:r>
              <w:rPr>
                <w:b/>
                <w:color w:val="FFFFFF"/>
                <w:sz w:val="18"/>
              </w:rPr>
              <w:t>Reno Budget</w:t>
            </w:r>
          </w:p>
        </w:tc>
        <w:tc>
          <w:tcPr>
            <w:tcW w:type="dxa" w:w="1560"/>
            <w:shd w:val="clear" w:color="auto" w:fill="1E3A5F"/>
          </w:tcPr>
          <w:p>
            <w:pPr>
              <w:spacing w:before="80" w:after="80"/>
              <w:jc w:val="center"/>
            </w:pPr>
            <w:r>
              <w:rPr>
                <w:b/>
                <w:color w:val="FFFFFF"/>
                <w:sz w:val="18"/>
              </w:rPr>
              <w:t>Post-Reno Value</w:t>
            </w:r>
          </w:p>
        </w:tc>
        <w:tc>
          <w:tcPr>
            <w:tcW w:type="dxa" w:w="1560"/>
            <w:shd w:val="clear" w:color="auto" w:fill="1E3A5F"/>
          </w:tcPr>
          <w:p>
            <w:pPr>
              <w:spacing w:before="80" w:after="80"/>
              <w:jc w:val="center"/>
            </w:pPr>
            <w:r>
              <w:rPr>
                <w:b/>
                <w:color w:val="FFFFFF"/>
                <w:sz w:val="18"/>
              </w:rPr>
              <w:t>Potential Uplift</w:t>
            </w:r>
          </w:p>
        </w:tc>
      </w:tr>
      <w:tr>
        <w:tc>
          <w:tcPr>
            <w:tcW w:type="dxa" w:w="1560"/>
            <w:shd w:val="clear" w:color="auto" w:fill="DBEAFE"/>
          </w:tcPr>
          <w:p>
            <w:pPr>
              <w:spacing w:before="60" w:after="60"/>
              <w:jc w:val="center"/>
            </w:pPr>
            <w:r>
              <w:rPr>
                <w:b w:val="0"/>
                <w:sz w:val="18"/>
              </w:rPr>
              <w:t>89 Beatty Rd, Archerfield</w:t>
            </w:r>
          </w:p>
        </w:tc>
        <w:tc>
          <w:tcPr>
            <w:tcW w:type="dxa" w:w="1560"/>
            <w:shd w:val="clear" w:color="auto" w:fill="DBEAFE"/>
          </w:tcPr>
          <w:p>
            <w:pPr>
              <w:spacing w:before="60" w:after="60"/>
              <w:jc w:val="center"/>
            </w:pPr>
            <w:r>
              <w:rPr>
                <w:b w:val="0"/>
                <w:sz w:val="18"/>
              </w:rPr>
              <w:t>~$720K-$780K</w:t>
            </w:r>
          </w:p>
        </w:tc>
        <w:tc>
          <w:tcPr>
            <w:tcW w:type="dxa" w:w="1560"/>
            <w:shd w:val="clear" w:color="auto" w:fill="DBEAFE"/>
          </w:tcPr>
          <w:p>
            <w:pPr>
              <w:spacing w:before="60" w:after="60"/>
              <w:jc w:val="center"/>
            </w:pPr>
            <w:r>
              <w:rPr>
                <w:b w:val="0"/>
                <w:sz w:val="18"/>
              </w:rPr>
              <w:t>744 m2</w:t>
            </w:r>
          </w:p>
        </w:tc>
        <w:tc>
          <w:tcPr>
            <w:tcW w:type="dxa" w:w="1560"/>
            <w:shd w:val="clear" w:color="auto" w:fill="DBEAFE"/>
          </w:tcPr>
          <w:p>
            <w:pPr>
              <w:spacing w:before="60" w:after="60"/>
              <w:jc w:val="center"/>
            </w:pPr>
            <w:r>
              <w:rPr>
                <w:b w:val="0"/>
                <w:sz w:val="18"/>
              </w:rPr>
              <w:t>$120K-$160K</w:t>
            </w:r>
          </w:p>
        </w:tc>
        <w:tc>
          <w:tcPr>
            <w:tcW w:type="dxa" w:w="1560"/>
            <w:shd w:val="clear" w:color="auto" w:fill="DBEAFE"/>
          </w:tcPr>
          <w:p>
            <w:pPr>
              <w:spacing w:before="60" w:after="60"/>
              <w:jc w:val="center"/>
            </w:pPr>
            <w:r>
              <w:rPr>
                <w:b w:val="0"/>
                <w:sz w:val="18"/>
              </w:rPr>
              <w:t>$950K-$1.05M</w:t>
            </w:r>
          </w:p>
        </w:tc>
        <w:tc>
          <w:tcPr>
            <w:tcW w:type="dxa" w:w="1560"/>
            <w:shd w:val="clear" w:color="auto" w:fill="DBEAFE"/>
          </w:tcPr>
          <w:p>
            <w:pPr>
              <w:spacing w:before="60" w:after="60"/>
              <w:jc w:val="center"/>
            </w:pPr>
            <w:r>
              <w:rPr>
                <w:b/>
                <w:color w:val="16A34A"/>
                <w:sz w:val="18"/>
              </w:rPr>
              <w:t>$170K-$290K</w:t>
            </w:r>
          </w:p>
        </w:tc>
      </w:tr>
      <w:tr>
        <w:tc>
          <w:tcPr>
            <w:tcW w:type="dxa" w:w="1560"/>
            <w:shd w:val="clear" w:color="auto" w:fill="DCFCE7"/>
          </w:tcPr>
          <w:p>
            <w:pPr>
              <w:spacing w:before="60" w:after="60"/>
              <w:jc w:val="center"/>
            </w:pPr>
            <w:r>
              <w:rPr>
                <w:b w:val="0"/>
                <w:sz w:val="18"/>
              </w:rPr>
              <w:t>33 Bovey St, Coopers Plains</w:t>
            </w:r>
          </w:p>
        </w:tc>
        <w:tc>
          <w:tcPr>
            <w:tcW w:type="dxa" w:w="1560"/>
            <w:shd w:val="clear" w:color="auto" w:fill="DCFCE7"/>
          </w:tcPr>
          <w:p>
            <w:pPr>
              <w:spacing w:before="60" w:after="60"/>
              <w:jc w:val="center"/>
            </w:pPr>
            <w:r>
              <w:rPr>
                <w:b w:val="0"/>
                <w:sz w:val="18"/>
              </w:rPr>
              <w:t>~$800K-$850K</w:t>
            </w:r>
          </w:p>
        </w:tc>
        <w:tc>
          <w:tcPr>
            <w:tcW w:type="dxa" w:w="1560"/>
            <w:shd w:val="clear" w:color="auto" w:fill="DCFCE7"/>
          </w:tcPr>
          <w:p>
            <w:pPr>
              <w:spacing w:before="60" w:after="60"/>
              <w:jc w:val="center"/>
            </w:pPr>
            <w:r>
              <w:rPr>
                <w:b w:val="0"/>
                <w:sz w:val="18"/>
              </w:rPr>
              <w:t>809 m2</w:t>
            </w:r>
          </w:p>
        </w:tc>
        <w:tc>
          <w:tcPr>
            <w:tcW w:type="dxa" w:w="1560"/>
            <w:shd w:val="clear" w:color="auto" w:fill="DCFCE7"/>
          </w:tcPr>
          <w:p>
            <w:pPr>
              <w:spacing w:before="60" w:after="60"/>
              <w:jc w:val="center"/>
            </w:pPr>
            <w:r>
              <w:rPr>
                <w:b w:val="0"/>
                <w:sz w:val="18"/>
              </w:rPr>
              <w:t>$100K-$140K</w:t>
            </w:r>
          </w:p>
        </w:tc>
        <w:tc>
          <w:tcPr>
            <w:tcW w:type="dxa" w:w="1560"/>
            <w:shd w:val="clear" w:color="auto" w:fill="DCFCE7"/>
          </w:tcPr>
          <w:p>
            <w:pPr>
              <w:spacing w:before="60" w:after="60"/>
              <w:jc w:val="center"/>
            </w:pPr>
            <w:r>
              <w:rPr>
                <w:b w:val="0"/>
                <w:sz w:val="18"/>
              </w:rPr>
              <w:t>$1.05M-$1.15M</w:t>
            </w:r>
          </w:p>
        </w:tc>
        <w:tc>
          <w:tcPr>
            <w:tcW w:type="dxa" w:w="1560"/>
            <w:shd w:val="clear" w:color="auto" w:fill="DCFCE7"/>
          </w:tcPr>
          <w:p>
            <w:pPr>
              <w:spacing w:before="60" w:after="60"/>
              <w:jc w:val="center"/>
            </w:pPr>
            <w:r>
              <w:rPr>
                <w:b/>
                <w:color w:val="16A34A"/>
                <w:sz w:val="18"/>
              </w:rPr>
              <w:t>$200K-$300K</w:t>
            </w:r>
          </w:p>
        </w:tc>
      </w:tr>
      <w:tr>
        <w:tc>
          <w:tcPr>
            <w:tcW w:type="dxa" w:w="1560"/>
            <w:shd w:val="clear" w:color="auto" w:fill="FEF9C3"/>
          </w:tcPr>
          <w:p>
            <w:pPr>
              <w:spacing w:before="60" w:after="60"/>
              <w:jc w:val="center"/>
            </w:pPr>
            <w:r>
              <w:rPr>
                <w:b w:val="0"/>
                <w:sz w:val="18"/>
              </w:rPr>
              <w:t>Acacia Ridge (Auction Sat)</w:t>
            </w:r>
          </w:p>
        </w:tc>
        <w:tc>
          <w:tcPr>
            <w:tcW w:type="dxa" w:w="1560"/>
            <w:shd w:val="clear" w:color="auto" w:fill="FEF9C3"/>
          </w:tcPr>
          <w:p>
            <w:pPr>
              <w:spacing w:before="60" w:after="60"/>
              <w:jc w:val="center"/>
            </w:pPr>
            <w:r>
              <w:rPr>
                <w:b w:val="0"/>
                <w:sz w:val="18"/>
              </w:rPr>
              <w:t>~$680K-$780K</w:t>
            </w:r>
          </w:p>
        </w:tc>
        <w:tc>
          <w:tcPr>
            <w:tcW w:type="dxa" w:w="1560"/>
            <w:shd w:val="clear" w:color="auto" w:fill="FEF9C3"/>
          </w:tcPr>
          <w:p>
            <w:pPr>
              <w:spacing w:before="60" w:after="60"/>
              <w:jc w:val="center"/>
            </w:pPr>
            <w:r>
              <w:rPr>
                <w:b w:val="0"/>
                <w:sz w:val="18"/>
              </w:rPr>
              <w:t>600-730 m2</w:t>
            </w:r>
          </w:p>
        </w:tc>
        <w:tc>
          <w:tcPr>
            <w:tcW w:type="dxa" w:w="1560"/>
            <w:shd w:val="clear" w:color="auto" w:fill="FEF9C3"/>
          </w:tcPr>
          <w:p>
            <w:pPr>
              <w:spacing w:before="60" w:after="60"/>
              <w:jc w:val="center"/>
            </w:pPr>
            <w:r>
              <w:rPr>
                <w:b w:val="0"/>
                <w:sz w:val="18"/>
              </w:rPr>
              <w:t>$80K-$120K</w:t>
            </w:r>
          </w:p>
        </w:tc>
        <w:tc>
          <w:tcPr>
            <w:tcW w:type="dxa" w:w="1560"/>
            <w:shd w:val="clear" w:color="auto" w:fill="FEF9C3"/>
          </w:tcPr>
          <w:p>
            <w:pPr>
              <w:spacing w:before="60" w:after="60"/>
              <w:jc w:val="center"/>
            </w:pPr>
            <w:r>
              <w:rPr>
                <w:b w:val="0"/>
                <w:sz w:val="18"/>
              </w:rPr>
              <w:t>$900K-$1.05M</w:t>
            </w:r>
          </w:p>
        </w:tc>
        <w:tc>
          <w:tcPr>
            <w:tcW w:type="dxa" w:w="1560"/>
            <w:shd w:val="clear" w:color="auto" w:fill="FEF9C3"/>
          </w:tcPr>
          <w:p>
            <w:pPr>
              <w:spacing w:before="60" w:after="60"/>
              <w:jc w:val="center"/>
            </w:pPr>
            <w:r>
              <w:rPr>
                <w:b/>
                <w:color w:val="16A34A"/>
                <w:sz w:val="18"/>
              </w:rPr>
              <w:t>$150K-$250K</w:t>
            </w:r>
          </w:p>
        </w:tc>
      </w:tr>
    </w:tbl>
    <w:p/>
    <w:p>
      <w:pPr>
        <w:spacing w:before="40" w:after="40"/>
        <w:pBdr>
          <w:bottom w:val="single" w:sz="6" w:space="1" w:color="E2E8F0"/>
        </w:pBdr>
      </w:pPr>
    </w:p>
    <w:p>
      <w:pPr>
        <w:spacing w:before="120"/>
      </w:pPr>
      <w:r>
        <w:rPr>
          <w:i/>
          <w:color w:val="94A3B8"/>
          <w:sz w:val="16"/>
        </w:rPr>
        <w:t>DISCLAIMER: This analysis is for informational purposes only and does not constitute financial or property investment advice. Always conduct your own due diligence, engage a licensed buyers agent, building inspector, and conveyancer before purchasing. Verify flood zones via QLD flood mapping. Check Brisbane City Council DA rules for any subdivision or raising intentions. All price estimates are based on publicly available comparable sales data as at March 2026.</w:t>
      </w:r>
    </w:p>
    <w:p>
      <w:pPr>
        <w:spacing w:before="160"/>
        <w:jc w:val="center"/>
      </w:pPr>
      <w:r>
        <w:rPr>
          <w:i/>
          <w:color w:val="1E3A5F"/>
          <w:sz w:val="18"/>
        </w:rPr>
        <w:t>Prepared by Sachi AI for Jay Gunaratne  |  March 25, 2026  |  Confidential</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