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PRJ13797 JMUX Replacement — CIO Oral Presentation Script</w:t>
      </w:r>
    </w:p>
    <w:p>
      <w:pPr>
        <w:jc w:val="center"/>
      </w:pPr>
      <w:r>
        <w:rPr>
          <w:color w:val="707070"/>
        </w:rPr>
        <w:t>Presenter: Dhananjaya Gunaratne  |  Audience: Greg (CIO)  |  April 29, 2026  |  Confidential</w:t>
      </w:r>
    </w:p>
    <w:p/>
    <w:p>
      <w:pPr>
        <w:spacing w:after="160"/>
      </w:pPr>
      <w:r>
        <w:t>**Presenter:** Dhananjaya Gunaratne | **Audience:** Greg (CIO) | **Date:** April 29, 2026</w:t>
      </w:r>
    </w:p>
    <w:p>
      <w:pPr>
        <w:spacing w:after="160"/>
      </w:pPr>
      <w:r>
        <w:t>**Format:** Follow slide by slide. Speak naturally — these are talking points, not a script to read verbatim.</w:t>
      </w:r>
    </w:p>
    <w:p>
      <w:pPr>
        <w:spacing w:after="160"/>
      </w:pPr>
      <w:r>
        <w:t>**Timing:** Slides 4, 5, and 10 are 8–10 minutes each. All other slides are 1–3 minutes.</w:t>
      </w:r>
    </w:p>
    <w:p/>
    <w:p>
      <w:pPr>
        <w:pStyle w:val="Heading1"/>
      </w:pPr>
      <w:r>
        <w:rPr>
          <w:color w:val="1F3964"/>
        </w:rPr>
        <w:t>SLIDE 1 — Title (~1 minute)</w:t>
      </w:r>
    </w:p>
    <w:p>
      <w:pPr>
        <w:spacing w:after="160"/>
      </w:pPr>
      <w:r>
        <w:t>"Good afternoon Greg. Thank you for making the time. I'm here today to give you a comprehensive update on PRJ13797 — the JMUX Replacement program. This is PSEG Long Island's Private Field Area Network modernization effort — replacing the legacy JMUX communications infrastructure across our substations with Nokia MPLS nodes.</w:t>
      </w:r>
    </w:p>
    <w:p>
      <w:pPr>
        <w:spacing w:after="160"/>
      </w:pPr>
      <w:r>
        <w:t>I'll walk you through where we stand overall, I'll spend meaningful time on the PAR circuit migration topic because that has financial and schedule implications I want to be fully transparent about, and then I'll close with our schedule status and what we're focused on for the next 30 to 60 days.</w:t>
      </w:r>
    </w:p>
    <w:p>
      <w:pPr>
        <w:spacing w:after="160"/>
      </w:pPr>
      <w:r>
        <w:t>I want this to be a two-way conversation, so please stop me at any point if you have questions."</w:t>
      </w:r>
    </w:p>
    <w:p/>
    <w:p>
      <w:pPr>
        <w:pStyle w:val="Heading1"/>
      </w:pPr>
      <w:r>
        <w:rPr>
          <w:color w:val="1F3964"/>
        </w:rPr>
        <w:t>SLIDE 2 — Goals &amp; Objectives (~4 minutes)</w:t>
      </w:r>
    </w:p>
    <w:p>
      <w:pPr>
        <w:spacing w:after="160"/>
      </w:pPr>
      <w:r>
        <w:t>"Before I get into the detail, let me level-set on what this program is and how it is organized, because understanding the four workstreams will give you important context for everything else I am going to cover today.</w:t>
      </w:r>
    </w:p>
    <w:p>
      <w:pPr>
        <w:spacing w:after="160"/>
      </w:pPr>
      <w:r>
        <w:t>The overall goal is to modernize PSEG Long Island's substation communications by replacing aging legacy JMUX equipment with Nokia MPLS nodes — delivering a reliable, scalable, and future-ready network. The JMUX infrastructure in the field is old. Some of it is over 25 years old. It is brittle, parts are no longer available from vendors, and it represents an ongoing risk to operational continuity every day it remains in service. This project exists to eliminate that risk across all three phases.</w:t>
      </w:r>
    </w:p>
    <w:p>
      <w:pPr>
        <w:spacing w:after="160"/>
      </w:pPr>
      <w:r>
        <w:t>The program is structured around four distinct workstreams, and all four are running concurrently. Let me walk through each one.</w:t>
      </w:r>
    </w:p>
    <w:p>
      <w:pPr>
        <w:spacing w:after="160"/>
      </w:pPr>
      <w:r>
        <w:t>The first workstream is Engineering Services, led by Burns and McDonnell. B&amp;M is responsible for all of the technical engineering work that happens before a single piece of equipment gets installed. That includes conducting site surveys at every substation — physically going on-site to assess the existing infrastructure, rack space, power availability, and cabling pathways. They produce rack elevation drawings, power designs, and cabling designs for each site. They also produce all the formal engineering documents — the IFR, which is Issued for Review, the IFC, which is Issued for Construction, and the As-Built documents that are filed once installation is complete. Nothing gets built until B&amp;M produces and approves the IFC for that site. The engineering package is the gate that everything else flows through.</w:t>
      </w:r>
    </w:p>
    <w:p>
      <w:pPr>
        <w:spacing w:after="160"/>
      </w:pPr>
      <w:r>
        <w:t>The second workstream is Procurement and Staging, managed jointly by Burns and McDonnell, Nokia, and Graybar. This workstream is responsible for getting all the right equipment to the right place at the right time. B&amp;M creates the Bill of Materials for each site based on the engineering design. Nokia supplies the MPLS router equipment — the core of what we are installing at each substation. Graybar is our distribution partner handling the ancillary materials — things like patch panels, fiber cables, power equipment, and mounting kits. All of this equipment is procured, received, and staged — meaning it is physically prepared and verified before it goes to a substation. Staging happens at our Hawkeye trailer facility and it is a critical quality control step that ensures every component is accounted for and functional before it touches a live substation.</w:t>
      </w:r>
    </w:p>
    <w:p>
      <w:pPr>
        <w:spacing w:after="160"/>
      </w:pPr>
      <w:r>
        <w:t>The third workstream is Construction and Installation Support, led by Burns and McDonnell and Hawkeye. Once the IFC is issued and equipment is staged, Hawkeye executes the physical installation at each site. Hawkeye handles shipment of equipment from staging to the substation, all racking and stacking, power connections, and fiber or copper cabling — all installed per the approved IFC document. Burns and McDonnell provides on-site coordination, technical support, and commissioning oversight throughout the construction process. B&amp;M is there to ensure the installation matches the engineering design exactly and to troubleshoot any field conditions that differ from what was shown on the drawings. Hawkeye also continues conducting site surveys for each new site as IFCs are issued, so the construction planning stays ahead of the installation schedule.</w:t>
      </w:r>
    </w:p>
    <w:p>
      <w:pPr>
        <w:spacing w:after="160"/>
      </w:pPr>
      <w:r>
        <w:t>The fourth workstream is Deployment and Application Migration, led by our PSEG team working with Burns and McDonnell. This is where the new Nokia MPLS infrastructure actually goes live. The PSEG and B&amp;M team designs and configures all of the Layer 3 networks — the BGP routing, the IP addressing, the network policies. They pre-stage the application connectivity so that when we cut over from the legacy JMUX to the new Nokia nodes, the applications — SCADA, EMS, and all the operational systems that depend on substation communications — transition cleanly without disruption. And then they execute the actual production application migration, moving each application from the old JMUX circuits to the new MPLS network, site by site.</w:t>
      </w:r>
    </w:p>
    <w:p>
      <w:pPr>
        <w:spacing w:after="160"/>
      </w:pPr>
      <w:r>
        <w:t>All four of those workstreams are running simultaneously, across three phases, at over 100 substations. That is what makes this program complex to manage — and it is why having clear sequencing, clear ownership, and clear engineering gates at each phase is critical to keeping the program on track."</w:t>
      </w:r>
    </w:p>
    <w:p/>
    <w:p>
      <w:pPr>
        <w:pStyle w:val="Heading1"/>
      </w:pPr>
      <w:r>
        <w:rPr>
          <w:color w:val="1F3964"/>
        </w:rPr>
        <w:t>SLIDE 3 — Program Overview / Phase Map (~2 minutes)</w:t>
      </w:r>
    </w:p>
    <w:p>
      <w:pPr>
        <w:spacing w:after="160"/>
      </w:pPr>
      <w:r>
        <w:t>"This slide shows the overall program structure. We have three phases. Phase 1 covers 31 Nokia MPLS nodes across the Phase 1 substation footprint — that work is largely complete, with a few remaining items I'll cover shortly. Phase 2 covers 36 sites, with engineering well underway and construction scheduled to begin in August 2026. Phase 3 covers the remaining sites, and we've taken deliberate steps to accelerate Phase 3 planning into the Phase 2 window to compress the overall timeline.</w:t>
      </w:r>
    </w:p>
    <w:p>
      <w:pPr>
        <w:spacing w:after="160"/>
      </w:pPr>
      <w:r>
        <w:t>The Phase 1 work is what I want to close out cleanly before we move full force into Phase 2 construction. We have a small number of remaining items — RTU testing, node verification against SSP, and the production RTU migration MOP — and we are actively executing all of those right now."</w:t>
      </w:r>
    </w:p>
    <w:p/>
    <w:p>
      <w:pPr>
        <w:pStyle w:val="Heading1"/>
      </w:pPr>
      <w:r>
        <w:rPr>
          <w:color w:val="1F3964"/>
        </w:rPr>
        <w:t>SLIDE 4 — PAR Circuit Migration: Background &amp; Discovery (~8–10 minutes)</w:t>
      </w:r>
    </w:p>
    <w:p>
      <w:pPr>
        <w:spacing w:after="160"/>
      </w:pPr>
      <w:r>
        <w:t>"I want to spend real time on this slide, Greg, because this topic has financial implications and I want you to understand the full story — not just the number, but the context, the discovery process, and why this is not a project management failure.</w:t>
      </w:r>
    </w:p>
    <w:p>
      <w:pPr>
        <w:spacing w:after="160"/>
      </w:pPr>
      <w:r>
        <w:t>Let me start by explaining what PAR circuit migration actually is, because it's technical and I want to make sure the context is clear.</w:t>
      </w:r>
    </w:p>
    <w:p>
      <w:pPr>
        <w:spacing w:after="160"/>
      </w:pPr>
      <w:r>
        <w:t>PAR stands for Phase Angle Regulator. These are high-voltage devices at certain substations that control the flow of power on transmission lines. The RTUs — Remote Terminal Units — at these substations communicate using a direct contact serial protocol. That protocol is decades old, and it was designed to talk to legacy JMUX equipment — which is exactly what we're replacing.</w:t>
      </w:r>
    </w:p>
    <w:p>
      <w:pPr>
        <w:spacing w:after="160"/>
      </w:pPr>
      <w:r>
        <w:t>Here is the problem. When we connect the new Nokia MPLS nodes at these 6 substations, the RTUs cannot talk directly to the Nokia equipment. The communication protocols are fundamentally incompatible. Nokia uses IP-based communication. The RTUs use direct contact serial. You cannot bridge those directly without an intermediary system.</w:t>
      </w:r>
    </w:p>
    <w:p>
      <w:pPr>
        <w:spacing w:after="160"/>
      </w:pPr>
      <w:r>
        <w:t>And here is the critical compliance dimension. NERC CIP — the North American Electric Reliability Corporation Critical Infrastructure Protection standards — mandates that we cannot simply daisy-chain the Nokia equipment and the RTU together. NERC CIP requires an intermediary system between them at these substations. This is not optional. It is a federal compliance requirement. There is no workaround, there is no waiver, and there is no alternative. If we do not implement the intermediary solution, we are out of NERC CIP compliance, which carries significant regulatory risk for PSEG Long Island.</w:t>
      </w:r>
    </w:p>
    <w:p>
      <w:pPr>
        <w:spacing w:after="160"/>
      </w:pPr>
      <w:r>
        <w:t>The solution we selected — and I want to be very clear, it is the only viable compliant solution — is the Iniven RC-30. The RC-30 is a device that converts the direct contact serial signals from the RTU into C37.94 IP protocol, which the Nokia network can then receive and process. It is not a programmable device, which is important under NERC CIP — it doesn't create additional compliance exposure by virtue of being installed. It's essentially a protocol converter. Six of them — one per site — at Northport, Hicksville, Melville, Lindenhurst, Far Rockaway, and Hewlett.</w:t>
      </w:r>
    </w:p>
    <w:p>
      <w:pPr>
        <w:spacing w:after="160"/>
      </w:pPr>
      <w:r>
        <w:t>Now — the question I expect you are asking is: why wasn't this fully scoped and budgeted from the beginning? I want to address that directly and honestly.</w:t>
      </w:r>
    </w:p>
    <w:p>
      <w:pPr>
        <w:spacing w:after="160"/>
      </w:pPr>
      <w:r>
        <w:t>During the 2024 kickoff meetings for this project, PAR was discussed. It was acknowledged at a high level. But here is what did not happen in 2024 — there was no detailed design engagement, no formal cost estimate, and no formal schedule commitment. The 2024 discussions indicated that the design cost would fall on the technical security team, but no specific dollar amount was ever agreed to and no budget line was formally committed. PAR was carried as a Phase 3 placeholder in the project budget with a rough allowance of approximately $30,000 to $40,000. That figure was intended to cover general support — not a serial-to-IP conversion system at 6 high-impact substations.</w:t>
      </w:r>
    </w:p>
    <w:p>
      <w:pPr>
        <w:spacing w:after="160"/>
      </w:pPr>
      <w:r>
        <w:t>I also want to be transparent — this is consistent with how large infrastructure projects are scoped and executed. You do not have the full detailed engineering picture at kickoff. Detailed requirements are confirmed during each phase's site surveys, when the engineering team is actually on-site, looking at the existing equipment, and understanding the specific technical conditions at each location. That is the industry-standard methodology and it is how this project was structured.</w:t>
      </w:r>
    </w:p>
    <w:p>
      <w:pPr>
        <w:spacing w:after="160"/>
      </w:pPr>
      <w:r>
        <w:t>What changed the picture was the Phase 2 detailed site surveys. During those surveys, the relay team was formally engaged for the first time. That is an important statement — for the first time. Prior to Phase 2 surveys, the relay team had not been brought into the detailed engineering conversations. When they were engaged, they went site by site, reviewed the existing RTU technology — specifically the SEL-2595 systems at these 6 substations — and identified the full technical and compliance scope that a direct Nokia-to-RTU connection was not viable and that NERC CIP required the intermediary solution.</w:t>
      </w:r>
    </w:p>
    <w:p>
      <w:pPr>
        <w:spacing w:after="160"/>
      </w:pPr>
      <w:r>
        <w:t>That is when the true level of effort and cost was first identified. And I want to say this clearly — this was not a project management oversight. The information was not available until the detailed engineering work was done at the site level. The moment the relay team confirmed the scope, we moved immediately to identify a solution, evaluate all available options, select the Iniven RC-30 as the only viable compliant device, engage Chakrapani's T&amp;D team for engineering design, and place the purchase order for the RC-30 equipment.</w:t>
      </w:r>
    </w:p>
    <w:p>
      <w:pPr>
        <w:spacing w:after="160"/>
      </w:pPr>
      <w:r>
        <w:t>I am also taking a lesson from this for Phase 3. We are proactively engaging all Phase 3 stakeholders now — before the Phase 3 surveys are complete — specifically to surface any similar issues early, before they become budget surprises. That is a direct process improvement we are implementing as a result of this discovery."</w:t>
      </w:r>
    </w:p>
    <w:p/>
    <w:p>
      <w:pPr>
        <w:pStyle w:val="Heading1"/>
      </w:pPr>
      <w:r>
        <w:rPr>
          <w:color w:val="1F3964"/>
        </w:rPr>
        <w:t>SLIDE 5 — PAR Circuit Migration: Schedule &amp; Financial Impact (~8–10 minutes)</w:t>
      </w:r>
    </w:p>
    <w:p>
      <w:pPr>
        <w:spacing w:after="160"/>
      </w:pPr>
      <w:r>
        <w:t>"Now let me take you through the financial and schedule impact in detail, because I want you to have full visibility into the numbers, what's confirmed, what's still being refined, and what actions are already underway.</w:t>
      </w:r>
    </w:p>
    <w:p>
      <w:pPr>
        <w:spacing w:after="160"/>
      </w:pPr>
      <w:r>
        <w:t>On the financial side, there are three distinct cost components and I want to walk through each one separately.</w:t>
      </w:r>
    </w:p>
    <w:p>
      <w:pPr>
        <w:spacing w:after="160"/>
      </w:pPr>
      <w:r>
        <w:t>The first component is the Iniven RC-30 equipment — one unit per site, six sites total. The cost is approximately $59,500. The purchase order has been placed. That is confirmed and done. Equipment is on order with an 8-week lead time, so we are expecting delivery aligned with when the Phase 2 construction window opens in August.</w:t>
      </w:r>
    </w:p>
    <w:p>
      <w:pPr>
        <w:spacing w:after="160"/>
      </w:pPr>
      <w:r>
        <w:t>The second component is the PAR engineering design. This work is being done by Chakrapani's T&amp;D team. They are currently engaged and the design is in progress. The cost for this component is still TBD — we will have a confirmed number once Chakrapani's team completes their design scope. I am following up with Chakrapani directly to get a timeline and cost estimate, and that is one of my open action items going into next week.</w:t>
      </w:r>
    </w:p>
    <w:p>
      <w:pPr>
        <w:spacing w:after="160"/>
      </w:pPr>
      <w:r>
        <w:t>The third component — and the largest — is the installation, configuration, and cutover labor. This is Johnny's relay team. The estimated labor rate is $1,100 to $1,200 per hour. Based on the scope at all 6 substations, the estimated total is approximately $495,000. I want to be clear — this work has not started. The relay team cannot begin until Chakrapani's design is complete and approved, because the installation must follow the design. This is properly sequenced, but it does mean this cost will land in the budget after the design phase concludes.</w:t>
      </w:r>
    </w:p>
    <w:p>
      <w:pPr>
        <w:spacing w:after="160"/>
      </w:pPr>
      <w:r>
        <w:t>That brings the total additional unbudgeted funding required to approximately $550,000 or more. I say "or more" because the engineering design cost from Chakrapani's team is still TBD. We are preparing a formal budget Change Request to capture this in the capital plan.</w:t>
      </w:r>
    </w:p>
    <w:p>
      <w:pPr>
        <w:spacing w:after="160"/>
      </w:pPr>
      <w:r>
        <w:t>I also want to flag something specific about the current forecast. I spoke with Chad, and his current April through June forecast shows $120,000. That $120,000 covers the RC-30 equipment and an estimate for the design work only. The $495,000 in relay labor from Johnny's team is not yet in Chad's numbers — it has not been entered into the forecast. Once we have Chakrapani's design completion date and a confirmed start date from Johnny's team, I will work with Chad to properly spread that $495,000 across the correct months. I wanted you to know this gap exists so you are not surprised when the Change Request comes in with a higher number than what is currently showing in the forecast.</w:t>
      </w:r>
    </w:p>
    <w:p>
      <w:pPr>
        <w:spacing w:after="160"/>
      </w:pPr>
      <w:r>
        <w:t>On the schedule side — the PAR migration does have a direct schedule impact of approximately 2 to 3 months relative to the original PAR Phase 3 placeholder. However, and this is the critical point — PAR work is running in parallel with Phase 2 construction. It is not on the critical path for Phase 2 deployment. The Nokia MPLS installation at the Phase 2 sites, the IFR and IFC engineering, and the Hawkeye construction work all continue on their planned August through September schedule regardless of where PAR design stands.</w:t>
      </w:r>
    </w:p>
    <w:p>
      <w:pPr>
        <w:spacing w:after="160"/>
      </w:pPr>
      <w:r>
        <w:t>We have also taken a deliberate step to accelerate Phase 3 to recover time on the overall program. Ethan confirmed to me directly that Phase 3 site surveys and detail design can begin as soon as Phase 2 staging starts — which is August 2026. We do not have to wait for Phase 2 construction to complete before starting Phase 3 engineering. Burns and McDonnell's Phase 3 design is estimated to run from June through December 2026, at an additional cost of approximately $900,000 to $1.29 million. Those numbers need to be confirmed with Chad and through formal B&amp;M quotes, and I am initiating that process.</w:t>
      </w:r>
    </w:p>
    <w:p>
      <w:pPr>
        <w:spacing w:after="160"/>
      </w:pPr>
      <w:r>
        <w:t>The projected full recovery for the overall program is end of 2026.</w:t>
      </w:r>
    </w:p>
    <w:p>
      <w:pPr>
        <w:spacing w:after="160"/>
      </w:pPr>
      <w:r>
        <w:t>On the recovery actions — let me go through each one specifically. The RC-30 purchase order is placed and equipment is on order. Chakrapani's team is engaged and design is in progress. The PAR migration is structured to run in parallel with Phase 2 so there is no impact to the Phase 2 deployment critical path. Phase 3 engineering has been pulled forward into the Phase 2 staging window. You were informed informally at the All Hands meeting, so this is not coming to you cold today. And I am preparing the formal Change Request now — you will have that in the next two weeks.</w:t>
      </w:r>
    </w:p>
    <w:p>
      <w:pPr>
        <w:spacing w:after="160"/>
      </w:pPr>
      <w:r>
        <w:t>The two items still in progress are the Change Request submission, and getting the $495,000 relay labor properly reflected in Chad's monthly forecast once the design timeline is confirmed.</w:t>
      </w:r>
    </w:p>
    <w:p>
      <w:pPr>
        <w:spacing w:after="160"/>
      </w:pPr>
      <w:r>
        <w:t>I am personally owning both of those action items."</w:t>
      </w:r>
    </w:p>
    <w:p/>
    <w:p>
      <w:pPr>
        <w:pStyle w:val="Heading1"/>
      </w:pPr>
      <w:r>
        <w:rPr>
          <w:color w:val="1F3964"/>
        </w:rPr>
        <w:t>SLIDES 6, 7 &amp; 8 — Phase 2 Engineering Schedule (36 Sites) (~2 minutes)</w:t>
      </w:r>
    </w:p>
    <w:p>
      <w:pPr>
        <w:spacing w:after="160"/>
      </w:pPr>
      <w:r>
        <w:t>"These three slides show the Phase 2 engineering schedule across all 36 sites. I want to highlight something important here — all 36 Phase 2 site surveys are complete. Hawkeye has been to every site. That is a significant milestone and it means our engineering team has everything they need to complete the IFR and IFC packages without waiting on additional site access.</w:t>
      </w:r>
    </w:p>
    <w:p>
      <w:pPr>
        <w:spacing w:after="160"/>
      </w:pPr>
      <w:r>
        <w:t>We currently have 9 of 36 IFC packages submitted to Hawkeye — those are the ones Hawkeye is already using to plan their site-specific installation work. The next immediate milestone is Lindenhurst, with an IFR due this coming Monday April 27th. Baldwin is due May 4th. The full IFR schedule runs through June 29th, all IFCs follow by July 13th, Phase 2 construction kicks off in August, and deployment completes in September 2026. Phase 2 is on track and I am not concerned about that timeline."</w:t>
      </w:r>
    </w:p>
    <w:p/>
    <w:p>
      <w:pPr>
        <w:pStyle w:val="Heading1"/>
      </w:pPr>
      <w:r>
        <w:rPr>
          <w:color w:val="1F3964"/>
        </w:rPr>
        <w:t>SLIDE 10 — Schedule Status &amp; SPI (~8–10 minutes)</w:t>
      </w:r>
    </w:p>
    <w:p>
      <w:pPr>
        <w:spacing w:after="160"/>
      </w:pPr>
      <w:r>
        <w:t>"This is the slide I want to spend the most time on, Greg, because I believe in being fully transparent about where we stand and I want you to understand the complete picture — not just the number, but what is behind it, what caused it, and what we are doing about it.</w:t>
      </w:r>
    </w:p>
    <w:p>
      <w:pPr>
        <w:spacing w:after="160"/>
      </w:pPr>
      <w:r>
        <w:t>Our overall project status is Yellow. The SPI — Schedule Performance Index — is 0.77 in April. In March it was 0.80. So we have moved slightly in the wrong direction over the past month and I want to explain exactly why.</w:t>
      </w:r>
    </w:p>
    <w:p>
      <w:pPr>
        <w:spacing w:after="160"/>
      </w:pPr>
      <w:r>
        <w:t>First, let me explain what SPI means for anyone in the room who may not use it regularly. SPI is a ratio of Earned Value to Planned Value. An SPI of 1.0 means we are exactly on schedule — we have completed exactly as much work as we planned to have completed by this date. An SPI below 1.0 means we have completed less work than planned. At 0.77, we have completed about 77 cents worth of work for every dollar we planned to have done by now. That puts us in the Yellow band, which is defined as 0.70 to 0.90. We are not in the critical range, which is below 0.70, but we are not where I want to be.</w:t>
      </w:r>
    </w:p>
    <w:p>
      <w:pPr>
        <w:spacing w:after="160"/>
      </w:pPr>
      <w:r>
        <w:t>Now let me explain exactly what is driving that number, because the story is more nuanced than the single metric suggests.</w:t>
      </w:r>
    </w:p>
    <w:p>
      <w:pPr>
        <w:spacing w:after="160"/>
      </w:pPr>
      <w:r>
        <w:t>Phase 1 is approximately 2.8 months behind on its remaining activities. Specifically — completing the remote access setup to the Nokia NSP management system, finishing the node buildout in the NMS GUI, and executing the RTU test circuit at Hicksville. Those three items are what is dragging the Phase 1 SPI below 1.0.</w:t>
      </w:r>
    </w:p>
    <w:p>
      <w:pPr>
        <w:spacing w:after="160"/>
      </w:pPr>
      <w:r>
        <w:t>The root cause of that delay is two specific external dependencies that were outside our team's control.</w:t>
      </w:r>
    </w:p>
    <w:p>
      <w:pPr>
        <w:spacing w:after="160"/>
      </w:pPr>
      <w:r>
        <w:t>The first was the Nokia server license. To stand up the NSP — the Nokia Network Services Platform, which is the management system for all 31 Phase 1 MPLS routers — we needed a corporate server license from Nokia. This is not something we can procure through a standard purchase order. It has to be issued directly by Nokia as part of the software licensing agreement. We submitted the request and we waited. That license was received on April 13th. Until we had it, we could not complete the NSP installation, which meant we could not do the node buildout in the GUI, which meant we could not verify remote access to the routers. It is a sequential dependency and Nokia held the key.</w:t>
      </w:r>
    </w:p>
    <w:p>
      <w:pPr>
        <w:spacing w:after="160"/>
      </w:pPr>
      <w:r>
        <w:t>The second dependency was a DNS record change. Once the NSP was installed and the Nokia license was in hand, we needed a DNS record updated in the PSEG IT environment to enable remote access to the NSP from our network management workstations. That required an IT change request — it went into the change management queue, it had to be reviewed, it had to be approved, and ultimately it had to be escalated to Vic to get it resolved in a timely manner. That process took additional time to work through.</w:t>
      </w:r>
    </w:p>
    <w:p>
      <w:pPr>
        <w:spacing w:after="160"/>
      </w:pPr>
      <w:r>
        <w:t>Both of those items are now resolved. The NSP is up. Remote access was confirmed on April 21st. All 31 Phase 1 nodes have been built into the NSP GUI — that was completed on April 23rd by Lee, Rahiq, and Brianna. And the RTU serial test at Hicksville is scheduled for the week of April 27th — the DB9 test cables were delivered to John Ng at Hicksville this week and John has committed to running the test by April 30th.</w:t>
      </w:r>
    </w:p>
    <w:p>
      <w:pPr>
        <w:spacing w:after="160"/>
      </w:pPr>
      <w:r>
        <w:t>So the Phase 1 delay was real, but the causes were both external and are both now behind us.</w:t>
      </w:r>
    </w:p>
    <w:p>
      <w:pPr>
        <w:spacing w:after="160"/>
      </w:pPr>
      <w:r>
        <w:t>What I want to emphasize is what the team did while those two dependencies were being worked through. We did not slow down. We did not wait. We kept Phase 2 engineering moving at full pace. Site surveys were completed across all 36 Phase 2 sites. IFR and IFC engineering packages were submitted on a rolling basis. Nine IFC packages are already in Hawkeye's hands. The Lindenhurst IFR is due Monday. The overall Phase 2 engineering schedule is intact. That parallel progress is the reason our overall SPI is 0.77 and not something lower — because the Phase 2 work is contributing positive earned value even as the Phase 1 NMS items were pending.</w:t>
      </w:r>
    </w:p>
    <w:p>
      <w:pPr>
        <w:spacing w:after="160"/>
      </w:pPr>
      <w:r>
        <w:t>I also want to address the SPI trend directly. We went from 0.80 in March to 0.77 in April. That half-point decline is not because we are falling further behind — it is because we added new planned milestones to the schedule in April as we entered the Phase 2 engineering stretch, which increased the denominator in the SPI calculation. More planned work entered the measurement window, and the ratio adjusted accordingly. It is a sign of the program expanding into its next phase, not of accelerating slippage.</w:t>
      </w:r>
    </w:p>
    <w:p>
      <w:pPr>
        <w:spacing w:after="160"/>
      </w:pPr>
      <w:r>
        <w:t>On the recovery plan — let me be specific about each item. The NSP is live and all 31 nodes are built in the GUI — done as of April 23rd. Remote access is confirmed — done as of April 21st. The RTU test is happening the week of April 27th. Once the test is complete, B&amp;M will develop the Method of Procedure for the production RTU migration and we will begin that migration. The SSP configuration review is ongoing — we need to verify that all 31 routers are configured per SSP, and that verification is being done as part of the node buildout confirmation work.</w:t>
      </w:r>
    </w:p>
    <w:p>
      <w:pPr>
        <w:spacing w:after="160"/>
      </w:pPr>
      <w:r>
        <w:t>On the SPI chart on this slide — the first four milestones in the table all delivered at SPI 1.00. The NSP access work came in at 0.70 weekly SPI due to the Nokia and DNS delays I described, but it is now complete. Node buildout completed at 1.00 — done. The 9 IFCs to Hawkeye delivered at 1.00 — done. The RTU test circuit is in progress — CNI has run the physical test circuit and John Ng executes the validation test the week of April 27th.</w:t>
      </w:r>
    </w:p>
    <w:p>
      <w:pPr>
        <w:spacing w:after="160"/>
      </w:pPr>
      <w:r>
        <w:t>Greg, here is my bottom line on schedule. Phase 1 experienced a delay driven by two specific external dependencies — a Nokia license and an IT DNS change — both of which are now resolved. The team did not sit still while those were being worked through — we kept Phase 2 moving. The project is Yellow but it is recovering. The recovery plan is concrete, it is already in execution, and I am personally tracking every open item on the critical path. My expectation is that we close out all remaining Phase 1 work by end of May, and Phase 2 construction begins on schedule in August."</w:t>
      </w:r>
    </w:p>
    <w:p/>
    <w:p>
      <w:pPr>
        <w:pStyle w:val="Heading1"/>
      </w:pPr>
      <w:r>
        <w:rPr>
          <w:color w:val="1F3964"/>
        </w:rPr>
        <w:t>SLIDE 11 — Financials (~2 minutes)</w:t>
      </w:r>
    </w:p>
    <w:p>
      <w:pPr>
        <w:spacing w:after="160"/>
      </w:pPr>
      <w:r>
        <w:t>"On financials — total program spend to date is $5.66 million across 2024, 2025, and 2026. The breakdown is 76% Outside Services — that is Burns and McDonnell, Hawkeye, and Nokia. 18% Materials. 4% Internal Labor. 2% Assessments.</w:t>
      </w:r>
    </w:p>
    <w:p>
      <w:pPr>
        <w:spacing w:after="160"/>
      </w:pPr>
      <w:r>
        <w:t>As I covered in the PAR slides, we are preparing a formal Change Request to capture the additional $550,000 plus in unbudgeted PAR capital for 2026. I will also be working with Chad to properly reflect the $495,000 relay labor component in the monthly forecast once the design timeline is confirmed. You will have the formal Change Request within the next two weeks."</w:t>
      </w:r>
    </w:p>
    <w:p/>
    <w:p>
      <w:pPr>
        <w:pStyle w:val="Heading1"/>
      </w:pPr>
      <w:r>
        <w:rPr>
          <w:color w:val="1F3964"/>
        </w:rPr>
        <w:t>SLIDE 12 — Current Risks &amp; Next Steps (~3 minutes)</w:t>
      </w:r>
    </w:p>
    <w:p>
      <w:pPr>
        <w:spacing w:after="160"/>
      </w:pPr>
      <w:r>
        <w:t>"On current risks — three items I want to call out specifically.</w:t>
      </w:r>
    </w:p>
    <w:p>
      <w:pPr>
        <w:spacing w:after="160"/>
      </w:pPr>
      <w:r>
        <w:t>The first is the condition of the legacy JMUX equipment we are replacing. This infrastructure is over 25 years old and it is brittle. We have already encountered faulty connectors at sites where the parts are no longer available from vendors. There is also risk of brittle fiber patch panels, face plates, and cabling as we work through each site. This creates a real risk of an unplanned outage at any given substation on any given day. We are moving as quickly and as carefully as we safely can, and we are tracking this risk every week. The best mitigation is the project itself — getting the Nokia equipment in place and the JMUX decommissioned. Every site we complete reduces this risk.</w:t>
      </w:r>
    </w:p>
    <w:p>
      <w:pPr>
        <w:spacing w:after="160"/>
      </w:pPr>
      <w:r>
        <w:t>The second risk is weather delays during summer construction. Substation installations trigger safety protocols when temperatures exceed 90 degrees. We are planning all critical construction activities in cooler windows and we will monitor the forecast closely throughout the summer months.</w:t>
      </w:r>
    </w:p>
    <w:p>
      <w:pPr>
        <w:spacing w:after="160"/>
      </w:pPr>
      <w:r>
        <w:t>The third is potential conflicts with other major substation projects running concurrently. We are coordinating with the other project teams to manage resource and site access conflicts as they arise.</w:t>
      </w:r>
    </w:p>
    <w:p>
      <w:pPr>
        <w:spacing w:after="160"/>
      </w:pPr>
      <w:r>
        <w:t>On Next Steps — six items in priority order. One, complete the RTU circuit test with B&amp;M at Hicksville — week of April 27th. Two, confirm all Phase 1 nodes are in the network GUI and accessible remotely, and verify all routers are configured per SSP. Three, complete RTU testing and develop the MOP with B&amp;M for production RTU migration. Four, follow up with Hawkeye to ensure Phase 2 site surveys are scheduled as each remaining IFC is issued. Five, track PAR design progress with Chakrapani and confirm RC-30 equipment delivery for all 6 sites. Six, keep tracking IFR and IFC submittals — 9 of 36 received to date, Lindenhurst due Monday April 27th.</w:t>
      </w:r>
    </w:p>
    <w:p>
      <w:pPr>
        <w:spacing w:after="160"/>
      </w:pPr>
      <w:r>
        <w:t>Greg, I am moving on all of these simultaneously. I will keep you updated as each one closes out and I am happy to schedule a follow-up checkpoint in two to three weeks if that would be helpful."</w:t>
      </w:r>
    </w:p>
    <w:p/>
    <w:p>
      <w:pPr>
        <w:pStyle w:val="Heading1"/>
      </w:pPr>
      <w:r>
        <w:rPr>
          <w:color w:val="1F3964"/>
        </w:rPr>
        <w:t>ANTICIPATED QUESTIONS FROM GREG &amp; SUGGESTED ANSWERS</w:t>
      </w:r>
    </w:p>
    <w:p>
      <w:r>
        <w:rPr>
          <w:b/>
          <w:color w:val="2E74B5"/>
        </w:rPr>
        <w:t>Q: Why are we 2.8 months behind on Phase 1?</w:t>
      </w:r>
    </w:p>
    <w:p>
      <w:pPr>
        <w:pStyle w:val="Quote"/>
      </w:pPr>
      <w:r>
        <w:t>"Two specific external dependencies — both now resolved. Nokia's server license for the NSP, which we waited on and received April 13th. And a DNS change request that had to go through IT change management and required escalation to Vic before it was resolved. The moment both were cleared, the team completed the node buildout and confirmed remote access within days. While we were waiting, Phase 2 kept moving."</w:t>
      </w:r>
    </w:p>
    <w:p>
      <w:r>
        <w:rPr>
          <w:b/>
          <w:color w:val="2E74B5"/>
        </w:rPr>
        <w:t>Q: Will this impact the overall project completion date?</w:t>
      </w:r>
    </w:p>
    <w:p>
      <w:pPr>
        <w:pStyle w:val="Quote"/>
      </w:pPr>
      <w:r>
        <w:t>"No. Phase 2 has been running in parallel the entire time, so we haven't lost time on the program's critical path. Phase 2 construction targets August through September as planned. We've also pulled Phase 3 engineering forward into the Phase 2 staging window, which compresses the overall timeline. Full program recovery is projected by end of 2026."</w:t>
      </w:r>
    </w:p>
    <w:p>
      <w:r>
        <w:rPr>
          <w:b/>
          <w:color w:val="2E74B5"/>
        </w:rPr>
        <w:t>Q: What exactly is the PAR budget issue and who is responsible for the original scoping gap?</w:t>
      </w:r>
    </w:p>
    <w:p>
      <w:pPr>
        <w:pStyle w:val="Quote"/>
      </w:pPr>
      <w:r>
        <w:t>"The decision to route PAR circuits through the Nokia infrastructure was made in 2024, prior to my involvement on the project. PAR was held as a Phase 3 placeholder at roughly $30K to $40K with no detailed design or formal cost commitment. The full scope — NERC CIP compliance requiring a serial-to-IP intermediary device at 6 substations — was only discoverable through the Phase 2 detailed site surveys when the relay team was formally engaged for the first time. This is consistent with the project methodology — detailed requirements emerge from detailed engineering, which happens phase by phase. We are submitting a formal Change Request for the additional $550,000 plus in capital."</w:t>
      </w:r>
    </w:p>
    <w:p>
      <w:r>
        <w:rPr>
          <w:b/>
          <w:color w:val="2E74B5"/>
        </w:rPr>
        <w:t>Q: Why wasn't the relay team engaged earlier?</w:t>
      </w:r>
    </w:p>
    <w:p>
      <w:pPr>
        <w:pStyle w:val="Quote"/>
      </w:pPr>
      <w:r>
        <w:t>"The relay team engagement is sequenced with the detailed site surveys — you engage them when you have site-specific engineering data to work from. The surveys happen phase by phase. You cannot do Phase 2 site surveys during Phase 1 — the scope isn't defined yet. When the Phase 2 surveys were done and the relay team was brought in, the scope became clear immediately. The process worked as designed — the gap was in the original budget assumption, not in the execution."</w:t>
      </w:r>
    </w:p>
    <w:p>
      <w:r>
        <w:rPr>
          <w:b/>
          <w:color w:val="2E74B5"/>
        </w:rPr>
        <w:t>Q: When will the $495K relay labor hit the budget?</w:t>
      </w:r>
    </w:p>
    <w:p>
      <w:pPr>
        <w:pStyle w:val="Quote"/>
      </w:pPr>
      <w:r>
        <w:t>"Once Chakrapani's design is complete and we have a confirmed start date from Johnny's relay team, I will work with Chad to spread that $495,000 across the correct months in the forecast. Chad's current numbers show $120K — equipment and design only. The relay labor will be entered separately as a line item once the design timeline is confirmed. The Change Request will capture the full amount."</w:t>
      </w:r>
    </w:p>
    <w:p>
      <w:r>
        <w:rPr>
          <w:b/>
          <w:color w:val="2E74B5"/>
        </w:rPr>
        <w:t>Q: When will Phase 1 be fully complete?</w:t>
      </w:r>
    </w:p>
    <w:p>
      <w:pPr>
        <w:pStyle w:val="Quote"/>
      </w:pPr>
      <w:r>
        <w:t>"Target is end of May for all remaining Phase 1 NMS and RTU activities — RTU test week of April 27th, MOP development in early May, production RTU migration to follow. Phase 1 construction as part of the Phase 2 August through September window."</w:t>
      </w:r>
    </w:p>
    <w:p/>
    <w:p>
      <w:pPr>
        <w:spacing w:after="160"/>
      </w:pPr>
      <w:r>
        <w:t>*Prepared by Daminie AI | April 24,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