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Monumental Construction of the Panama Canal</w:t>
      </w:r>
    </w:p>
    <w:p>
      <w:r>
        <w:t>The Panama Canal, completed in 1914, stands as one of the most ambitious engineering feats of the twentieth century. Conceived as a shortcut between the Atlantic and Pacific Oceans, its construction dramatically reshaped global trade, military strategy, and the geopolitical landscape of the Americas. Although scholars debate the long‑term economic outcomes, the canal’s symbolic power—in demonstrating that human ingenuity could reshape geography—remains undisputed.</w:t>
      </w:r>
    </w:p>
    <w:p>
      <w:r>
        <w:t>From the outset, the project merged technological innovation with political drama. The French, led by Ferdinand de Lesseps—the celebrated builder of the Suez Canal—began work in 1881. Yet tropical disease, inadequate machinery, and financial scandal doomed their effort. By the time the United States assumed control in 1904, the partially excavated isthmus had already consumed over twenty thousand lives and bankrupted a generation of French investors.</w:t>
      </w:r>
    </w:p>
    <w:p>
      <w:r>
        <w:t>The American phase introduced a new approach: rather than a sea‑level canal, engineers adopted a lock‑based design to tame the Chagres River and lift ships through the continental divide. Chief Engineer John Stevens emphasized rail‑based earth removal and comprehensive sanitation. When George W. Goethals took command in 1907, the workforce reached its peak efficiency—excavating nearly a hundred million cubic yards of soil in a single year.</w:t>
      </w:r>
    </w:p>
    <w:p>
      <w:r>
        <w:t>Equally transformative were the public‑health campaigns. Guided by doctors William Gorgas and Carlos Finlay, administrators drained swamps, screened windows, and deployed unprecedented mosquito‑control tactics. Their success all but eradicated yellow fever and malaria within the Canal Zone, proving that environmental engineering could serve medicine as effectively as commerce.</w:t>
      </w:r>
    </w:p>
    <w:p>
      <w:r>
        <w:t>On August 15, 1914, the SS Ancon became the first official vessel to transit the completed waterway—a journey that cut nearly eight thousand nautical miles from the New York‑to‑San Francisco route. Though overshadowed by the opening salvos of World War I, the event marked a turning point in interoceanic navigation. Shipping patterns quickly recalibrated, boosting ports such as New Orleans, New York, and San Francisco while diminishing the prominence of Cape Horn routes.</w:t>
      </w:r>
    </w:p>
    <w:p>
      <w:r>
        <w:t>Politically, the canal cemented Washington’s influence in Latin America. The Hay‑Bunau‑Varilla Treaty granted the United States sovereignty over the Canal Zone—a nineteenth‑century colonial relic that persisted until the Torrijos‑Carter Treaties of 1977 set in motion the gradual handover to Panama. Thus, the waterway became both a symbol of American technological prowess and a flashpoint for Panamanian nationalism.</w:t>
      </w:r>
    </w:p>
    <w:p>
      <w:r>
        <w:t>Today, more than a century after its inauguration, the Panama Canal continues to expand, most notably with the 2016 completion of the Third Set of Locks. Its story intertwines engineering, medicine, labor history, and diplomacy—illustrating how infrastructure projects can reverberate far beyond their initial commercial purpose. Whether viewed as a marvel of human planning or a contentious artifact of imperial ambition, the canal endures as a testament to the profound ways in which people reshape the physical world to meet economic and strategic aspirations.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