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BD screening memo: Hypothetical Pharma BD (real public landscape, INTERNAL DEVELOPMENT)</w:t>
      </w:r>
    </w:p>
    <w:p/>
    <w:p>
      <w:r>
        <w:t xml:space="preserve">&gt; </w:t>
      </w:r>
      <w:r>
        <w:rPr>
          <w:b/>
        </w:rPr>
        <w:t>UNVALIDATED.</w:t>
      </w:r>
      <w:r>
        <w:t xml:space="preserve"> This output is UNVALIDATED-grade only. Screening uses source-provided vendor assertions that BVE has not independently confirmed. Do not use for trade sizing, acquisition probability or a transaction decision. Landscape built from public sources (research_only); hypothetical financial inputs. This memo is not an investment or transaction recommendation.</w:t>
      </w:r>
    </w:p>
    <w:p/>
    <w:p>
      <w:r/>
      <w:r>
        <w:rPr>
          <w:b/>
        </w:rPr>
        <w:t>Need screened.</w:t>
      </w:r>
      <w:r>
        <w:t xml:space="preserve"> Identify clinical-stage (Phase 2 or later) antibody-based programs that block the neonatal Fc receptor (FcRn) in myasthenia gravis. Exclude other mechanisms, cell therapies and small molecules. Prefer Phase 3 or marketed evidence. Keep scientific suitability separate from U.S. rights, ownership and licensing availability, none of which is assumed.</w:t>
      </w:r>
    </w:p>
    <w:p/>
    <w:p>
      <w:r/>
      <w:r>
        <w:rPr>
          <w:b/>
        </w:rPr>
        <w:t>Funnel.</w:t>
      </w:r>
      <w:r>
        <w:t xml:space="preserve"> 40 programs imported → 7 scientifically eligible, 11 unresolved (need diligence), 22 excluded. Main exclusion reasons: target not the specified target (18), below the minimum clinical phase (2), modality outside the allowed set (2). Eligible means every hard gate passed on cited source claims (target expression, allowed modality, required biology, area, indication and phase). Unresolved means at least one gate lacks or has conflicting evidence.</w:t>
      </w:r>
    </w:p>
    <w:p/>
    <w:p>
      <w:r/>
      <w:r>
        <w:rPr>
          <w:b/>
        </w:rPr>
        <w:t>Rights are a separate question.</w:t>
      </w:r>
      <w:r>
        <w:t xml:space="preserve"> Of the 7 eligible programs, U.S. rights status is: unknown 7. No program is shown as available without an explicit source statement.</w:t>
      </w:r>
    </w:p>
    <w:p/>
    <w:p>
      <w:r/>
      <w:r>
        <w:rPr>
          <w:b/>
        </w:rPr>
        <w:t>Finalists: 0 ( reviewers)</w:t>
      </w:r>
      <w:r>
        <w:t xml:space="preserve"> (rank order by declared preferences; rights shown separately):</w:t>
      </w:r>
    </w:p>
    <w:p/>
    <w:p>
      <w:r/>
      <w:r>
        <w:rPr>
          <w:b/>
        </w:rPr>
        <w:t>Preliminary valuations</w:t>
      </w:r>
      <w:r>
        <w:t xml:space="preserve"> (BVE engine via CLI; hypothetical analyst inputs; $M rNPV):</w:t>
      </w:r>
    </w:p>
    <w:p/>
    <w:p>
      <w:r/>
      <w:r>
        <w:rPr>
          <w:b/>
        </w:rPr>
        <w:t>Analyst-entered facts.</w:t>
      </w:r>
      <w:r>
        <w:t xml:space="preserve"> 6 cited assertion(s) by SYNTHETIC_FIXTURE reviewer(s) changed decisions for 4 program(s); 0 override a different source value. Citations are in the Diligence sheet.</w:t>
      </w:r>
    </w:p>
    <w:p/>
    <w:p>
      <w:r/>
      <w:r>
        <w:rPr>
          <w:b/>
        </w:rPr>
        <w:t>Investigate next.</w:t>
      </w:r>
      <w:r/>
    </w:p>
    <w:p>
      <w:pPr>
        <w:pStyle w:val="ListBullet"/>
      </w:pPr>
      <w:r>
        <w:t>Confirm ownership and U.S. rights for 0 of 0 listed programs (none is analyst-confirmed).</w:t>
      </w:r>
    </w:p>
    <w:p>
      <w:pPr>
        <w:pStyle w:val="ListBullet"/>
      </w:pPr>
      <w:r>
        <w:t>Work the 11-program unresolved queue; open gates: target.expression (9), biology.mechanism_direction (9), modality.required (7), strategy.indication (7).</w:t>
      </w:r>
    </w:p>
    <w:p>
      <w:pPr>
        <w:pStyle w:val="ListBullet"/>
      </w:pPr>
      <w:r>
        <w:t>Replace hypothetical market and deal inputs with owned, sourced assumptions.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screening memo</dc:title>
  <dc:subject/>
  <dc:creator>BVE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