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"EYP-1901 (vorolanib) — BD Acquisition Analysis"</w:t>
      </w:r>
    </w:p>
    <w:p>
      <w:r>
        <w:t>subtitle: "Neovascular AMD (wet AMD), US | PHASE 3"</w:t>
      </w:r>
    </w:p>
    <w:p>
      <w:r>
        <w:t>date: "2026-03-05"</w:t>
      </w:r>
    </w:p>
    <w:p>
      <w:r>
        <w:t>company: "EyePoint Pharmaceuticals"</w:t>
      </w:r>
    </w:p>
    <w:p>
      <w:r>
        <w:t>prepared_by: "BVE Analytics"</w:t>
      </w:r>
    </w:p>
    <w:p>
      <w:r>
        <w:t>memo_type: Business Development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EYP-1901 (vorolanib): BD Acquisition Analysis</w:t>
      </w:r>
    </w:p>
    <w:p>
      <w:r/>
      <w:r>
        <w:rPr>
          <w:b/>
        </w:rPr>
        <w:t>Neovascular AMD (wet AMD), US | PHASE 3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Executive Summary</w:t>
      </w:r>
    </w:p>
    <w:p/>
    <w:p>
      <w:r>
        <w:t xml:space="preserve">EYP-1901 (vorolanib) is a small molecule developed by </w:t>
      </w:r>
      <w:r>
        <w:rPr>
          <w:b/>
        </w:rPr>
        <w:t>EyePoint Pharmaceuticals</w:t>
      </w:r>
      <w:r>
        <w:t xml:space="preserve"> (EYPT) targeting </w:t>
      </w:r>
      <w:r>
        <w:rPr>
          <w:b/>
        </w:rPr>
        <w:t>Neovascular AMD (wet AMD), US</w:t>
      </w:r>
      <w:r>
        <w:t xml:space="preserve"> in the </w:t>
      </w:r>
      <w:r>
        <w:rPr>
          <w:b/>
        </w:rPr>
        <w:t>Ophthalmology</w:t>
      </w:r>
      <w:r>
        <w:t xml:space="preserve"> space.</w:t>
      </w:r>
    </w:p>
    <w:p/>
    <w:p>
      <w:r>
        <w:t xml:space="preserve">Our risk-adjusted net present value (rNPV) model estimates </w:t>
      </w:r>
      <w:r>
        <w:rPr>
          <w:b/>
        </w:rPr>
        <w:t>$235M</w:t>
      </w:r>
      <w:r>
        <w:t xml:space="preserve"> for the asset, implying a NAV of </w:t>
      </w:r>
      <w:r>
        <w:rPr>
          <w:b/>
        </w:rPr>
        <w:t>$430M</w:t>
      </w:r>
      <w:r>
        <w:t xml:space="preserve"> ($13.02/share) inclusive of EyePoint Pharmaceuticals's </w:t>
      </w:r>
      <w:r>
        <w:rPr>
          <w:b/>
        </w:rPr>
        <w:t>$195M net cash</w:t>
      </w:r>
      <w:r>
        <w:t xml:space="preserve"> position.</w:t>
      </w:r>
    </w:p>
    <w:p>
      <w:r>
        <w:t xml:space="preserve">At the current stock price of $14.50, our analysis implies </w:t>
      </w:r>
      <w:r>
        <w:rPr>
          <w:b/>
        </w:rPr>
        <w:t>-10% upside</w:t>
      </w:r>
      <w:r>
        <w:t xml:space="preserve"> to our base-case NAV.</w:t>
      </w:r>
    </w:p>
    <w:p/>
    <w:p>
      <w:r>
        <w:t>Key valuation anchors:</w:t>
      </w:r>
    </w:p>
    <w:p>
      <w:pPr>
        <w:pStyle w:val="ListBullet"/>
      </w:pPr>
      <w:r/>
      <w:r>
        <w:rPr>
          <w:b/>
        </w:rPr>
        <w:t>Probability of approval:</w:t>
      </w:r>
      <w:r>
        <w:t xml:space="preserve"> 71.9%</w:t>
      </w:r>
    </w:p>
    <w:p>
      <w:pPr>
        <w:pStyle w:val="ListBullet"/>
      </w:pPr>
      <w:r/>
      <w:r>
        <w:rPr>
          <w:b/>
        </w:rPr>
        <w:t>Peak sales estimate:</w:t>
      </w:r>
      <w:r>
        <w:t xml:space="preserve"> $220M (base case)</w:t>
      </w:r>
    </w:p>
    <w:p>
      <w:pPr>
        <w:pStyle w:val="ListBullet"/>
      </w:pPr>
      <w:r/>
      <w:r>
        <w:rPr>
          <w:b/>
        </w:rPr>
        <w:t>Years to launch:</w:t>
      </w:r>
      <w:r>
        <w:t xml:space="preserve"> 2.5 years</w:t>
      </w:r>
    </w:p>
    <w:p>
      <w:pPr>
        <w:pStyle w:val="ListBullet"/>
      </w:pPr>
      <w:r/>
      <w:r>
        <w:rPr>
          <w:b/>
        </w:rPr>
        <w:t>Monte Carlo P50:</w:t>
      </w:r>
      <w:r>
        <w:t xml:space="preserve"> $132M | P10–P90: $29M – $331M</w:t>
      </w:r>
    </w:p>
    <w:p/>
    <w:p>
      <w:r/>
      <w:r>
        <w:rPr>
          <w:b/>
        </w:rPr>
        <w:t>Recommendation:</w:t>
      </w:r>
      <w:r>
        <w:t xml:space="preserve"> [BD team to populate based on strategic fit assessment]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&amp; Asset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EyePoint Pharmaceuticals (EYPT)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EYP-1901 (vorolanib)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Neovascular AMD (wet AMD), US</w:t>
            </w:r>
          </w:p>
        </w:tc>
      </w:tr>
      <w:tr>
        <w:tc>
          <w:tcPr>
            <w:tcW w:type="dxa" w:w="4320"/>
          </w:tcPr>
          <w:p>
            <w:r>
              <w:t>Therapeutic Area</w:t>
            </w:r>
          </w:p>
        </w:tc>
        <w:tc>
          <w:tcPr>
            <w:tcW w:type="dxa" w:w="4320"/>
          </w:tcPr>
          <w:p>
            <w:r>
              <w:t>Ophthalmology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Stage</w:t>
            </w:r>
          </w:p>
        </w:tc>
        <w:tc>
          <w:tcPr>
            <w:tcW w:type="dxa" w:w="4320"/>
          </w:tcPr>
          <w:p>
            <w:r>
              <w:t>PHASE 3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$195M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9 quarters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Clinical Program</w:t>
      </w:r>
    </w:p>
    <w:p/>
    <w:p>
      <w:pPr>
        <w:pStyle w:val="Heading3"/>
      </w:pPr>
      <w:r>
        <w:t>Remaining Development Phases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 (yrs)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Weighted Cost PV ($M)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76%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$78.1</w:t>
            </w:r>
          </w:p>
        </w:tc>
      </w:tr>
      <w:tr>
        <w:tc>
          <w:tcPr>
            <w:tcW w:type="dxa" w:w="1728"/>
          </w:tcPr>
          <w:p>
            <w:r>
              <w:t>NDA BLA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$12.2</w:t>
            </w:r>
          </w:p>
        </w:tc>
      </w:tr>
    </w:tbl>
    <w:p/>
    <w:p/>
    <w:p>
      <w:r/>
      <w:r>
        <w:rPr>
          <w:b/>
        </w:rPr>
        <w:t>Cumulative probability of approval:</w:t>
      </w:r>
      <w:r>
        <w:t xml:space="preserve"> 71.9%</w:t>
      </w:r>
    </w:p>
    <w:p>
      <w:r/>
      <w:r>
        <w:rPr>
          <w:b/>
        </w:rPr>
        <w:t>Estimated launch:</w:t>
      </w:r>
      <w:r>
        <w:t xml:space="preserve"> 2.5 years from today</w:t>
      </w:r>
    </w:p>
    <w:p>
      <w:pPr>
        <w:pStyle w:val="Heading3"/>
      </w:pPr>
      <w:r>
        <w:t>Upcoming Catalysts</w:t>
      </w:r>
    </w:p>
    <w:p/>
    <w:p>
      <w:pPr>
        <w:pStyle w:val="ListBullet"/>
      </w:pPr>
      <w:r/>
      <w:r>
        <w:rPr>
          <w:b/>
        </w:rPr>
        <w:t>Readout</w:t>
      </w:r>
      <w:r>
        <w:t xml:space="preserve"> (H2 2025): ACUITY Phase 3 topline (primary endpoint: BCVA change vs. aflibercept q8w) — est. 60% probability positive- </w:t>
      </w:r>
      <w:r>
        <w:rPr>
          <w:b/>
        </w:rPr>
        <w:t>Milestone</w:t>
      </w:r>
      <w:r>
        <w:t xml:space="preserve"> (H1 2026): NDA submission (pending ACUITY success) — est. 55% probability positive- </w:t>
      </w:r>
      <w:r>
        <w:rPr>
          <w:b/>
        </w:rPr>
        <w:t>Fda_action</w:t>
      </w:r>
      <w:r>
        <w:t xml:space="preserve"> (H1 2027): FDA PDUFA action date (NDA review) — est. 88% probability positive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Peak Sales (base)</w:t>
            </w:r>
          </w:p>
        </w:tc>
        <w:tc>
          <w:tcPr>
            <w:tcW w:type="dxa" w:w="2160"/>
          </w:tcPr>
          <w:p>
            <w:r>
              <w:t>$220M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Years to Peak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Patent / Revenue Life</w:t>
            </w:r>
          </w:p>
        </w:tc>
        <w:tc>
          <w:tcPr>
            <w:tcW w:type="dxa" w:w="2160"/>
          </w:tcPr>
          <w:p>
            <w:r>
              <w:t>12 years post-launch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COGS Rate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SG&amp;A (launch / mature)</w:t>
            </w:r>
          </w:p>
        </w:tc>
        <w:tc>
          <w:tcPr>
            <w:tcW w:type="dxa" w:w="2160"/>
          </w:tcPr>
          <w:p>
            <w:r>
              <w:t>40% → 20%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Addressable Patients</w:t>
            </w:r>
          </w:p>
        </w:tc>
        <w:tc>
          <w:tcPr>
            <w:tcW w:type="dxa" w:w="2160"/>
          </w:tcPr>
          <w:p>
            <w:r>
              <w:t>180,000</w:t>
            </w:r>
          </w:p>
        </w:tc>
        <w:tc>
          <w:tcPr>
            <w:tcW w:type="dxa" w:w="2160"/>
          </w:tcPr>
          <w:p>
            <w:r>
              <w:t>Net Price/Patient/Yr</w:t>
            </w:r>
          </w:p>
        </w:tc>
        <w:tc>
          <w:tcPr>
            <w:tcW w:type="dxa" w:w="2160"/>
          </w:tcPr>
          <w:p>
            <w:r>
              <w:t>$8500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Analysis</w:t>
      </w:r>
    </w:p>
    <w:p/>
    <w:p>
      <w:pPr>
        <w:pStyle w:val="Heading3"/>
      </w:pPr>
      <w:r>
        <w:t>Deterministic rNPV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Gross Revenue PV</w:t>
            </w:r>
          </w:p>
        </w:tc>
        <w:tc>
          <w:tcPr>
            <w:tcW w:type="dxa" w:w="4320"/>
          </w:tcPr>
          <w:p>
            <w:r>
              <w:t>$452M</w:t>
            </w:r>
          </w:p>
        </w:tc>
      </w:tr>
      <w:tr>
        <w:tc>
          <w:tcPr>
            <w:tcW w:type="dxa" w:w="4320"/>
          </w:tcPr>
          <w:p>
            <w:r>
              <w:t>Prob-Adjusted Revenue PV</w:t>
            </w:r>
          </w:p>
        </w:tc>
        <w:tc>
          <w:tcPr>
            <w:tcW w:type="dxa" w:w="4320"/>
          </w:tcPr>
          <w:p>
            <w:r>
              <w:t>$325M</w:t>
            </w:r>
          </w:p>
        </w:tc>
      </w:tr>
      <w:tr>
        <w:tc>
          <w:tcPr>
            <w:tcW w:type="dxa" w:w="4320"/>
          </w:tcPr>
          <w:p>
            <w:r>
              <w:t>Trial Costs PV (weighted)</w:t>
            </w:r>
          </w:p>
        </w:tc>
        <w:tc>
          <w:tcPr>
            <w:tcW w:type="dxa" w:w="4320"/>
          </w:tcPr>
          <w:p>
            <w:r>
              <w:t>($90M)</w:t>
            </w:r>
          </w:p>
        </w:tc>
      </w:tr>
      <w:tr>
        <w:tc>
          <w:tcPr>
            <w:tcW w:type="dxa" w:w="4320"/>
          </w:tcPr>
          <w:p>
            <w:r>
              <w:t>**rNPV**</w:t>
            </w:r>
          </w:p>
        </w:tc>
        <w:tc>
          <w:tcPr>
            <w:tcW w:type="dxa" w:w="4320"/>
          </w:tcPr>
          <w:p>
            <w:r>
              <w:t>**$235M**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$195M</w:t>
            </w:r>
          </w:p>
        </w:tc>
      </w:tr>
      <w:tr>
        <w:tc>
          <w:tcPr>
            <w:tcW w:type="dxa" w:w="4320"/>
          </w:tcPr>
          <w:p>
            <w:r>
              <w:t>**Total NAV**</w:t>
            </w:r>
          </w:p>
        </w:tc>
        <w:tc>
          <w:tcPr>
            <w:tcW w:type="dxa" w:w="4320"/>
          </w:tcPr>
          <w:p>
            <w:r>
              <w:t>**$430M ($13.02/share)**</w:t>
            </w:r>
          </w:p>
        </w:tc>
      </w:tr>
    </w:tbl>
    <w:p/>
    <w:p/>
    <w:p>
      <w:pPr>
        <w:pStyle w:val="Heading3"/>
      </w:pPr>
      <w:r>
        <w:t>Scenario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rNPV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NAV/Share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1728"/>
          </w:tcPr>
          <w:p>
            <w:r>
              <w:t>**Bull**</w:t>
            </w:r>
          </w:p>
        </w:tc>
        <w:tc>
          <w:tcPr>
            <w:tcW w:type="dxa" w:w="1728"/>
          </w:tcPr>
          <w:p>
            <w:r>
              <w:t>$712M</w:t>
            </w:r>
          </w:p>
        </w:tc>
        <w:tc>
          <w:tcPr>
            <w:tcW w:type="dxa" w:w="1728"/>
          </w:tcPr>
          <w:p>
            <w:r>
              <w:t>$907M</w:t>
            </w:r>
          </w:p>
        </w:tc>
        <w:tc>
          <w:tcPr>
            <w:tcW w:type="dxa" w:w="1728"/>
          </w:tcPr>
          <w:p>
            <w:r>
              <w:t>$27.49</w:t>
            </w:r>
          </w:p>
        </w:tc>
        <w:tc>
          <w:tcPr>
            <w:tcW w:type="dxa" w:w="1728"/>
          </w:tcPr>
          <w:p>
            <w:r>
              <w:t>98%</w:t>
            </w:r>
          </w:p>
        </w:tc>
      </w:tr>
      <w:tr>
        <w:tc>
          <w:tcPr>
            <w:tcW w:type="dxa" w:w="1728"/>
          </w:tcPr>
          <w:p>
            <w:r>
              <w:t>**Base**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$430M</w:t>
            </w:r>
          </w:p>
        </w:tc>
        <w:tc>
          <w:tcPr>
            <w:tcW w:type="dxa" w:w="1728"/>
          </w:tcPr>
          <w:p>
            <w:r>
              <w:t>$13.02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  <w:tr>
        <w:tc>
          <w:tcPr>
            <w:tcW w:type="dxa" w:w="1728"/>
          </w:tcPr>
          <w:p>
            <w:r>
              <w:t>**Bear**</w:t>
            </w:r>
          </w:p>
        </w:tc>
        <w:tc>
          <w:tcPr>
            <w:tcW w:type="dxa" w:w="1728"/>
          </w:tcPr>
          <w:p>
            <w:r>
              <w:t>$-37M</w:t>
            </w:r>
          </w:p>
        </w:tc>
        <w:tc>
          <w:tcPr>
            <w:tcW w:type="dxa" w:w="1728"/>
          </w:tcPr>
          <w:p>
            <w:r>
              <w:t>$158M</w:t>
            </w:r>
          </w:p>
        </w:tc>
        <w:tc>
          <w:tcPr>
            <w:tcW w:type="dxa" w:w="1728"/>
          </w:tcPr>
          <w:p>
            <w:r>
              <w:t>$4.78</w:t>
            </w:r>
          </w:p>
        </w:tc>
        <w:tc>
          <w:tcPr>
            <w:tcW w:type="dxa" w:w="1728"/>
          </w:tcPr>
          <w:p>
            <w:r>
              <w:t>35%</w:t>
            </w:r>
          </w:p>
        </w:tc>
      </w:tr>
    </w:tbl>
    <w:p/>
    <w:p/>
    <w:p>
      <w:pPr>
        <w:pStyle w:val="Heading3"/>
      </w:pPr>
      <w:r>
        <w:t>Monte Carlo Distribution (10000 simulations)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rNPV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$9M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$70M</w:t>
            </w:r>
          </w:p>
        </w:tc>
      </w:tr>
      <w:tr>
        <w:tc>
          <w:tcPr>
            <w:tcW w:type="dxa" w:w="4320"/>
          </w:tcPr>
          <w:p>
            <w:r>
              <w:t>**P50 (median)**</w:t>
            </w:r>
          </w:p>
        </w:tc>
        <w:tc>
          <w:tcPr>
            <w:tcW w:type="dxa" w:w="4320"/>
          </w:tcPr>
          <w:p>
            <w:r>
              <w:t>**$132M**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$223M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$412M</w:t>
            </w:r>
          </w:p>
        </w:tc>
      </w:tr>
      <w:tr>
        <w:tc>
          <w:tcPr>
            <w:tcW w:type="dxa" w:w="4320"/>
          </w:tcPr>
          <w:p>
            <w:r>
              <w:t>**Mean**</w:t>
            </w:r>
          </w:p>
        </w:tc>
        <w:tc>
          <w:tcPr>
            <w:tcW w:type="dxa" w:w="4320"/>
          </w:tcPr>
          <w:p>
            <w:r>
              <w:t>**$162M**</w:t>
            </w:r>
          </w:p>
        </w:tc>
      </w:tr>
    </w:tbl>
    <w:p/>
    <w:p/>
    <w:p>
      <w:r>
        <w:t xml:space="preserve">Probability of positive value: </w:t>
      </w:r>
      <w:r>
        <w:rPr>
          <w:b/>
        </w:rPr>
        <w:t>96.6%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 (Tornado)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Swing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$120M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$317M</w:t>
            </w:r>
          </w:p>
        </w:tc>
        <w:tc>
          <w:tcPr>
            <w:tcW w:type="dxa" w:w="1728"/>
          </w:tcPr>
          <w:p>
            <w:r>
              <w:t>$197M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$137M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$332M</w:t>
            </w:r>
          </w:p>
        </w:tc>
        <w:tc>
          <w:tcPr>
            <w:tcW w:type="dxa" w:w="1728"/>
          </w:tcPr>
          <w:p>
            <w:r>
              <w:t>$195M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$137M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$332M</w:t>
            </w:r>
          </w:p>
        </w:tc>
        <w:tc>
          <w:tcPr>
            <w:tcW w:type="dxa" w:w="1728"/>
          </w:tcPr>
          <w:p>
            <w:r>
              <w:t>$195M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$171M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$280M</w:t>
            </w:r>
          </w:p>
        </w:tc>
        <w:tc>
          <w:tcPr>
            <w:tcW w:type="dxa" w:w="1728"/>
          </w:tcPr>
          <w:p>
            <w:r>
              <w:t>$110M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$189M</w:t>
            </w:r>
          </w:p>
        </w:tc>
        <w:tc>
          <w:tcPr>
            <w:tcW w:type="dxa" w:w="1728"/>
          </w:tcPr>
          <w:p>
            <w:r>
              <w:t>$235M</w:t>
            </w:r>
          </w:p>
        </w:tc>
        <w:tc>
          <w:tcPr>
            <w:tcW w:type="dxa" w:w="1728"/>
          </w:tcPr>
          <w:p>
            <w:r>
              <w:t>$291M</w:t>
            </w:r>
          </w:p>
        </w:tc>
        <w:tc>
          <w:tcPr>
            <w:tcW w:type="dxa" w:w="1728"/>
          </w:tcPr>
          <w:p>
            <w:r>
              <w:t>$103M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Decision Framing</w:t>
      </w:r>
    </w:p>
    <w:p/>
    <w:p>
      <w:pPr>
        <w:pStyle w:val="Heading3"/>
      </w:pPr>
      <w:r>
        <w:t>Variant Perception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~35%</w:t>
            </w:r>
          </w:p>
        </w:tc>
        <w:tc>
          <w:tcPr>
            <w:tcW w:type="dxa" w:w="2160"/>
          </w:tcPr>
          <w:p>
            <w:r>
              <w:t>71.9%</w:t>
            </w:r>
          </w:p>
        </w:tc>
        <w:tc>
          <w:tcPr>
            <w:tcW w:type="dxa" w:w="2160"/>
          </w:tcPr>
          <w:p>
            <w:r>
              <w:t>+37pp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$180M</w:t>
            </w:r>
          </w:p>
        </w:tc>
        <w:tc>
          <w:tcPr>
            <w:tcW w:type="dxa" w:w="2160"/>
          </w:tcPr>
          <w:p>
            <w:r>
              <w:t>$220M</w:t>
            </w:r>
          </w:p>
        </w:tc>
        <w:tc>
          <w:tcPr>
            <w:tcW w:type="dxa" w:w="2160"/>
          </w:tcPr>
          <w:p>
            <w:r>
              <w:t>$+40M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$14.50 (current)</w:t>
            </w:r>
          </w:p>
        </w:tc>
        <w:tc>
          <w:tcPr>
            <w:tcW w:type="dxa" w:w="2160"/>
          </w:tcPr>
          <w:p>
            <w:r>
              <w:t>$13.02</w:t>
            </w:r>
          </w:p>
        </w:tc>
        <w:tc>
          <w:tcPr>
            <w:tcW w:type="dxa" w:w="2160"/>
          </w:tcPr>
          <w:p>
            <w:r>
              <w:t>-10%</w:t>
            </w:r>
          </w:p>
        </w:tc>
      </w:tr>
    </w:tbl>
    <w:p/>
    <w:p>
      <w:r/>
      <w:r>
        <w:rPr>
          <w:b/>
        </w:rPr>
        <w:t>Market-implied P(approval):</w:t>
      </w:r>
      <w:r>
        <w:t xml:space="preserve"> 82.7% (back-solved from market cap – net cash)</w:t>
      </w:r>
    </w:p>
    <w:p>
      <w:r/>
      <w:r>
        <w:rPr>
          <w:b/>
        </w:rPr>
        <w:t>Model P(approval):</w:t>
      </w:r>
      <w:r>
        <w:t xml:space="preserve"> 71.9%</w:t>
      </w:r>
    </w:p>
    <w:p/>
    <w:p>
      <w:r/>
      <w:r>
        <w:rPr>
          <w:b/>
        </w:rPr>
        <w:t>Our edge:</w:t>
      </w:r>
      <w:r>
        <w:t xml:space="preserve"> The market treats EYP-1901 as a me-too anti-VEGF and discounts the ACUITY readout on Phase 3 execution risk. Three factors are underweighted: (1) real-world adherence data shows ~40% of wet AMD patients are undertreated on monthly/bimonthly schedules — semi-annual dosing is the structural fix to this problem; (2) Phase 2 DAVIO 2 showed clear non-inferiority, making ACUITY a confirmation rather than a discovery trial; (3) the competitive moat of the Durasert technology is underappreciated — no other approved therapy offers intravitreal semi-annual dosing in wet AMD.</w:t>
      </w:r>
    </w:p>
    <w:p/>
    <w:p/>
    <w:p>
      <w:pPr>
        <w:pStyle w:val="Heading3"/>
      </w:pPr>
      <w:r>
        <w:t>Kill Criteria</w:t>
      </w:r>
    </w:p>
    <w:p>
      <w:pPr>
        <w:pStyle w:val="ListBullet"/>
      </w:pPr>
      <w:r>
        <w:t>ACUITY primary endpoint failure: EYP-1901 arm inferior by &gt;4 ETDRS letters to aflibercept at week 52</w:t>
      </w:r>
    </w:p>
    <w:p>
      <w:pPr>
        <w:pStyle w:val="ListBullet"/>
      </w:pPr>
      <w:r>
        <w:t>Delivery failure: &lt;50% of patients maintain 6-month dosing interval (validates Susvimo concerns about durability)</w:t>
      </w:r>
    </w:p>
    <w:p>
      <w:pPr>
        <w:pStyle w:val="ListBullet"/>
      </w:pPr>
      <w:r>
        <w:t>Safety signal: choroidal or retinal atrophy signal at rates materially above aflibercept comparator</w:t>
      </w:r>
    </w:p>
    <w:p>
      <w:pPr>
        <w:pStyle w:val="ListBullet"/>
      </w:pPr>
      <w:r>
        <w:t>Payer rejection of semi-annual premium pricing (≥2× per-injection vs. Eylea) — limits uptake to cash-pay patients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**Endpoint / Regulatory**</w:t>
            </w:r>
          </w:p>
        </w:tc>
        <w:tc>
          <w:tcPr>
            <w:tcW w:type="dxa" w:w="2880"/>
          </w:tcPr>
          <w:p>
            <w:r>
              <w:t>Non-inferiority trial design requires EYP-1901 to hit NI margin (-4 ETDRS letters). If any subgroup (e.g., early disease, large CNV) shows inferiority, FDA may restrict the label to the subgroup showing NI — reducing the addressable population significantly.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**CMC / Manufacturing**</w:t>
            </w:r>
          </w:p>
        </w:tc>
        <w:tc>
          <w:tcPr>
            <w:tcW w:type="dxa" w:w="2880"/>
          </w:tcPr>
          <w:p>
            <w:r>
              <w:t>Durasert sustained-release polymer formulation is manufacturing-intensive. Scale-up from Phase 3 to commercial supply has not been demonstrated. Any manufacturing deviation affecting drug release kinetics could alter the durability profile validated in Phase 2.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**Payer / Pricing**</w:t>
            </w:r>
          </w:p>
        </w:tc>
        <w:tc>
          <w:tcPr>
            <w:tcW w:type="dxa" w:w="2880"/>
          </w:tcPr>
          <w:p>
            <w:r>
              <w:t>CMS reimburses ophthalmology drugs under Medicare Part B (ASP + 6%). Semi-annual EYP-1901 must price competitively per injection vs. Eylea/Vabysmo while delivering overall annual cost savings to payers. If payers do not recognize the adherence/outcomes benefit, net price could compress toward aflibercept parity, reducing our pricing assumption by 30-40%.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**Competition**</w:t>
            </w:r>
          </w:p>
        </w:tc>
        <w:tc>
          <w:tcPr>
            <w:tcW w:type="dxa" w:w="2880"/>
          </w:tcPr>
          <w:p>
            <w:r>
              <w:t>Genentech's Susvimo (port delivery) failed to gain traction due to surgical procedure requirement. If EYP-1901 is perceived similarly "too complicated" by retina specialists, penetration could mirror Susvimo's &lt;5% rather than our 18%. Biosimilar Eylea entry may also compress market pricing for all nAMD agents.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**IP / Patent**</w:t>
            </w:r>
          </w:p>
        </w:tc>
        <w:tc>
          <w:tcPr>
            <w:tcW w:type="dxa" w:w="2880"/>
          </w:tcPr>
          <w:p>
            <w:r>
              <w:t>Vorolanib patent and Durasert formulation patent both required for 12-year exclusivity. Orange Book listing strategy and patent term extension not publicly confirmed. If competitors develop alternative sustained-release TKI formulations with similar duration, first-mover advantage may erode faster than modeled.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Clinical failure</w:t>
            </w:r>
          </w:p>
        </w:tc>
        <w:tc>
          <w:tcPr>
            <w:tcW w:type="dxa" w:w="2880"/>
          </w:tcPr>
          <w:p>
            <w:r>
              <w:t>P(failure) = 28%; applies to each remaining phase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Cash runway</w:t>
            </w:r>
          </w:p>
        </w:tc>
        <w:tc>
          <w:tcPr>
            <w:tcW w:type="dxa" w:w="2880"/>
          </w:tcPr>
          <w:p>
            <w:r>
              <w:t>9 quarters at current burn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Deal Considerations</w:t>
      </w:r>
    </w:p>
    <w:p/>
    <w:p>
      <w:r/>
      <w:r>
        <w:rPr>
          <w:i/>
        </w:rPr>
        <w:t>[BD team to populate: deal structure, license vs. acquisition, milestones, royalties, manufacturing/CMC considerations, strategic synergies, competing bids]</w:t>
      </w:r>
      <w:r/>
    </w:p>
    <w:p/>
    <w:p>
      <w:r/>
      <w:r>
        <w:rPr>
          <w:b/>
        </w:rPr>
        <w:t>Suggested deal framework:</w:t>
      </w:r>
      <w:r/>
    </w:p>
    <w:p>
      <w:pPr>
        <w:pStyle w:val="ListBullet"/>
      </w:pPr>
      <w:r>
        <w:t>Structure: [License-in / Co-development / Full acquisition]</w:t>
      </w:r>
    </w:p>
    <w:p>
      <w:pPr>
        <w:pStyle w:val="ListBullet"/>
      </w:pPr>
      <w:r>
        <w:t>Target upfront: [To be determined based on competitive tension and strategic priority]</w:t>
      </w:r>
    </w:p>
    <w:p>
      <w:pPr>
        <w:pStyle w:val="ListBullet"/>
      </w:pPr>
      <w:r>
        <w:t>Milestone structure: Phase 3 initiation / NDA submission / Approval / Sales milestones</w:t>
      </w:r>
    </w:p>
    <w:p>
      <w:pPr>
        <w:pStyle w:val="ListBullet"/>
      </w:pPr>
      <w:r>
        <w:t>Royalty tiers: [10–15% net sales, depending on geography split]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A: Key Assumptions</w:t>
      </w:r>
    </w:p>
    <w:p/>
    <w:p>
      <w:r>
        <w:t>Every assumption that materially affects rNPV is listed below.</w:t>
      </w:r>
    </w:p>
    <w:p>
      <w:pPr>
        <w:pStyle w:val="ListBullet"/>
      </w:pPr>
      <w:r/>
      <w:r>
        <w:rPr>
          <w:b/>
        </w:rPr>
        <w:t>Sensitivity</w:t>
      </w:r>
      <w:r>
        <w:t xml:space="preserve"> = impact on rNPV if assumption is wrong by ±1σ</w:t>
      </w:r>
    </w:p>
    <w:p>
      <w:pPr>
        <w:pStyle w:val="ListBullet"/>
      </w:pPr>
      <w:r/>
      <w:r>
        <w:rPr>
          <w:b/>
        </w:rPr>
        <w:t>Confidence</w:t>
      </w:r>
      <w:r>
        <w:t xml:space="preserve"> = analyst's confidence in the input value itself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rNPV Sensitivity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WACC (Discount Rate)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% per year</w:t>
            </w:r>
          </w:p>
        </w:tc>
        <w:tc>
          <w:tcPr>
            <w:tcW w:type="dxa" w:w="1234"/>
          </w:tcPr>
          <w:p>
            <w:r>
              <w:t>Damodaran biotech sector WACC; standard industry conven…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Commercial Horizon</w:t>
            </w:r>
          </w:p>
        </w:tc>
        <w:tc>
          <w:tcPr>
            <w:tcW w:type="dxa" w:w="1234"/>
          </w:tcPr>
          <w:p>
            <w:r>
              <w:t>12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Estimated based on typical composition-of-matter patent…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Economic Ownership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Implied by royalty_rate in config; adjust for any licen…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Addressable Patients (annual, US)</w:t>
            </w:r>
          </w:p>
        </w:tc>
        <w:tc>
          <w:tcPr>
            <w:tcW w:type="dxa" w:w="1234"/>
          </w:tcPr>
          <w:p>
            <w:r>
              <w:t>180,000</w:t>
            </w:r>
          </w:p>
        </w:tc>
        <w:tc>
          <w:tcPr>
            <w:tcW w:type="dxa" w:w="1234"/>
          </w:tcPr>
          <w:p>
            <w:r>
              <w:t>patients/year</w:t>
            </w:r>
          </w:p>
        </w:tc>
        <w:tc>
          <w:tcPr>
            <w:tcW w:type="dxa" w:w="1234"/>
          </w:tcPr>
          <w:p>
            <w:r>
              <w:t>[Public epidemiology data (SEER, IQVIA, compan…](https://www.nei.nih.gov/learn-about-eye-health/eye-conditions-and-diseases/age-related-macular-degeneration)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Price per Patient / Year (US)</w:t>
            </w:r>
          </w:p>
        </w:tc>
        <w:tc>
          <w:tcPr>
            <w:tcW w:type="dxa" w:w="1234"/>
          </w:tcPr>
          <w:p>
            <w:r>
              <w:t>$8,500</w:t>
            </w:r>
          </w:p>
        </w:tc>
        <w:tc>
          <w:tcPr>
            <w:tcW w:type="dxa" w:w="1234"/>
          </w:tcPr>
          <w:p>
            <w:r>
              <w:t>USD/patient/year</w:t>
            </w:r>
          </w:p>
        </w:tc>
        <w:tc>
          <w:tcPr>
            <w:tcW w:type="dxa" w:w="1234"/>
          </w:tcPr>
          <w:p>
            <w:r>
              <w:t>[Benchmarked against approved comps; WAC × (1 …](https://www.icer.org/wp-content/uploads/2023/09/ICER_wAMD_Evidence_Report_Final_09152023.pdf)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Gross-to-Net Discount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SSR Health / CMS data benchmarks for small molecule in 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COGS Rate</w:t>
            </w:r>
          </w:p>
        </w:tc>
        <w:tc>
          <w:tcPr>
            <w:tcW w:type="dxa" w:w="1234"/>
          </w:tcPr>
          <w:p>
            <w:r>
              <w:t>18% of net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 for small molecule; DiMasi / company…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Peak Market Penetration</w:t>
            </w:r>
          </w:p>
        </w:tc>
        <w:tc>
          <w:tcPr>
            <w:tcW w:type="dxa" w:w="1234"/>
          </w:tcPr>
          <w:p>
            <w:r>
              <w:t>18% of addressable patients</w:t>
            </w:r>
          </w:p>
        </w:tc>
        <w:tc>
          <w:tcPr>
            <w:tcW w:type="dxa" w:w="1234"/>
          </w:tcPr>
          <w:p>
            <w:r>
              <w:t>% of addressable population</w:t>
            </w:r>
          </w:p>
        </w:tc>
        <w:tc>
          <w:tcPr>
            <w:tcW w:type="dxa" w:w="1234"/>
          </w:tcPr>
          <w:p>
            <w:r>
              <w:t>[Analyst estimate based on competitive positio…](https://www.retina-specialist.com/article/port-delivery-system-real-world-update)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Years to Peak Sales</w:t>
            </w:r>
          </w:p>
        </w:tc>
        <w:tc>
          <w:tcPr>
            <w:tcW w:type="dxa" w:w="1234"/>
          </w:tcPr>
          <w:p>
            <w:r>
              <w:t>5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Comparable product launches in specialty/oncology; fast…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SG&amp;A Structure</w:t>
            </w:r>
          </w:p>
        </w:tc>
        <w:tc>
          <w:tcPr>
            <w:tcW w:type="dxa" w:w="1234"/>
          </w:tcPr>
          <w:p>
            <w:r>
              <w:t>40% (launch) → 20% (mature) of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benchmarks; specialty pharma commercial model.…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POS Methodology</w:t>
            </w:r>
          </w:p>
        </w:tc>
        <w:tc>
          <w:tcPr>
            <w:tcW w:type="dxa" w:w="1234"/>
          </w:tcPr>
          <w:p>
            <w:r>
              <w:t>Heuristic log-odds model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[Industry-prior base rates (Biomedtracker/IQVI…](https://www.ncbi.nlm.nih.gov/pmc/articles/PMC4609178/)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PHASE 3)</w:t>
            </w:r>
          </w:p>
        </w:tc>
        <w:tc>
          <w:tcPr>
            <w:tcW w:type="dxa" w:w="1234"/>
          </w:tcPr>
          <w:p>
            <w:r>
              <w:t>76%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NDA BLA)</w:t>
            </w:r>
          </w:p>
        </w:tc>
        <w:tc>
          <w:tcPr>
            <w:tcW w:type="dxa" w:w="1234"/>
          </w:tcPr>
          <w:p>
            <w:r>
              <w:t>94%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B: What Would Change This Thesis</w:t>
      </w:r>
    </w:p>
    <w:p/>
    <w:p/>
    <w:p>
      <w:pPr>
        <w:pStyle w:val="ListNumber"/>
      </w:pPr>
      <w:r>
        <w:t>ACUITY week-52 topline: BCVA NI demonstrated with ≥65% of patients at 6-month dosing → validates delivery + efficacy simultaneously (strong bull case).</w:t>
      </w:r>
    </w:p>
    <w:p>
      <w:pPr>
        <w:pStyle w:val="ListNumber"/>
      </w:pPr>
      <w:r>
        <w:t>ACUITY fails NI: primary endpoint missed → thesis ends; stock likely falls 70-80%.</w:t>
      </w:r>
    </w:p>
    <w:p>
      <w:pPr>
        <w:pStyle w:val="ListNumber"/>
      </w:pPr>
      <w:r>
        <w:t>FDA grants priority review for NDA → signals 'breakthrough-like' unmet need recognition; re-rates near-term.</w:t>
      </w:r>
    </w:p>
    <w:p>
      <w:pPr>
        <w:pStyle w:val="ListNumber"/>
      </w:pPr>
      <w:r>
        <w:t>Payer framework announcement pre-launch: if a major PBM pre-approves formulary positioning at semi-annual dosing premium → accelerates adoption trajectory.</w:t>
      </w:r>
    </w:p>
    <w:p>
      <w:pPr>
        <w:pStyle w:val="ListNumber"/>
      </w:pPr>
      <w:r>
        <w:t>Susvimo (Genentech) reports strong real-world 6-month durability data → validates semi-annual dosing as category; pulls EYP-1901 along.</w:t>
      </w:r>
    </w:p>
    <w:p>
      <w:pPr>
        <w:pStyle w:val="ListNumber"/>
      </w:pPr>
      <w:r>
        <w:t>Partnership or acquisition by Novartis/Roche/AbbVie → likely at significant premium to NAV given platform value of Durasert technology.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C: Limitations</w:t>
      </w:r>
    </w:p>
    <w:p/>
    <w:p>
      <w:pPr>
        <w:pStyle w:val="ListBullet"/>
      </w:pPr>
      <w:r>
        <w:t>US market only. EU/Japan not modeled; ophthalmology has strong ex-US markets (30-40% of US value).</w:t>
      </w:r>
    </w:p>
    <w:p>
      <w:pPr>
        <w:pStyle w:val="ListBullet"/>
      </w:pPr>
      <w:r>
        <w:t>Novel delivery modality: penetration assumption (18%) extrapolated from Susvimo precedent; actual adoption may be materially higher or lower.</w:t>
      </w:r>
    </w:p>
    <w:p>
      <w:pPr>
        <w:pStyle w:val="ListBullet"/>
      </w:pPr>
      <w:r>
        <w:t>Pricing model assumes EYP-1901 prices at 1.8× Eylea per injection (offset by fewer total injections); payer negotiation outcome unknown.</w:t>
      </w:r>
    </w:p>
    <w:p>
      <w:pPr>
        <w:pStyle w:val="ListBullet"/>
      </w:pPr>
      <w:r>
        <w:t>No combination therapy modeled; EYP-1901 + complement inhibitor combination could expand TAM.</w:t>
      </w:r>
    </w:p>
    <w:p>
      <w:pPr>
        <w:pStyle w:val="ListBullet"/>
      </w:pPr>
      <w:r>
        <w:t>Legacy products (Dexycu, Yutiq) not included; contribute ~$30-35M/year in existing revenue.</w:t>
      </w:r>
    </w:p>
    <w:p>
      <w:pPr>
        <w:pStyle w:val="ListBullet"/>
      </w:pPr>
      <w:r>
        <w:t>Single-asset NAV only; EyePoint may have additional pipeline programs not modeled.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D: Methodology</w:t>
      </w:r>
    </w:p>
    <w:p/>
    <w:p>
      <w:r/>
      <w:r>
        <w:rPr>
          <w:b/>
        </w:rPr>
        <w:t>rNPV:</w:t>
      </w:r>
      <w:r>
        <w:t xml:space="preserve"> Probability-weighted DCF. Trial costs discounted at phase midpoint, weighted by P(reaching each phase). Revenue modeled as EBIT (net revenue − COGS − SG&amp;A), discounted at 12% WACC over a 12-year commercial horizon.</w:t>
      </w:r>
    </w:p>
    <w:p/>
    <w:p>
      <w:r/>
      <w:r>
        <w:rPr>
          <w:b/>
        </w:rPr>
        <w:t>POS model:</w:t>
      </w:r>
      <w:r>
        <w:t xml:space="preserve"> Industry-prior phase transition rates (Biomedtracker/IQVIA 2021, by therapeutic area) adjusted in log-odds space for: endpoint type, MoA precedent, sample adequacy, safety profile, biomarker selection, and competitive pressure. Each adjuster shifts P by ±10–25pp around the base rate.</w:t>
      </w:r>
    </w:p>
    <w:p/>
    <w:p>
      <w:r/>
      <w:r>
        <w:rPr>
          <w:b/>
        </w:rPr>
        <w:t>Monte Carlo (10000 simulations):</w:t>
      </w:r>
      <w:r>
        <w:t xml:space="preserve"> Phase success ~ Beta(α, β) from analyst mean + ESS; peak sales ~ log-normal (CV=81%); discount rate ~ Normal(μ, 2pp); years-to-peak ~ Normal(μ, 1.5 yrs). Correlated draws via Gaussian copula (peak_sales ↔ penetration ρ = −0.20).</w:t>
      </w:r>
    </w:p>
    <w:p/>
    <w:p>
      <w:r/>
      <w:r>
        <w:rPr>
          <w:b/>
        </w:rPr>
        <w:t>Scenario analysis:</w:t>
      </w:r>
      <w:r>
        <w:t xml:space="preserve"> Bull/base/bear applied as multiplicative shocks to peak sales (×1.5/1.0/0.55), POS (×1.3/1.0/0.70), duration (−0.5/0/+1.0 yrs), and WACC (−1pp/0/+2pp).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EYP-1901 (vorolanib) — BD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