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title: "EYP-1901 (vorolanib) / EYPT — HF Event-Driven Analysis"</w:t>
      </w:r>
    </w:p>
    <w:p>
      <w:r>
        <w:t>date: "2026-03-05"</w:t>
      </w:r>
    </w:p>
    <w:p>
      <w:r>
        <w:t>memo_type: Hedge Fund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EYPT: Event-Driven / Mispricing Analysis</w:t>
      </w:r>
    </w:p>
    <w:p>
      <w:r/>
      <w:r>
        <w:rPr>
          <w:b/>
        </w:rPr>
        <w:t>EYP-1901 (vorolanib) | Neovascular AMD (wet AMD), US | 2026-03-05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Variant Perception</w:t>
      </w:r>
    </w:p>
    <w:p/>
    <w:p>
      <w:r/>
      <w:r>
        <w:rPr>
          <w:i/>
        </w:rPr>
        <w:t>What does the market believe, and why are we different?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Market Consensus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Edge</w:t>
            </w:r>
          </w:p>
        </w:tc>
      </w:tr>
      <w:tr>
        <w:tc>
          <w:tcPr>
            <w:tcW w:type="dxa" w:w="2160"/>
          </w:tcPr>
          <w:p>
            <w:r>
              <w:t>P(Approval)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71.9%</w:t>
            </w:r>
          </w:p>
        </w:tc>
        <w:tc>
          <w:tcPr>
            <w:tcW w:type="dxa" w:w="2160"/>
          </w:tcPr>
          <w:p>
            <w:r>
              <w:t>+37pp</w:t>
            </w:r>
          </w:p>
        </w:tc>
      </w:tr>
      <w:tr>
        <w:tc>
          <w:tcPr>
            <w:tcW w:type="dxa" w:w="2160"/>
          </w:tcPr>
          <w:p>
            <w:r>
              <w:t>Peak Sales</w:t>
            </w:r>
          </w:p>
        </w:tc>
        <w:tc>
          <w:tcPr>
            <w:tcW w:type="dxa" w:w="2160"/>
          </w:tcPr>
          <w:p>
            <w:r>
              <w:t>$180M</w:t>
            </w:r>
          </w:p>
        </w:tc>
        <w:tc>
          <w:tcPr>
            <w:tcW w:type="dxa" w:w="2160"/>
          </w:tcPr>
          <w:p>
            <w:r>
              <w:t>$220M</w:t>
            </w:r>
          </w:p>
        </w:tc>
        <w:tc>
          <w:tcPr>
            <w:tcW w:type="dxa" w:w="2160"/>
          </w:tcPr>
          <w:p>
            <w:r>
              <w:t>$+40M</w:t>
            </w:r>
          </w:p>
        </w:tc>
      </w:tr>
      <w:tr>
        <w:tc>
          <w:tcPr>
            <w:tcW w:type="dxa" w:w="2160"/>
          </w:tcPr>
          <w:p>
            <w:r>
              <w:t>NAV/Share</w:t>
            </w:r>
          </w:p>
        </w:tc>
        <w:tc>
          <w:tcPr>
            <w:tcW w:type="dxa" w:w="2160"/>
          </w:tcPr>
          <w:p>
            <w:r>
              <w:t>$14.50 (market)</w:t>
            </w:r>
          </w:p>
        </w:tc>
        <w:tc>
          <w:tcPr>
            <w:tcW w:type="dxa" w:w="2160"/>
          </w:tcPr>
          <w:p>
            <w:r>
              <w:t>$13.02</w:t>
            </w:r>
          </w:p>
        </w:tc>
        <w:tc>
          <w:tcPr>
            <w:tcW w:type="dxa" w:w="2160"/>
          </w:tcPr>
          <w:p>
            <w:r>
              <w:t>-10%</w:t>
            </w:r>
          </w:p>
        </w:tc>
      </w:tr>
    </w:tbl>
    <w:p/>
    <w:p/>
    <w:p>
      <w:r/>
      <w:r>
        <w:rPr>
          <w:b/>
        </w:rPr>
        <w:t>Market-implied P(approval):</w:t>
      </w:r>
      <w:r>
        <w:t xml:space="preserve"> 82.7% (back-solved: [market cap − net cash + weighted trial costs] ÷ gross revenue PV)</w:t>
      </w:r>
    </w:p>
    <w:p/>
    <w:p>
      <w:r/>
      <w:r>
        <w:rPr>
          <w:b/>
        </w:rPr>
        <w:t>Thesis:</w:t>
      </w:r>
      <w:r>
        <w:t xml:space="preserve"> The market treats EYP-1901 as a me-too anti-VEGF and discounts the ACUITY readout on Phase 3 execution risk. Three factors are underweighted: (1) real-world adherence data shows ~40% of wet AMD patients are undertreated on monthly/bimonthly schedules — semi-annual dosing is the structural fix to this problem; (2) Phase 2 DAVIO 2 showed clear non-inferiority, making ACUITY a confirmation rather than a discovery trial; (3) the competitive moat of the Durasert technology is underappreciated — no other approved therapy offers intravitreal semi-annual dosing in wet AMD.</w:t>
      </w:r>
    </w:p>
    <w:p/>
    <w:p/>
    <w:p>
      <w:r/>
      <w:r>
        <w:rPr>
          <w:b/>
        </w:rPr>
        <w:t>Kill criteria:</w:t>
      </w:r>
      <w:r/>
    </w:p>
    <w:p>
      <w:pPr>
        <w:pStyle w:val="ListBullet"/>
      </w:pPr>
      <w:r>
        <w:t>ACUITY primary endpoint failure: EYP-1901 arm inferior by &gt;4 ETDRS letters to aflibercept at week 52</w:t>
      </w:r>
    </w:p>
    <w:p>
      <w:pPr>
        <w:pStyle w:val="ListBullet"/>
      </w:pPr>
      <w:r>
        <w:t>Delivery failure: &lt;50% of patients maintain 6-month dosing interval (validates Susvimo concerns about durability)</w:t>
      </w:r>
    </w:p>
    <w:p>
      <w:pPr>
        <w:pStyle w:val="ListBullet"/>
      </w:pPr>
      <w:r>
        <w:t>Safety signal: choroidal or retinal atrophy signal at rates materially above aflibercept comparator</w:t>
      </w:r>
    </w:p>
    <w:p>
      <w:pPr>
        <w:pStyle w:val="ListBullet"/>
      </w:pPr>
      <w:r>
        <w:t>Payer rejection of semi-annual premium pricing (≥2× per-injection vs. Eylea) — limits uptake to cash-pay patients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Catalyst Calendar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P(Positive)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Move</w:t>
            </w:r>
          </w:p>
        </w:tc>
      </w:tr>
      <w:tr>
        <w:tc>
          <w:tcPr>
            <w:tcW w:type="dxa" w:w="1728"/>
          </w:tcPr>
          <w:p>
            <w:r>
              <w:t>H2 2025</w:t>
            </w:r>
          </w:p>
        </w:tc>
        <w:tc>
          <w:tcPr>
            <w:tcW w:type="dxa" w:w="1728"/>
          </w:tcPr>
          <w:p>
            <w:r>
              <w:t>ACUITY Phase 3 topline (primary endpoint: BCVA change vs. aflibercept q8w)</w:t>
            </w:r>
          </w:p>
        </w:tc>
        <w:tc>
          <w:tcPr>
            <w:tcW w:type="dxa" w:w="1728"/>
          </w:tcPr>
          <w:p>
            <w:r>
              <w:t>Readout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H1 2026</w:t>
            </w:r>
          </w:p>
        </w:tc>
        <w:tc>
          <w:tcPr>
            <w:tcW w:type="dxa" w:w="1728"/>
          </w:tcPr>
          <w:p>
            <w:r>
              <w:t>NDA submission (pending ACUITY success)</w:t>
            </w:r>
          </w:p>
        </w:tc>
        <w:tc>
          <w:tcPr>
            <w:tcW w:type="dxa" w:w="1728"/>
          </w:tcPr>
          <w:p>
            <w:r>
              <w:t>Milestone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H1 2027</w:t>
            </w:r>
          </w:p>
        </w:tc>
        <w:tc>
          <w:tcPr>
            <w:tcW w:type="dxa" w:w="1728"/>
          </w:tcPr>
          <w:p>
            <w:r>
              <w:t>FDA PDUFA action date (NDA review)</w:t>
            </w:r>
          </w:p>
        </w:tc>
        <w:tc>
          <w:tcPr>
            <w:tcW w:type="dxa" w:w="1728"/>
          </w:tcPr>
          <w:p>
            <w:r>
              <w:t>Fda_action</w:t>
            </w:r>
          </w:p>
        </w:tc>
        <w:tc>
          <w:tcPr>
            <w:tcW w:type="dxa" w:w="1728"/>
          </w:tcPr>
          <w:p>
            <w:r>
              <w:t>88%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</w:tbl>
    <w:p/>
    <w:p/>
    <w:p>
      <w:r/>
      <w:r>
        <w:rPr>
          <w:b/>
        </w:rPr>
        <w:t>Next catalyst:</w:t>
      </w:r>
      <w:r>
        <w:t xml:space="preserve"> [Identify and date the single most important near-term catalyst]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Market-Implied vs. Our Distribution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Market Implied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Model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Enterprise value ($M)</w:t>
            </w:r>
          </w:p>
        </w:tc>
        <w:tc>
          <w:tcPr>
            <w:tcW w:type="dxa" w:w="2880"/>
          </w:tcPr>
          <w:p>
            <w:r>
              <w:t>$284M</w:t>
            </w:r>
          </w:p>
        </w:tc>
        <w:tc>
          <w:tcPr>
            <w:tcW w:type="dxa" w:w="2880"/>
          </w:tcPr>
          <w:p>
            <w:r>
              <w:t>$235M</w:t>
            </w:r>
          </w:p>
        </w:tc>
      </w:tr>
      <w:tr>
        <w:tc>
          <w:tcPr>
            <w:tcW w:type="dxa" w:w="2880"/>
          </w:tcPr>
          <w:p>
            <w:r>
              <w:t>Implied peak sales ($M)</w:t>
            </w:r>
          </w:p>
        </w:tc>
        <w:tc>
          <w:tcPr>
            <w:tcW w:type="dxa" w:w="2880"/>
          </w:tcPr>
          <w:p>
            <w:r>
              <w:t>[Back-solve]</w:t>
            </w:r>
          </w:p>
        </w:tc>
        <w:tc>
          <w:tcPr>
            <w:tcW w:type="dxa" w:w="2880"/>
          </w:tcPr>
          <w:p>
            <w:r>
              <w:t>$220M</w:t>
            </w:r>
          </w:p>
        </w:tc>
      </w:tr>
      <w:tr>
        <w:tc>
          <w:tcPr>
            <w:tcW w:type="dxa" w:w="2880"/>
          </w:tcPr>
          <w:p>
            <w:r>
              <w:t>Implied P(approval)</w:t>
            </w:r>
          </w:p>
        </w:tc>
        <w:tc>
          <w:tcPr>
            <w:tcW w:type="dxa" w:w="2880"/>
          </w:tcPr>
          <w:p>
            <w:r>
              <w:t>[Back-solve]</w:t>
            </w:r>
          </w:p>
        </w:tc>
        <w:tc>
          <w:tcPr>
            <w:tcW w:type="dxa" w:w="2880"/>
          </w:tcPr>
          <w:p>
            <w:r>
              <w:t>71.9%</w:t>
            </w:r>
          </w:p>
        </w:tc>
      </w:tr>
      <w:tr>
        <w:tc>
          <w:tcPr>
            <w:tcW w:type="dxa" w:w="2880"/>
          </w:tcPr>
          <w:p>
            <w:r>
              <w:t>NAV/share</w:t>
            </w:r>
          </w:p>
        </w:tc>
        <w:tc>
          <w:tcPr>
            <w:tcW w:type="dxa" w:w="2880"/>
          </w:tcPr>
          <w:p>
            <w:r>
              <w:t>$14.50</w:t>
            </w:r>
          </w:p>
        </w:tc>
        <w:tc>
          <w:tcPr>
            <w:tcW w:type="dxa" w:w="2880"/>
          </w:tcPr>
          <w:p>
            <w:r>
              <w:t>$13.02</w:t>
            </w:r>
          </w:p>
        </w:tc>
      </w:tr>
      <w:tr>
        <w:tc>
          <w:tcPr>
            <w:tcW w:type="dxa" w:w="2880"/>
          </w:tcPr>
          <w:p>
            <w:r>
              <w:t>Implied upside to base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-10%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Valuation Framework</w:t>
      </w:r>
    </w:p>
    <w:p/>
    <w:p>
      <w:pPr>
        <w:pStyle w:val="Heading3"/>
      </w:pPr>
      <w:r>
        <w:t>Base-Case rNPV</w:t>
      </w:r>
    </w:p>
    <w:p>
      <w:pPr>
        <w:pStyle w:val="ListBullet"/>
      </w:pPr>
      <w:r/>
      <w:r>
        <w:rPr>
          <w:b/>
        </w:rPr>
        <w:t>Asset rNPV:</w:t>
      </w:r>
      <w:r>
        <w:t xml:space="preserve"> $235M (12% WACC, 71.9% P(approval))</w:t>
      </w:r>
    </w:p>
    <w:p>
      <w:pPr>
        <w:pStyle w:val="ListBullet"/>
      </w:pPr>
      <w:r/>
      <w:r>
        <w:rPr>
          <w:b/>
        </w:rPr>
        <w:t>Net cash:</w:t>
      </w:r>
      <w:r>
        <w:t xml:space="preserve"> $195M (9 qtrs runway)</w:t>
      </w:r>
    </w:p>
    <w:p>
      <w:pPr>
        <w:pStyle w:val="ListBullet"/>
      </w:pPr>
      <w:r/>
      <w:r>
        <w:rPr>
          <w:b/>
        </w:rPr>
        <w:t>Total NAV:</w:t>
      </w:r>
      <w:r>
        <w:t xml:space="preserve"> $430M = </w:t>
      </w:r>
      <w:r>
        <w:rPr>
          <w:b/>
        </w:rPr>
        <w:t>$13.02/share</w:t>
      </w:r>
      <w:r/>
    </w:p>
    <w:p/>
    <w:p>
      <w:pPr>
        <w:pStyle w:val="Heading3"/>
      </w:pPr>
      <w:r>
        <w:t>Scenario Distribution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rNPV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NAV/Share</w:t>
            </w:r>
          </w:p>
        </w:tc>
      </w:tr>
      <w:tr>
        <w:tc>
          <w:tcPr>
            <w:tcW w:type="dxa" w:w="2160"/>
          </w:tcPr>
          <w:p>
            <w:r>
              <w:t>Bull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  <w:tc>
          <w:tcPr>
            <w:tcW w:type="dxa" w:w="2160"/>
          </w:tcPr>
          <w:p>
            <w:r>
              <w:t>$712M</w:t>
            </w:r>
          </w:p>
        </w:tc>
        <w:tc>
          <w:tcPr>
            <w:tcW w:type="dxa" w:w="2160"/>
          </w:tcPr>
          <w:p>
            <w:r>
              <w:t>$27.49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~50%</w:t>
            </w:r>
          </w:p>
        </w:tc>
        <w:tc>
          <w:tcPr>
            <w:tcW w:type="dxa" w:w="2160"/>
          </w:tcPr>
          <w:p>
            <w:r>
              <w:t>$235M</w:t>
            </w:r>
          </w:p>
        </w:tc>
        <w:tc>
          <w:tcPr>
            <w:tcW w:type="dxa" w:w="2160"/>
          </w:tcPr>
          <w:p>
            <w:r>
              <w:t>$13.02</w:t>
            </w:r>
          </w:p>
        </w:tc>
      </w:tr>
      <w:tr>
        <w:tc>
          <w:tcPr>
            <w:tcW w:type="dxa" w:w="2160"/>
          </w:tcPr>
          <w:p>
            <w:r>
              <w:t>Bear</w:t>
            </w:r>
          </w:p>
        </w:tc>
        <w:tc>
          <w:tcPr>
            <w:tcW w:type="dxa" w:w="2160"/>
          </w:tcPr>
          <w:p>
            <w:r>
              <w:t>~30%</w:t>
            </w:r>
          </w:p>
        </w:tc>
        <w:tc>
          <w:tcPr>
            <w:tcW w:type="dxa" w:w="2160"/>
          </w:tcPr>
          <w:p>
            <w:r>
              <w:t>$-37M</w:t>
            </w:r>
          </w:p>
        </w:tc>
        <w:tc>
          <w:tcPr>
            <w:tcW w:type="dxa" w:w="2160"/>
          </w:tcPr>
          <w:p>
            <w:r>
              <w:t>$4.78</w:t>
            </w:r>
          </w:p>
        </w:tc>
      </w:tr>
      <w:tr>
        <w:tc>
          <w:tcPr>
            <w:tcW w:type="dxa" w:w="2160"/>
          </w:tcPr>
          <w:p>
            <w:r>
              <w:t>**Expected**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**$162M**</w:t>
            </w:r>
          </w:p>
        </w:tc>
        <w:tc>
          <w:tcPr>
            <w:tcW w:type="dxa" w:w="2160"/>
          </w:tcPr>
          <w:p>
            <w:r>
              <w:t>**$10.83**</w:t>
            </w:r>
          </w:p>
        </w:tc>
      </w:tr>
    </w:tbl>
    <w:p/>
    <w:p/>
    <w:p>
      <w:pPr>
        <w:pStyle w:val="Heading3"/>
      </w:pPr>
      <w:r>
        <w:t>Monte Carlo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P75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P90</w:t>
            </w:r>
          </w:p>
        </w:tc>
      </w:tr>
      <w:tr>
        <w:tc>
          <w:tcPr>
            <w:tcW w:type="dxa" w:w="1728"/>
          </w:tcPr>
          <w:p>
            <w:r>
              <w:t>$29M</w:t>
            </w:r>
          </w:p>
        </w:tc>
        <w:tc>
          <w:tcPr>
            <w:tcW w:type="dxa" w:w="1728"/>
          </w:tcPr>
          <w:p>
            <w:r>
              <w:t>$70M</w:t>
            </w:r>
          </w:p>
        </w:tc>
        <w:tc>
          <w:tcPr>
            <w:tcW w:type="dxa" w:w="1728"/>
          </w:tcPr>
          <w:p>
            <w:r>
              <w:t>$132M</w:t>
            </w:r>
          </w:p>
        </w:tc>
        <w:tc>
          <w:tcPr>
            <w:tcW w:type="dxa" w:w="1728"/>
          </w:tcPr>
          <w:p>
            <w:r>
              <w:t>$223M</w:t>
            </w:r>
          </w:p>
        </w:tc>
        <w:tc>
          <w:tcPr>
            <w:tcW w:type="dxa" w:w="1728"/>
          </w:tcPr>
          <w:p>
            <w:r>
              <w:t>$331M</w:t>
            </w:r>
          </w:p>
        </w:tc>
      </w:tr>
    </w:tbl>
    <w:p/>
    <w:p/>
    <w:p>
      <w:r/>
      <w:r>
        <w:rPr>
          <w:b/>
        </w:rPr>
        <w:t>P(positive value):</w:t>
      </w:r>
      <w:r>
        <w:t xml:space="preserve"> 96.6%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Key Sensitivities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rNPV</w:t>
            </w:r>
          </w:p>
        </w:tc>
      </w:tr>
      <w:tr>
        <w:tc>
          <w:tcPr>
            <w:tcW w:type="dxa" w:w="1728"/>
          </w:tcPr>
          <w:p>
            <w:r>
              <w:t>Phase POS (±20%)</w:t>
            </w:r>
          </w:p>
        </w:tc>
        <w:tc>
          <w:tcPr>
            <w:tcW w:type="dxa" w:w="1728"/>
          </w:tcPr>
          <w:p>
            <w:r>
              <w:t>$120M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$317M</w:t>
            </w:r>
          </w:p>
        </w:tc>
        <w:tc>
          <w:tcPr>
            <w:tcW w:type="dxa" w:w="1728"/>
          </w:tcPr>
          <w:p>
            <w:r>
              <w:t>$197M</w:t>
            </w:r>
          </w:p>
        </w:tc>
      </w:tr>
      <w:tr>
        <w:tc>
          <w:tcPr>
            <w:tcW w:type="dxa" w:w="1728"/>
          </w:tcPr>
          <w:p>
            <w:r>
              <w:t>Peak Sales (±30%)</w:t>
            </w:r>
          </w:p>
        </w:tc>
        <w:tc>
          <w:tcPr>
            <w:tcW w:type="dxa" w:w="1728"/>
          </w:tcPr>
          <w:p>
            <w:r>
              <w:t>$137M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$332M</w:t>
            </w:r>
          </w:p>
        </w:tc>
        <w:tc>
          <w:tcPr>
            <w:tcW w:type="dxa" w:w="1728"/>
          </w:tcPr>
          <w:p>
            <w:r>
              <w:t>$195M</w:t>
            </w:r>
          </w:p>
        </w:tc>
      </w:tr>
      <w:tr>
        <w:tc>
          <w:tcPr>
            <w:tcW w:type="dxa" w:w="1728"/>
          </w:tcPr>
          <w:p>
            <w:r>
              <w:t>Peak Penetration (±30%)</w:t>
            </w:r>
          </w:p>
        </w:tc>
        <w:tc>
          <w:tcPr>
            <w:tcW w:type="dxa" w:w="1728"/>
          </w:tcPr>
          <w:p>
            <w:r>
              <w:t>$137M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$332M</w:t>
            </w:r>
          </w:p>
        </w:tc>
        <w:tc>
          <w:tcPr>
            <w:tcW w:type="dxa" w:w="1728"/>
          </w:tcPr>
          <w:p>
            <w:r>
              <w:t>$195M</w:t>
            </w:r>
          </w:p>
        </w:tc>
      </w:tr>
      <w:tr>
        <w:tc>
          <w:tcPr>
            <w:tcW w:type="dxa" w:w="1728"/>
          </w:tcPr>
          <w:p>
            <w:r>
              <w:t>Patent Life (±3 yrs)</w:t>
            </w:r>
          </w:p>
        </w:tc>
        <w:tc>
          <w:tcPr>
            <w:tcW w:type="dxa" w:w="1728"/>
          </w:tcPr>
          <w:p>
            <w:r>
              <w:t>$171M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$280M</w:t>
            </w:r>
          </w:p>
        </w:tc>
        <w:tc>
          <w:tcPr>
            <w:tcW w:type="dxa" w:w="1728"/>
          </w:tcPr>
          <w:p>
            <w:r>
              <w:t>$110M</w:t>
            </w:r>
          </w:p>
        </w:tc>
      </w:tr>
      <w:tr>
        <w:tc>
          <w:tcPr>
            <w:tcW w:type="dxa" w:w="1728"/>
          </w:tcPr>
          <w:p>
            <w:r>
              <w:t>Discount Rate (±2pp)</w:t>
            </w:r>
          </w:p>
        </w:tc>
        <w:tc>
          <w:tcPr>
            <w:tcW w:type="dxa" w:w="1728"/>
          </w:tcPr>
          <w:p>
            <w:r>
              <w:t>$189M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$291M</w:t>
            </w:r>
          </w:p>
        </w:tc>
        <w:tc>
          <w:tcPr>
            <w:tcW w:type="dxa" w:w="1728"/>
          </w:tcPr>
          <w:p>
            <w:r>
              <w:t>$103M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Event Study Evidence</w:t>
      </w:r>
    </w:p>
    <w:p/>
    <w:p>
      <w:r/>
      <w:r>
        <w:rPr>
          <w:i/>
        </w:rPr>
        <w:t>[Populate from abnormal_returns analysis: historical CAR at comparable readouts]</w:t>
      </w:r>
      <w:r/>
    </w:p>
    <w:p/>
    <w:p>
      <w:r>
        <w:t>Benchmarked against XBI (SPDR S&amp;P Biotech ETF):</w:t>
      </w:r>
    </w:p>
    <w:p>
      <w:pPr>
        <w:pStyle w:val="ListBullet"/>
      </w:pPr>
      <w:r>
        <w:t xml:space="preserve">Average 2-day CAR at </w:t>
      </w:r>
      <w:r>
        <w:rPr>
          <w:b/>
        </w:rPr>
        <w:t>positive</w:t>
      </w:r>
      <w:r>
        <w:t xml:space="preserve"> Phase 3 readouts (comparable assets): +[xx]%</w:t>
      </w:r>
    </w:p>
    <w:p>
      <w:pPr>
        <w:pStyle w:val="ListBullet"/>
      </w:pPr>
      <w:r>
        <w:t xml:space="preserve">Average 2-day CAR at </w:t>
      </w:r>
      <w:r>
        <w:rPr>
          <w:b/>
        </w:rPr>
        <w:t>negative</w:t>
      </w:r>
      <w:r>
        <w:t xml:space="preserve"> Phase 3 readouts: –[xx]%</w:t>
      </w:r>
    </w:p>
    <w:p>
      <w:pPr>
        <w:pStyle w:val="ListBullet"/>
      </w:pPr>
      <w:r>
        <w:t>Our base-case expected move: +[xx]% on success (71.9% weight), –[xx]% on failure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Position Sizing &amp; Risk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Analysis</w:t>
            </w:r>
          </w:p>
        </w:tc>
      </w:tr>
      <w:tr>
        <w:tc>
          <w:tcPr>
            <w:tcW w:type="dxa" w:w="4320"/>
          </w:tcPr>
          <w:p>
            <w:r>
              <w:t>Expected return to NAV</w:t>
            </w:r>
          </w:p>
        </w:tc>
        <w:tc>
          <w:tcPr>
            <w:tcW w:type="dxa" w:w="4320"/>
          </w:tcPr>
          <w:p>
            <w:r>
              <w:t>-10%</w:t>
            </w:r>
          </w:p>
        </w:tc>
      </w:tr>
      <w:tr>
        <w:tc>
          <w:tcPr>
            <w:tcW w:type="dxa" w:w="4320"/>
          </w:tcPr>
          <w:p>
            <w:r>
              <w:t>Binary event risk</w:t>
            </w:r>
          </w:p>
        </w:tc>
        <w:tc>
          <w:tcPr>
            <w:tcW w:type="dxa" w:w="4320"/>
          </w:tcPr>
          <w:p>
            <w:r>
              <w:t>[±xx% on catalyst; use options to define risk]</w:t>
            </w:r>
          </w:p>
        </w:tc>
      </w:tr>
      <w:tr>
        <w:tc>
          <w:tcPr>
            <w:tcW w:type="dxa" w:w="4320"/>
          </w:tcPr>
          <w:p>
            <w:r>
              <w:t>Recommended position</w:t>
            </w:r>
          </w:p>
        </w:tc>
        <w:tc>
          <w:tcPr>
            <w:tcW w:type="dxa" w:w="4320"/>
          </w:tcPr>
          <w:p>
            <w:r>
              <w:t>[% of portfolio; e.g., 1–3% gross]</w:t>
            </w:r>
          </w:p>
        </w:tc>
      </w:tr>
      <w:tr>
        <w:tc>
          <w:tcPr>
            <w:tcW w:type="dxa" w:w="4320"/>
          </w:tcPr>
          <w:p>
            <w:r>
              <w:t>Catalyst hedge</w:t>
            </w:r>
          </w:p>
        </w:tc>
        <w:tc>
          <w:tcPr>
            <w:tcW w:type="dxa" w:w="4320"/>
          </w:tcPr>
          <w:p>
            <w:r>
              <w:t>[Protective puts / collar if large position]</w:t>
            </w:r>
          </w:p>
        </w:tc>
      </w:tr>
      <w:tr>
        <w:tc>
          <w:tcPr>
            <w:tcW w:type="dxa" w:w="4320"/>
          </w:tcPr>
          <w:p>
            <w:r>
              <w:t>Stop-loss</w:t>
            </w:r>
          </w:p>
        </w:tc>
        <w:tc>
          <w:tcPr>
            <w:tcW w:type="dxa" w:w="4320"/>
          </w:tcPr>
          <w:p>
            <w:r>
              <w:t>[e.g., –20% from entry, or "clinical hold"]</w:t>
            </w:r>
          </w:p>
        </w:tc>
      </w:tr>
      <w:tr>
        <w:tc>
          <w:tcPr>
            <w:tcW w:type="dxa" w:w="4320"/>
          </w:tcPr>
          <w:p>
            <w:r>
              <w:t>Time horizon</w:t>
            </w:r>
          </w:p>
        </w:tc>
        <w:tc>
          <w:tcPr>
            <w:tcW w:type="dxa" w:w="4320"/>
          </w:tcPr>
          <w:p>
            <w:r>
              <w:t>2.5 years to launch; next catalyst in [xx months]</w:t>
            </w:r>
          </w:p>
        </w:tc>
      </w:tr>
    </w:tbl>
    <w:p/>
    <w:p/>
    <w:p>
      <w:r/>
      <w:r>
        <w:rPr>
          <w:b/>
        </w:rPr>
        <w:t>Options market</w:t>
      </w:r>
      <w:r>
        <w:t xml:space="preserve"> (if available): IV suggests market pricing ~[xx]% move at next catalyst. We [agree/disagree] because [thesis].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Trade Recommendation</w:t>
      </w:r>
    </w:p>
    <w:p/>
    <w:p>
      <w:r/>
      <w:r>
        <w:rPr>
          <w:b/>
        </w:rPr>
        <w:t>Action:</w:t>
      </w:r>
      <w:r>
        <w:t xml:space="preserve"> [LONG / LONG with hedge / AVOID / SHORT]</w:t>
      </w:r>
    </w:p>
    <w:p/>
    <w:p>
      <w:r/>
      <w:r>
        <w:rPr>
          <w:b/>
        </w:rPr>
        <w:t>Entry:</w:t>
      </w:r>
      <w:r>
        <w:t xml:space="preserve"> [Price or price range]</w:t>
      </w:r>
    </w:p>
    <w:p/>
    <w:p>
      <w:r/>
      <w:r>
        <w:rPr>
          <w:b/>
        </w:rPr>
        <w:t>Thesis confirmation events:</w:t>
      </w:r>
      <w:r>
        <w:t xml:space="preserve"> [What data points / milestones would confirm or refute the thesis?]</w:t>
      </w:r>
    </w:p>
    <w:p/>
    <w:p>
      <w:r/>
      <w:r>
        <w:rPr>
          <w:b/>
        </w:rPr>
        <w:t>Exit triggers:</w:t>
      </w:r>
      <w:r/>
    </w:p>
    <w:p>
      <w:pPr>
        <w:pStyle w:val="ListNumber"/>
      </w:pPr>
      <w:r>
        <w:t>Primary endpoint read-out (positive → scale, negative → exit)</w:t>
      </w:r>
    </w:p>
    <w:p>
      <w:pPr>
        <w:pStyle w:val="ListNumber"/>
      </w:pPr>
      <w:r>
        <w:t>[Secondary trigger]</w:t>
      </w:r>
    </w:p>
    <w:p>
      <w:pPr>
        <w:pStyle w:val="ListNumber"/>
      </w:pPr>
      <w:r>
        <w:t>[Stop-loss level]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This analysis is for informational purposes only and does not constitute investment advice. All projections are model estimates subject to material uncertainty.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EYP-1901 (vorolanib) — HF Memo</dc:title>
  <dc:subject/>
  <dc:creator>BVE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