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"ulixacaltamide (PRAX-944) — BD Acquisition Analysis"</w:t>
      </w:r>
    </w:p>
    <w:p>
      <w:r>
        <w:t>subtitle: "Essential Tremor (moderate-severe), US | PHASE 3"</w:t>
      </w:r>
    </w:p>
    <w:p>
      <w:r>
        <w:t>date: "2026-03-05"</w:t>
      </w:r>
    </w:p>
    <w:p>
      <w:r>
        <w:t>company: "Praxis Precision Medicine"</w:t>
      </w:r>
    </w:p>
    <w:p>
      <w:r>
        <w:t>prepared_by: "BVE Analytics"</w:t>
      </w:r>
    </w:p>
    <w:p>
      <w:r>
        <w:t>memo_type: Business Development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ulixacaltamide (PRAX-944): BD Acquisition Analysis</w:t>
      </w:r>
    </w:p>
    <w:p>
      <w:r/>
      <w:r>
        <w:rPr>
          <w:b/>
        </w:rPr>
        <w:t>Essential Tremor (moderate-severe), US | PHASE 3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Executive Summary</w:t>
      </w:r>
    </w:p>
    <w:p/>
    <w:p>
      <w:r>
        <w:t xml:space="preserve">ulixacaltamide (PRAX-944) is a small molecule developed by </w:t>
      </w:r>
      <w:r>
        <w:rPr>
          <w:b/>
        </w:rPr>
        <w:t>Praxis Precision Medicine</w:t>
      </w:r>
      <w:r>
        <w:t xml:space="preserve"> (PRAX) targeting </w:t>
      </w:r>
      <w:r>
        <w:rPr>
          <w:b/>
        </w:rPr>
        <w:t>Essential Tremor (moderate-severe), US</w:t>
      </w:r>
      <w:r>
        <w:t xml:space="preserve"> in the </w:t>
      </w:r>
      <w:r>
        <w:rPr>
          <w:b/>
        </w:rPr>
        <w:t>Cns</w:t>
      </w:r>
      <w:r>
        <w:t xml:space="preserve"> space.</w:t>
      </w:r>
    </w:p>
    <w:p/>
    <w:p>
      <w:r>
        <w:t xml:space="preserve">Our risk-adjusted net present value (rNPV) model estimates </w:t>
      </w:r>
      <w:r>
        <w:rPr>
          <w:b/>
        </w:rPr>
        <w:t>$545M</w:t>
      </w:r>
      <w:r>
        <w:t xml:space="preserve"> for the asset, implying a NAV of </w:t>
      </w:r>
      <w:r>
        <w:rPr>
          <w:b/>
        </w:rPr>
        <w:t>$870M</w:t>
      </w:r>
      <w:r>
        <w:t xml:space="preserve"> ($15.82/share) inclusive of Praxis Precision Medicine's </w:t>
      </w:r>
      <w:r>
        <w:rPr>
          <w:b/>
        </w:rPr>
        <w:t>$325M net cash</w:t>
      </w:r>
      <w:r>
        <w:t xml:space="preserve"> position.</w:t>
      </w:r>
    </w:p>
    <w:p>
      <w:r>
        <w:t xml:space="preserve">At the current stock price of $22.00, our analysis implies </w:t>
      </w:r>
      <w:r>
        <w:rPr>
          <w:b/>
        </w:rPr>
        <w:t>-28% upside</w:t>
      </w:r>
      <w:r>
        <w:t xml:space="preserve"> to our base-case NAV.</w:t>
      </w:r>
    </w:p>
    <w:p/>
    <w:p>
      <w:r>
        <w:t>Key valuation anchors:</w:t>
      </w:r>
    </w:p>
    <w:p>
      <w:pPr>
        <w:pStyle w:val="ListBullet"/>
      </w:pPr>
      <w:r/>
      <w:r>
        <w:rPr>
          <w:b/>
        </w:rPr>
        <w:t>Probability of approval:</w:t>
      </w:r>
      <w:r>
        <w:t xml:space="preserve"> 44.8%</w:t>
      </w:r>
    </w:p>
    <w:p>
      <w:pPr>
        <w:pStyle w:val="ListBullet"/>
      </w:pPr>
      <w:r/>
      <w:r>
        <w:rPr>
          <w:b/>
        </w:rPr>
        <w:t>Peak sales estimate:</w:t>
      </w:r>
      <w:r>
        <w:t xml:space="preserve"> $739M (base case)</w:t>
      </w:r>
    </w:p>
    <w:p>
      <w:pPr>
        <w:pStyle w:val="ListBullet"/>
      </w:pPr>
      <w:r/>
      <w:r>
        <w:rPr>
          <w:b/>
        </w:rPr>
        <w:t>Years to launch:</w:t>
      </w:r>
      <w:r>
        <w:t xml:space="preserve"> 2.5 years</w:t>
      </w:r>
    </w:p>
    <w:p>
      <w:pPr>
        <w:pStyle w:val="ListBullet"/>
      </w:pPr>
      <w:r/>
      <w:r>
        <w:rPr>
          <w:b/>
        </w:rPr>
        <w:t>Monte Carlo P50:</w:t>
      </w:r>
      <w:r>
        <w:t xml:space="preserve"> $399M | P10–P90: $123M – $980M</w:t>
      </w:r>
    </w:p>
    <w:p/>
    <w:p>
      <w:r/>
      <w:r>
        <w:rPr>
          <w:b/>
        </w:rPr>
        <w:t>Recommendation:</w:t>
      </w:r>
      <w:r>
        <w:t xml:space="preserve"> [BD team to populate based on strategic fit assessment]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Company &amp; Asset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Praxis Precision Medicine (PRAX)</w:t>
            </w:r>
          </w:p>
        </w:tc>
      </w:tr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ulixacaltamide (PRAX-944)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Essential Tremor (moderate-severe), US</w:t>
            </w:r>
          </w:p>
        </w:tc>
      </w:tr>
      <w:tr>
        <w:tc>
          <w:tcPr>
            <w:tcW w:type="dxa" w:w="4320"/>
          </w:tcPr>
          <w:p>
            <w:r>
              <w:t>Therapeutic Area</w:t>
            </w:r>
          </w:p>
        </w:tc>
        <w:tc>
          <w:tcPr>
            <w:tcW w:type="dxa" w:w="4320"/>
          </w:tcPr>
          <w:p>
            <w:r>
              <w:t>Cns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Small Molecule</w:t>
            </w:r>
          </w:p>
        </w:tc>
      </w:tr>
      <w:tr>
        <w:tc>
          <w:tcPr>
            <w:tcW w:type="dxa" w:w="4320"/>
          </w:tcPr>
          <w:p>
            <w:r>
              <w:t>Current Stage</w:t>
            </w:r>
          </w:p>
        </w:tc>
        <w:tc>
          <w:tcPr>
            <w:tcW w:type="dxa" w:w="4320"/>
          </w:tcPr>
          <w:p>
            <w:r>
              <w:t>PHASE 3</w:t>
            </w:r>
          </w:p>
        </w:tc>
      </w:tr>
      <w:tr>
        <w:tc>
          <w:tcPr>
            <w:tcW w:type="dxa" w:w="4320"/>
          </w:tcPr>
          <w:p>
            <w:r>
              <w:t>Net Cash</w:t>
            </w:r>
          </w:p>
        </w:tc>
        <w:tc>
          <w:tcPr>
            <w:tcW w:type="dxa" w:w="4320"/>
          </w:tcPr>
          <w:p>
            <w:r>
              <w:t>$325M</w:t>
            </w:r>
          </w:p>
        </w:tc>
      </w:tr>
      <w:tr>
        <w:tc>
          <w:tcPr>
            <w:tcW w:type="dxa" w:w="4320"/>
          </w:tcPr>
          <w:p>
            <w:r>
              <w:t>Cash Runway</w:t>
            </w:r>
          </w:p>
        </w:tc>
        <w:tc>
          <w:tcPr>
            <w:tcW w:type="dxa" w:w="4320"/>
          </w:tcPr>
          <w:p>
            <w:r>
              <w:t>8 quarters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Clinical Program</w:t>
      </w:r>
    </w:p>
    <w:p/>
    <w:p>
      <w:pPr>
        <w:pStyle w:val="Heading3"/>
      </w:pPr>
      <w:r>
        <w:t>Remaining Development Phases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 (yrs)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 ($M)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Weighted Cost PV ($M)</w:t>
            </w:r>
          </w:p>
        </w:tc>
      </w:tr>
      <w:tr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53%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$95</w:t>
            </w:r>
          </w:p>
        </w:tc>
        <w:tc>
          <w:tcPr>
            <w:tcW w:type="dxa" w:w="1728"/>
          </w:tcPr>
          <w:p>
            <w:r>
              <w:t>$87.3</w:t>
            </w:r>
          </w:p>
        </w:tc>
      </w:tr>
      <w:tr>
        <w:tc>
          <w:tcPr>
            <w:tcW w:type="dxa" w:w="1728"/>
          </w:tcPr>
          <w:p>
            <w:r>
              <w:t>NDA BLA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$8.4</w:t>
            </w:r>
          </w:p>
        </w:tc>
      </w:tr>
    </w:tbl>
    <w:p/>
    <w:p/>
    <w:p>
      <w:r/>
      <w:r>
        <w:rPr>
          <w:b/>
        </w:rPr>
        <w:t>Cumulative probability of approval:</w:t>
      </w:r>
      <w:r>
        <w:t xml:space="preserve"> 44.8%</w:t>
      </w:r>
    </w:p>
    <w:p>
      <w:r/>
      <w:r>
        <w:rPr>
          <w:b/>
        </w:rPr>
        <w:t>Estimated launch:</w:t>
      </w:r>
      <w:r>
        <w:t xml:space="preserve"> 2.5 years from today</w:t>
      </w:r>
    </w:p>
    <w:p>
      <w:pPr>
        <w:pStyle w:val="Heading3"/>
      </w:pPr>
      <w:r>
        <w:t>Upcoming Catalysts</w:t>
      </w:r>
    </w:p>
    <w:p/>
    <w:p>
      <w:pPr>
        <w:pStyle w:val="ListBullet"/>
      </w:pPr>
      <w:r/>
      <w:r>
        <w:rPr>
          <w:b/>
        </w:rPr>
        <w:t>Readout</w:t>
      </w:r>
      <w:r>
        <w:t xml:space="preserve"> (H1 2026): ESSENTIAL Phase 3 topline (primary: TETRAS-ADL change from baseline) — est. 52% probability positive- </w:t>
      </w:r>
      <w:r>
        <w:rPr>
          <w:b/>
        </w:rPr>
        <w:t>Milestone</w:t>
      </w:r>
      <w:r>
        <w:t xml:space="preserve"> (H2 2026): NDA submission (pending ESSENTIAL success) — est. 48% probability positive- </w:t>
      </w:r>
      <w:r>
        <w:rPr>
          <w:b/>
        </w:rPr>
        <w:t>Fda_action</w:t>
      </w:r>
      <w:r>
        <w:t xml:space="preserve"> (H1 2027): FDA PDUFA date (NDA review) — est. 83% probability positive- </w:t>
      </w:r>
      <w:r>
        <w:rPr>
          <w:b/>
        </w:rPr>
        <w:t>Readout</w:t>
      </w:r>
      <w:r>
        <w:t xml:space="preserve"> (2026): PRAX-628 (epilepsy) Phase 2b readout — platform catalyst — est. 45% probability positive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Market Opportunity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Estimate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Peak Sales (base)</w:t>
            </w:r>
          </w:p>
        </w:tc>
        <w:tc>
          <w:tcPr>
            <w:tcW w:type="dxa" w:w="2160"/>
          </w:tcPr>
          <w:p>
            <w:r>
              <w:t>$739M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Years to Peak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Patent / Revenue Life</w:t>
            </w:r>
          </w:p>
        </w:tc>
        <w:tc>
          <w:tcPr>
            <w:tcW w:type="dxa" w:w="2160"/>
          </w:tcPr>
          <w:p>
            <w:r>
              <w:t>12 years post-launch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COGS Rate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SG&amp;A (launch / mature)</w:t>
            </w:r>
          </w:p>
        </w:tc>
        <w:tc>
          <w:tcPr>
            <w:tcW w:type="dxa" w:w="2160"/>
          </w:tcPr>
          <w:p>
            <w:r>
              <w:t>45% → 22%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Addressable Patients</w:t>
            </w:r>
          </w:p>
        </w:tc>
        <w:tc>
          <w:tcPr>
            <w:tcW w:type="dxa" w:w="2160"/>
          </w:tcPr>
          <w:p>
            <w:r>
              <w:t>220,000</w:t>
            </w:r>
          </w:p>
        </w:tc>
        <w:tc>
          <w:tcPr>
            <w:tcW w:type="dxa" w:w="2160"/>
          </w:tcPr>
          <w:p>
            <w:r>
              <w:t>Net Price/Patient/Yr</w:t>
            </w:r>
          </w:p>
        </w:tc>
        <w:tc>
          <w:tcPr>
            <w:tcW w:type="dxa" w:w="2160"/>
          </w:tcPr>
          <w:p>
            <w:r>
              <w:t>$28000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Valuation Analysis</w:t>
      </w:r>
    </w:p>
    <w:p/>
    <w:p>
      <w:pPr>
        <w:pStyle w:val="Heading3"/>
      </w:pPr>
      <w:r>
        <w:t>Deterministic rNPV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Gross Revenue PV</w:t>
            </w:r>
          </w:p>
        </w:tc>
        <w:tc>
          <w:tcPr>
            <w:tcW w:type="dxa" w:w="4320"/>
          </w:tcPr>
          <w:p>
            <w:r>
              <w:t>$1428M</w:t>
            </w:r>
          </w:p>
        </w:tc>
      </w:tr>
      <w:tr>
        <w:tc>
          <w:tcPr>
            <w:tcW w:type="dxa" w:w="4320"/>
          </w:tcPr>
          <w:p>
            <w:r>
              <w:t>Prob-Adjusted Revenue PV</w:t>
            </w:r>
          </w:p>
        </w:tc>
        <w:tc>
          <w:tcPr>
            <w:tcW w:type="dxa" w:w="4320"/>
          </w:tcPr>
          <w:p>
            <w:r>
              <w:t>$641M</w:t>
            </w:r>
          </w:p>
        </w:tc>
      </w:tr>
      <w:tr>
        <w:tc>
          <w:tcPr>
            <w:tcW w:type="dxa" w:w="4320"/>
          </w:tcPr>
          <w:p>
            <w:r>
              <w:t>Trial Costs PV (weighted)</w:t>
            </w:r>
          </w:p>
        </w:tc>
        <w:tc>
          <w:tcPr>
            <w:tcW w:type="dxa" w:w="4320"/>
          </w:tcPr>
          <w:p>
            <w:r>
              <w:t>($96M)</w:t>
            </w:r>
          </w:p>
        </w:tc>
      </w:tr>
      <w:tr>
        <w:tc>
          <w:tcPr>
            <w:tcW w:type="dxa" w:w="4320"/>
          </w:tcPr>
          <w:p>
            <w:r>
              <w:t>**rNPV**</w:t>
            </w:r>
          </w:p>
        </w:tc>
        <w:tc>
          <w:tcPr>
            <w:tcW w:type="dxa" w:w="4320"/>
          </w:tcPr>
          <w:p>
            <w:r>
              <w:t>**$545M**</w:t>
            </w:r>
          </w:p>
        </w:tc>
      </w:tr>
      <w:tr>
        <w:tc>
          <w:tcPr>
            <w:tcW w:type="dxa" w:w="4320"/>
          </w:tcPr>
          <w:p>
            <w:r>
              <w:t>Net Cash</w:t>
            </w:r>
          </w:p>
        </w:tc>
        <w:tc>
          <w:tcPr>
            <w:tcW w:type="dxa" w:w="4320"/>
          </w:tcPr>
          <w:p>
            <w:r>
              <w:t>$325M</w:t>
            </w:r>
          </w:p>
        </w:tc>
      </w:tr>
      <w:tr>
        <w:tc>
          <w:tcPr>
            <w:tcW w:type="dxa" w:w="4320"/>
          </w:tcPr>
          <w:p>
            <w:r>
              <w:t>**Total NAV**</w:t>
            </w:r>
          </w:p>
        </w:tc>
        <w:tc>
          <w:tcPr>
            <w:tcW w:type="dxa" w:w="4320"/>
          </w:tcPr>
          <w:p>
            <w:r>
              <w:t>**$870M ($15.82/share)**</w:t>
            </w:r>
          </w:p>
        </w:tc>
      </w:tr>
    </w:tbl>
    <w:p/>
    <w:p/>
    <w:p>
      <w:pPr>
        <w:pStyle w:val="Heading3"/>
      </w:pPr>
      <w:r>
        <w:t>Scenario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rNPV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NAV/Share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P(Approval)</w:t>
            </w:r>
          </w:p>
        </w:tc>
      </w:tr>
      <w:tr>
        <w:tc>
          <w:tcPr>
            <w:tcW w:type="dxa" w:w="1728"/>
          </w:tcPr>
          <w:p>
            <w:r>
              <w:t>**Bull**</w:t>
            </w:r>
          </w:p>
        </w:tc>
        <w:tc>
          <w:tcPr>
            <w:tcW w:type="dxa" w:w="1728"/>
          </w:tcPr>
          <w:p>
            <w:r>
              <w:t>$1663M</w:t>
            </w:r>
          </w:p>
        </w:tc>
        <w:tc>
          <w:tcPr>
            <w:tcW w:type="dxa" w:w="1728"/>
          </w:tcPr>
          <w:p>
            <w:r>
              <w:t>$1988M</w:t>
            </w:r>
          </w:p>
        </w:tc>
        <w:tc>
          <w:tcPr>
            <w:tcW w:type="dxa" w:w="1728"/>
          </w:tcPr>
          <w:p>
            <w:r>
              <w:t>$36.15</w:t>
            </w:r>
          </w:p>
        </w:tc>
        <w:tc>
          <w:tcPr>
            <w:tcW w:type="dxa" w:w="1728"/>
          </w:tcPr>
          <w:p>
            <w:r>
              <w:t>68%</w:t>
            </w:r>
          </w:p>
        </w:tc>
      </w:tr>
      <w:tr>
        <w:tc>
          <w:tcPr>
            <w:tcW w:type="dxa" w:w="1728"/>
          </w:tcPr>
          <w:p>
            <w:r>
              <w:t>**Base**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$870M</w:t>
            </w:r>
          </w:p>
        </w:tc>
        <w:tc>
          <w:tcPr>
            <w:tcW w:type="dxa" w:w="1728"/>
          </w:tcPr>
          <w:p>
            <w:r>
              <w:t>$15.82</w:t>
            </w:r>
          </w:p>
        </w:tc>
        <w:tc>
          <w:tcPr>
            <w:tcW w:type="dxa" w:w="1728"/>
          </w:tcPr>
          <w:p>
            <w:r>
              <w:t>45%</w:t>
            </w:r>
          </w:p>
        </w:tc>
      </w:tr>
      <w:tr>
        <w:tc>
          <w:tcPr>
            <w:tcW w:type="dxa" w:w="1728"/>
          </w:tcPr>
          <w:p>
            <w:r>
              <w:t>**Bear**</w:t>
            </w:r>
          </w:p>
        </w:tc>
        <w:tc>
          <w:tcPr>
            <w:tcW w:type="dxa" w:w="1728"/>
          </w:tcPr>
          <w:p>
            <w:r>
              <w:t>$11M</w:t>
            </w:r>
          </w:p>
        </w:tc>
        <w:tc>
          <w:tcPr>
            <w:tcW w:type="dxa" w:w="1728"/>
          </w:tcPr>
          <w:p>
            <w:r>
              <w:t>$336M</w:t>
            </w:r>
          </w:p>
        </w:tc>
        <w:tc>
          <w:tcPr>
            <w:tcW w:type="dxa" w:w="1728"/>
          </w:tcPr>
          <w:p>
            <w:r>
              <w:t>$6.10</w:t>
            </w:r>
          </w:p>
        </w:tc>
        <w:tc>
          <w:tcPr>
            <w:tcW w:type="dxa" w:w="1728"/>
          </w:tcPr>
          <w:p>
            <w:r>
              <w:t>22%</w:t>
            </w:r>
          </w:p>
        </w:tc>
      </w:tr>
    </w:tbl>
    <w:p/>
    <w:p/>
    <w:p>
      <w:pPr>
        <w:pStyle w:val="Heading3"/>
      </w:pPr>
      <w:r>
        <w:t>Monte Carlo Distribution (10000 simulations)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rNPV</w:t>
            </w:r>
          </w:p>
        </w:tc>
      </w:tr>
      <w:tr>
        <w:tc>
          <w:tcPr>
            <w:tcW w:type="dxa" w:w="4320"/>
          </w:tcPr>
          <w:p>
            <w:r>
              <w:t>P5</w:t>
            </w:r>
          </w:p>
        </w:tc>
        <w:tc>
          <w:tcPr>
            <w:tcW w:type="dxa" w:w="4320"/>
          </w:tcPr>
          <w:p>
            <w:r>
              <w:t>$73M</w:t>
            </w:r>
          </w:p>
        </w:tc>
      </w:tr>
      <w:tr>
        <w:tc>
          <w:tcPr>
            <w:tcW w:type="dxa" w:w="4320"/>
          </w:tcPr>
          <w:p>
            <w:r>
              <w:t>P25</w:t>
            </w:r>
          </w:p>
        </w:tc>
        <w:tc>
          <w:tcPr>
            <w:tcW w:type="dxa" w:w="4320"/>
          </w:tcPr>
          <w:p>
            <w:r>
              <w:t>$229M</w:t>
            </w:r>
          </w:p>
        </w:tc>
      </w:tr>
      <w:tr>
        <w:tc>
          <w:tcPr>
            <w:tcW w:type="dxa" w:w="4320"/>
          </w:tcPr>
          <w:p>
            <w:r>
              <w:t>**P50 (median)**</w:t>
            </w:r>
          </w:p>
        </w:tc>
        <w:tc>
          <w:tcPr>
            <w:tcW w:type="dxa" w:w="4320"/>
          </w:tcPr>
          <w:p>
            <w:r>
              <w:t>**$399M**</w:t>
            </w:r>
          </w:p>
        </w:tc>
      </w:tr>
      <w:tr>
        <w:tc>
          <w:tcPr>
            <w:tcW w:type="dxa" w:w="4320"/>
          </w:tcPr>
          <w:p>
            <w:r>
              <w:t>P75</w:t>
            </w:r>
          </w:p>
        </w:tc>
        <w:tc>
          <w:tcPr>
            <w:tcW w:type="dxa" w:w="4320"/>
          </w:tcPr>
          <w:p>
            <w:r>
              <w:t>$653M</w:t>
            </w:r>
          </w:p>
        </w:tc>
      </w:tr>
      <w:tr>
        <w:tc>
          <w:tcPr>
            <w:tcW w:type="dxa" w:w="4320"/>
          </w:tcPr>
          <w:p>
            <w:r>
              <w:t>P95</w:t>
            </w:r>
          </w:p>
        </w:tc>
        <w:tc>
          <w:tcPr>
            <w:tcW w:type="dxa" w:w="4320"/>
          </w:tcPr>
          <w:p>
            <w:r>
              <w:t>$1250M</w:t>
            </w:r>
          </w:p>
        </w:tc>
      </w:tr>
      <w:tr>
        <w:tc>
          <w:tcPr>
            <w:tcW w:type="dxa" w:w="4320"/>
          </w:tcPr>
          <w:p>
            <w:r>
              <w:t>**Mean**</w:t>
            </w:r>
          </w:p>
        </w:tc>
        <w:tc>
          <w:tcPr>
            <w:tcW w:type="dxa" w:w="4320"/>
          </w:tcPr>
          <w:p>
            <w:r>
              <w:t>**$495M**</w:t>
            </w:r>
          </w:p>
        </w:tc>
      </w:tr>
    </w:tbl>
    <w:p/>
    <w:p/>
    <w:p>
      <w:r>
        <w:t xml:space="preserve">Probability of positive value: </w:t>
      </w:r>
      <w:r>
        <w:rPr>
          <w:b/>
        </w:rPr>
        <w:t>99.3%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Key Sensitivities (Tornado)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 Case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Swing</w:t>
            </w:r>
          </w:p>
        </w:tc>
      </w:tr>
      <w:tr>
        <w:tc>
          <w:tcPr>
            <w:tcW w:type="dxa" w:w="1728"/>
          </w:tcPr>
          <w:p>
            <w:r>
              <w:t>Phase POS (±20%)</w:t>
            </w:r>
          </w:p>
        </w:tc>
        <w:tc>
          <w:tcPr>
            <w:tcW w:type="dxa" w:w="1728"/>
          </w:tcPr>
          <w:p>
            <w:r>
              <w:t>$316M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$798M</w:t>
            </w:r>
          </w:p>
        </w:tc>
        <w:tc>
          <w:tcPr>
            <w:tcW w:type="dxa" w:w="1728"/>
          </w:tcPr>
          <w:p>
            <w:r>
              <w:t>$482M</w:t>
            </w:r>
          </w:p>
        </w:tc>
      </w:tr>
      <w:tr>
        <w:tc>
          <w:tcPr>
            <w:tcW w:type="dxa" w:w="1728"/>
          </w:tcPr>
          <w:p>
            <w:r>
              <w:t>Peak Sales (±30%)</w:t>
            </w:r>
          </w:p>
        </w:tc>
        <w:tc>
          <w:tcPr>
            <w:tcW w:type="dxa" w:w="1728"/>
          </w:tcPr>
          <w:p>
            <w:r>
              <w:t>$353M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$737M</w:t>
            </w:r>
          </w:p>
        </w:tc>
        <w:tc>
          <w:tcPr>
            <w:tcW w:type="dxa" w:w="1728"/>
          </w:tcPr>
          <w:p>
            <w:r>
              <w:t>$384M</w:t>
            </w:r>
          </w:p>
        </w:tc>
      </w:tr>
      <w:tr>
        <w:tc>
          <w:tcPr>
            <w:tcW w:type="dxa" w:w="1728"/>
          </w:tcPr>
          <w:p>
            <w:r>
              <w:t>Peak Penetration (±30%)</w:t>
            </w:r>
          </w:p>
        </w:tc>
        <w:tc>
          <w:tcPr>
            <w:tcW w:type="dxa" w:w="1728"/>
          </w:tcPr>
          <w:p>
            <w:r>
              <w:t>$353M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$737M</w:t>
            </w:r>
          </w:p>
        </w:tc>
        <w:tc>
          <w:tcPr>
            <w:tcW w:type="dxa" w:w="1728"/>
          </w:tcPr>
          <w:p>
            <w:r>
              <w:t>$384M</w:t>
            </w:r>
          </w:p>
        </w:tc>
      </w:tr>
      <w:tr>
        <w:tc>
          <w:tcPr>
            <w:tcW w:type="dxa" w:w="1728"/>
          </w:tcPr>
          <w:p>
            <w:r>
              <w:t>Patent Life (±3 yrs)</w:t>
            </w:r>
          </w:p>
        </w:tc>
        <w:tc>
          <w:tcPr>
            <w:tcW w:type="dxa" w:w="1728"/>
          </w:tcPr>
          <w:p>
            <w:r>
              <w:t>$409M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$642M</w:t>
            </w:r>
          </w:p>
        </w:tc>
        <w:tc>
          <w:tcPr>
            <w:tcW w:type="dxa" w:w="1728"/>
          </w:tcPr>
          <w:p>
            <w:r>
              <w:t>$233M</w:t>
            </w:r>
          </w:p>
        </w:tc>
      </w:tr>
      <w:tr>
        <w:tc>
          <w:tcPr>
            <w:tcW w:type="dxa" w:w="1728"/>
          </w:tcPr>
          <w:p>
            <w:r>
              <w:t>Discount Rate (±2pp)</w:t>
            </w:r>
          </w:p>
        </w:tc>
        <w:tc>
          <w:tcPr>
            <w:tcW w:type="dxa" w:w="1728"/>
          </w:tcPr>
          <w:p>
            <w:r>
              <w:t>$450M</w:t>
            </w:r>
          </w:p>
        </w:tc>
        <w:tc>
          <w:tcPr>
            <w:tcW w:type="dxa" w:w="1728"/>
          </w:tcPr>
          <w:p>
            <w:r>
              <w:t>$545M</w:t>
            </w:r>
          </w:p>
        </w:tc>
        <w:tc>
          <w:tcPr>
            <w:tcW w:type="dxa" w:w="1728"/>
          </w:tcPr>
          <w:p>
            <w:r>
              <w:t>$661M</w:t>
            </w:r>
          </w:p>
        </w:tc>
        <w:tc>
          <w:tcPr>
            <w:tcW w:type="dxa" w:w="1728"/>
          </w:tcPr>
          <w:p>
            <w:r>
              <w:t>$210M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Decision Framing</w:t>
      </w:r>
    </w:p>
    <w:p/>
    <w:p>
      <w:pPr>
        <w:pStyle w:val="Heading3"/>
      </w:pPr>
      <w:r>
        <w:t>Variant Perception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Consensus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t>P(Approval)</w:t>
            </w:r>
          </w:p>
        </w:tc>
        <w:tc>
          <w:tcPr>
            <w:tcW w:type="dxa" w:w="2160"/>
          </w:tcPr>
          <w:p>
            <w:r>
              <w:t>~28%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+17pp</w:t>
            </w:r>
          </w:p>
        </w:tc>
      </w:tr>
      <w:tr>
        <w:tc>
          <w:tcPr>
            <w:tcW w:type="dxa" w:w="2160"/>
          </w:tcPr>
          <w:p>
            <w:r>
              <w:t>Peak Sales</w:t>
            </w:r>
          </w:p>
        </w:tc>
        <w:tc>
          <w:tcPr>
            <w:tcW w:type="dxa" w:w="2160"/>
          </w:tcPr>
          <w:p>
            <w:r>
              <w:t>$450M</w:t>
            </w:r>
          </w:p>
        </w:tc>
        <w:tc>
          <w:tcPr>
            <w:tcW w:type="dxa" w:w="2160"/>
          </w:tcPr>
          <w:p>
            <w:r>
              <w:t>$739M</w:t>
            </w:r>
          </w:p>
        </w:tc>
        <w:tc>
          <w:tcPr>
            <w:tcW w:type="dxa" w:w="2160"/>
          </w:tcPr>
          <w:p>
            <w:r>
              <w:t>$+289M</w:t>
            </w:r>
          </w:p>
        </w:tc>
      </w:tr>
      <w:tr>
        <w:tc>
          <w:tcPr>
            <w:tcW w:type="dxa" w:w="2160"/>
          </w:tcPr>
          <w:p>
            <w:r>
              <w:t>NAV/Share</w:t>
            </w:r>
          </w:p>
        </w:tc>
        <w:tc>
          <w:tcPr>
            <w:tcW w:type="dxa" w:w="2160"/>
          </w:tcPr>
          <w:p>
            <w:r>
              <w:t>$22.00 (current)</w:t>
            </w:r>
          </w:p>
        </w:tc>
        <w:tc>
          <w:tcPr>
            <w:tcW w:type="dxa" w:w="2160"/>
          </w:tcPr>
          <w:p>
            <w:r>
              <w:t>$15.82</w:t>
            </w:r>
          </w:p>
        </w:tc>
        <w:tc>
          <w:tcPr>
            <w:tcW w:type="dxa" w:w="2160"/>
          </w:tcPr>
          <w:p>
            <w:r>
              <w:t>-28%</w:t>
            </w:r>
          </w:p>
        </w:tc>
      </w:tr>
    </w:tbl>
    <w:p/>
    <w:p>
      <w:r/>
      <w:r>
        <w:rPr>
          <w:b/>
        </w:rPr>
        <w:t>Market-implied P(approval):</w:t>
      </w:r>
      <w:r>
        <w:t xml:space="preserve"> 68.7% (back-solved from market cap – net cash)</w:t>
      </w:r>
    </w:p>
    <w:p>
      <w:r/>
      <w:r>
        <w:rPr>
          <w:b/>
        </w:rPr>
        <w:t>Model P(approval):</w:t>
      </w:r>
      <w:r>
        <w:t xml:space="preserve"> 44.8%</w:t>
      </w:r>
    </w:p>
    <w:p/>
    <w:p>
      <w:r/>
      <w:r>
        <w:rPr>
          <w:b/>
        </w:rPr>
        <w:t>Our edge:</w:t>
      </w:r>
      <w:r>
        <w:t xml:space="preserve"> The market is applying generic CNS Phase 3 base rates (~30%) to a program with unusually strong Phase 2 signal (p&lt;0.001, -22pp treatment difference on a well-validated endpoint). Three factors are underweighted: (1) ET is a mechanistically clear target — thalamocortical oscillations are measurable and reproducible, unlike CNS diseases with heterogeneous pathophysiology; (2) the 75% untreated moderate-severe population represents a latent demand shock that no financial model is correctly sizing — when a well-tolerated drug exists, adherence-driven market expansion is not captured by simple penetration assumptions; (3) Praxis has a second bite at the apple (PRAX-628 for epilepsy) that is unpriced in the stock.</w:t>
      </w:r>
    </w:p>
    <w:p/>
    <w:p/>
    <w:p>
      <w:pPr>
        <w:pStyle w:val="Heading3"/>
      </w:pPr>
      <w:r>
        <w:t>Kill Criteria</w:t>
      </w:r>
    </w:p>
    <w:p>
      <w:pPr>
        <w:pStyle w:val="ListBullet"/>
      </w:pPr>
      <w:r>
        <w:t>ESSENTIAL primary endpoint miss: TETRAS-ADL change from baseline fails superiority vs. placebo at week 12</w:t>
      </w:r>
    </w:p>
    <w:p>
      <w:pPr>
        <w:pStyle w:val="ListBullet"/>
      </w:pPr>
      <w:r>
        <w:t>Phase 2 effect does not reproduce: observed treatment difference &lt;10pp (vs 22pp in PRISM); suggests Phase 2 was noise</w:t>
      </w:r>
    </w:p>
    <w:p>
      <w:pPr>
        <w:pStyle w:val="ListBullet"/>
      </w:pPr>
      <w:r>
        <w:t>Safety surprise: CNS AE rate &gt;10% discontinuation (would undermine the 'better tolerated' thesis vs. propranolol)</w:t>
      </w:r>
    </w:p>
    <w:p>
      <w:pPr>
        <w:pStyle w:val="ListBullet"/>
      </w:pPr>
      <w:r>
        <w:t>Cash crisis before ESSENTIAL readout without equity raise at premium to current price</w:t>
      </w:r>
    </w:p>
    <w:p>
      <w:pPr>
        <w:pStyle w:val="ListBullet"/>
      </w:pPr>
      <w:r>
        <w:t>PRAX-628 Phase 2 failure (platform risk): reduces Praxis to single-asset company and impairs financing optionality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Key Risks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**Endpoint / Regulatory**</w:t>
            </w:r>
          </w:p>
        </w:tc>
        <w:tc>
          <w:tcPr>
            <w:tcW w:type="dxa" w:w="2880"/>
          </w:tcPr>
          <w:p>
            <w:r>
              <w:t>TETRAS-ADL is patient-reported/rater-assessed; high placebo response is endemic to CNS trials. PRISM used the same endpoint but in 92 patients; ESSENTIAL at 300 must reproduce effect in a more heterogeneous population with potentially higher placebo response. If placebo response exceeds assumptions, the treatment difference may not meet statistical significance even if the drug works.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**Payer / Pricing**</w:t>
            </w:r>
          </w:p>
        </w:tc>
        <w:tc>
          <w:tcPr>
            <w:tcW w:type="dxa" w:w="2880"/>
          </w:tcPr>
          <w:p>
            <w:r>
              <w:t>Payers will immediately compare ulixacaltamide to generic propranolol ($15/month) and primidone ($10/month). Step-edit requirements (demonstrate failure on generics before approving ulixacaltamide) could limit first-line use and slow ramp significantly. Medicare Part D structure means CMS has formulary leverage; ET prevalence in Medicare population (age 65+) is disproportionately high.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**CMC / Manufacturing**</w:t>
            </w:r>
          </w:p>
        </w:tc>
        <w:tc>
          <w:tcPr>
            <w:tcW w:type="dxa" w:w="2880"/>
          </w:tcPr>
          <w:p>
            <w:r>
              <w:t>Oral small molecule; low CMC risk. Primary concern is ensuring adequate API supply for commercial launch without a manufacturing partner already identified. Praxis is pre-commercial; commercial manufacturing scale-up requires partnership or significant infrastructure investment.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**Competition**</w:t>
            </w:r>
          </w:p>
        </w:tc>
        <w:tc>
          <w:tcPr>
            <w:tcW w:type="dxa" w:w="2880"/>
          </w:tcPr>
          <w:p>
            <w:r>
              <w:t>No currently active Phase 3 ET programs as of Q4 2024 beyond ESSENTIAL. However, if positive data emerges, the large ET market will attract entrants. Focused Ultrasound (FUS) for ET is gaining traction as a one-time non-pharmacological option; if FUS adoption accelerates among younger patients, it could limit the peak addressable pool for pharmaceutical treatment.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**IP / Patent**</w:t>
            </w:r>
          </w:p>
        </w:tc>
        <w:tc>
          <w:tcPr>
            <w:tcW w:type="dxa" w:w="2880"/>
          </w:tcPr>
          <w:p>
            <w:r>
              <w:t>Composition-of-matter patent on ulixacaltamide and T-type Ca channel selectivity. CNS small molecules face generic competition risk; ET is a chronic condition requiring long-term treatment, so IP life matters more than in oncology. Patent term extension expected to bring exclusivity to ~2036; actual expiry TBD.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Clinical failure</w:t>
            </w:r>
          </w:p>
        </w:tc>
        <w:tc>
          <w:tcPr>
            <w:tcW w:type="dxa" w:w="2880"/>
          </w:tcPr>
          <w:p>
            <w:r>
              <w:t>P(failure) = 55%; applies to each remaining phase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Cash runway</w:t>
            </w:r>
          </w:p>
        </w:tc>
        <w:tc>
          <w:tcPr>
            <w:tcW w:type="dxa" w:w="2880"/>
          </w:tcPr>
          <w:p>
            <w:r>
              <w:t>8 quarters at current burn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Deal Considerations</w:t>
      </w:r>
    </w:p>
    <w:p/>
    <w:p>
      <w:r/>
      <w:r>
        <w:rPr>
          <w:i/>
        </w:rPr>
        <w:t>[BD team to populate: deal structure, license vs. acquisition, milestones, royalties, manufacturing/CMC considerations, strategic synergies, competing bids]</w:t>
      </w:r>
      <w:r/>
    </w:p>
    <w:p/>
    <w:p>
      <w:r/>
      <w:r>
        <w:rPr>
          <w:b/>
        </w:rPr>
        <w:t>Suggested deal framework:</w:t>
      </w:r>
      <w:r/>
    </w:p>
    <w:p>
      <w:pPr>
        <w:pStyle w:val="ListBullet"/>
      </w:pPr>
      <w:r>
        <w:t>Structure: [License-in / Co-development / Full acquisition]</w:t>
      </w:r>
    </w:p>
    <w:p>
      <w:pPr>
        <w:pStyle w:val="ListBullet"/>
      </w:pPr>
      <w:r>
        <w:t>Target upfront: [To be determined based on competitive tension and strategic priority]</w:t>
      </w:r>
    </w:p>
    <w:p>
      <w:pPr>
        <w:pStyle w:val="ListBullet"/>
      </w:pPr>
      <w:r>
        <w:t>Milestone structure: Phase 3 initiation / NDA submission / Approval / Sales milestones</w:t>
      </w:r>
    </w:p>
    <w:p>
      <w:pPr>
        <w:pStyle w:val="ListBullet"/>
      </w:pPr>
      <w:r>
        <w:t>Royalty tiers: [10–15% net sales, depending on geography split]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A: Key Assumptions</w:t>
      </w:r>
    </w:p>
    <w:p/>
    <w:p>
      <w:r>
        <w:t>Every assumption that materially affects rNPV is listed below.</w:t>
      </w:r>
    </w:p>
    <w:p>
      <w:pPr>
        <w:pStyle w:val="ListBullet"/>
      </w:pPr>
      <w:r/>
      <w:r>
        <w:rPr>
          <w:b/>
        </w:rPr>
        <w:t>Sensitivity</w:t>
      </w:r>
      <w:r>
        <w:t xml:space="preserve"> = impact on rNPV if assumption is wrong by ±1σ</w:t>
      </w:r>
    </w:p>
    <w:p>
      <w:pPr>
        <w:pStyle w:val="ListBullet"/>
      </w:pPr>
      <w:r/>
      <w:r>
        <w:rPr>
          <w:b/>
        </w:rPr>
        <w:t>Confidence</w:t>
      </w:r>
      <w:r>
        <w:t xml:space="preserve"> = analyst's confidence in the input value itself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rNPV Sensitivity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WACC (Discount Rate)</w:t>
            </w:r>
          </w:p>
        </w:tc>
        <w:tc>
          <w:tcPr>
            <w:tcW w:type="dxa" w:w="1234"/>
          </w:tcPr>
          <w:p>
            <w:r>
              <w:t>12%</w:t>
            </w:r>
          </w:p>
        </w:tc>
        <w:tc>
          <w:tcPr>
            <w:tcW w:type="dxa" w:w="1234"/>
          </w:tcPr>
          <w:p>
            <w:r>
              <w:t>% per year</w:t>
            </w:r>
          </w:p>
        </w:tc>
        <w:tc>
          <w:tcPr>
            <w:tcW w:type="dxa" w:w="1234"/>
          </w:tcPr>
          <w:p>
            <w:r>
              <w:t>Damodaran biotech sector WACC; standard industry conven…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Commercial Horizon</w:t>
            </w:r>
          </w:p>
        </w:tc>
        <w:tc>
          <w:tcPr>
            <w:tcW w:type="dxa" w:w="1234"/>
          </w:tcPr>
          <w:p>
            <w:r>
              <w:t>12 years post-launch</w:t>
            </w:r>
          </w:p>
        </w:tc>
        <w:tc>
          <w:tcPr>
            <w:tcW w:type="dxa" w:w="1234"/>
          </w:tcPr>
          <w:p>
            <w:r>
              <w:t>years</w:t>
            </w:r>
          </w:p>
        </w:tc>
        <w:tc>
          <w:tcPr>
            <w:tcW w:type="dxa" w:w="1234"/>
          </w:tcPr>
          <w:p>
            <w:r>
              <w:t>Estimated based on typical composition-of-matter patent…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Net Economic Ownership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%</w:t>
            </w:r>
          </w:p>
        </w:tc>
        <w:tc>
          <w:tcPr>
            <w:tcW w:type="dxa" w:w="1234"/>
          </w:tcPr>
          <w:p>
            <w:r>
              <w:t>Implied by royalty_rate in config; adjust for any licen…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Addressable Patients (annual, US)</w:t>
            </w:r>
          </w:p>
        </w:tc>
        <w:tc>
          <w:tcPr>
            <w:tcW w:type="dxa" w:w="1234"/>
          </w:tcPr>
          <w:p>
            <w:r>
              <w:t>220,000</w:t>
            </w:r>
          </w:p>
        </w:tc>
        <w:tc>
          <w:tcPr>
            <w:tcW w:type="dxa" w:w="1234"/>
          </w:tcPr>
          <w:p>
            <w:r>
              <w:t>patients/year</w:t>
            </w:r>
          </w:p>
        </w:tc>
        <w:tc>
          <w:tcPr>
            <w:tcW w:type="dxa" w:w="1234"/>
          </w:tcPr>
          <w:p>
            <w:r>
              <w:t>[Public epidemiology data (SEER, IQVIA, compan…](https://pubmed.ncbi.nlm.nih.gov/12975455/)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Net Price per Patient / Year (US)</w:t>
            </w:r>
          </w:p>
        </w:tc>
        <w:tc>
          <w:tcPr>
            <w:tcW w:type="dxa" w:w="1234"/>
          </w:tcPr>
          <w:p>
            <w:r>
              <w:t>$28,000</w:t>
            </w:r>
          </w:p>
        </w:tc>
        <w:tc>
          <w:tcPr>
            <w:tcW w:type="dxa" w:w="1234"/>
          </w:tcPr>
          <w:p>
            <w:r>
              <w:t>USD/patient/year</w:t>
            </w:r>
          </w:p>
        </w:tc>
        <w:tc>
          <w:tcPr>
            <w:tcW w:type="dxa" w:w="1234"/>
          </w:tcPr>
          <w:p>
            <w:r>
              <w:t>[Benchmarked against approved comps; WAC × (1 …](https://www.accessdata.fda.gov/drugsatfda_docs/label/2023/209241s022lbl.pdf)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Gross-to-Net Discount</w:t>
            </w:r>
          </w:p>
        </w:tc>
        <w:tc>
          <w:tcPr>
            <w:tcW w:type="dxa" w:w="1234"/>
          </w:tcPr>
          <w:p>
            <w:r>
              <w:t>45%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SSR Health / CMS data benchmarks for small molecule in 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COGS Rate</w:t>
            </w:r>
          </w:p>
        </w:tc>
        <w:tc>
          <w:tcPr>
            <w:tcW w:type="dxa" w:w="1234"/>
          </w:tcPr>
          <w:p>
            <w:r>
              <w:t>15% of net revenue</w:t>
            </w:r>
          </w:p>
        </w:tc>
        <w:tc>
          <w:tcPr>
            <w:tcW w:type="dxa" w:w="1234"/>
          </w:tcPr>
          <w:p>
            <w:r>
              <w:t>% of net revenue</w:t>
            </w:r>
          </w:p>
        </w:tc>
        <w:tc>
          <w:tcPr>
            <w:tcW w:type="dxa" w:w="1234"/>
          </w:tcPr>
          <w:p>
            <w:r>
              <w:t>Industry benchmark for small molecule; DiMasi / company…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Peak Market Penetration</w:t>
            </w:r>
          </w:p>
        </w:tc>
        <w:tc>
          <w:tcPr>
            <w:tcW w:type="dxa" w:w="1234"/>
          </w:tcPr>
          <w:p>
            <w:r>
              <w:t>15% of addressable patients</w:t>
            </w:r>
          </w:p>
        </w:tc>
        <w:tc>
          <w:tcPr>
            <w:tcW w:type="dxa" w:w="1234"/>
          </w:tcPr>
          <w:p>
            <w:r>
              <w:t>% of addressable population</w:t>
            </w:r>
          </w:p>
        </w:tc>
        <w:tc>
          <w:tcPr>
            <w:tcW w:type="dxa" w:w="1234"/>
          </w:tcPr>
          <w:p>
            <w:r>
              <w:t>[Analyst estimate based on competitive positio…](https://investors.neurocrine.com/news-releases/news-release-details/neurocrine-biosciences-reports-fourth-quarter-and-full-year-2023)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Years to Peak Sales</w:t>
            </w:r>
          </w:p>
        </w:tc>
        <w:tc>
          <w:tcPr>
            <w:tcW w:type="dxa" w:w="1234"/>
          </w:tcPr>
          <w:p>
            <w:r>
              <w:t>6 years post-launch</w:t>
            </w:r>
          </w:p>
        </w:tc>
        <w:tc>
          <w:tcPr>
            <w:tcW w:type="dxa" w:w="1234"/>
          </w:tcPr>
          <w:p>
            <w:r>
              <w:t>years</w:t>
            </w:r>
          </w:p>
        </w:tc>
        <w:tc>
          <w:tcPr>
            <w:tcW w:type="dxa" w:w="1234"/>
          </w:tcPr>
          <w:p>
            <w:r>
              <w:t>Comparable product launches in specialty/oncology; fast…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SG&amp;A Structure</w:t>
            </w:r>
          </w:p>
        </w:tc>
        <w:tc>
          <w:tcPr>
            <w:tcW w:type="dxa" w:w="1234"/>
          </w:tcPr>
          <w:p>
            <w:r>
              <w:t>45% (launch) → 22% (mature) of revenue</w:t>
            </w:r>
          </w:p>
        </w:tc>
        <w:tc>
          <w:tcPr>
            <w:tcW w:type="dxa" w:w="1234"/>
          </w:tcPr>
          <w:p>
            <w:r>
              <w:t>% of net revenue</w:t>
            </w:r>
          </w:p>
        </w:tc>
        <w:tc>
          <w:tcPr>
            <w:tcW w:type="dxa" w:w="1234"/>
          </w:tcPr>
          <w:p>
            <w:r>
              <w:t>Industry benchmarks; specialty pharma commercial model.…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POS Methodology</w:t>
            </w:r>
          </w:p>
        </w:tc>
        <w:tc>
          <w:tcPr>
            <w:tcW w:type="dxa" w:w="1234"/>
          </w:tcPr>
          <w:p>
            <w:r>
              <w:t>Heuristic log-odds model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[Industry-prior base rates (Biomedtracker/IQVI…](https://www.ncbi.nlm.nih.gov/pmc/articles/PMC4609178/)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PHASE 3)</w:t>
            </w:r>
          </w:p>
        </w:tc>
        <w:tc>
          <w:tcPr>
            <w:tcW w:type="dxa" w:w="1234"/>
          </w:tcPr>
          <w:p>
            <w:r>
              <w:t>53%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P(Success</w:t>
            </w:r>
          </w:p>
        </w:tc>
        <w:tc>
          <w:tcPr>
            <w:tcW w:type="dxa" w:w="1234"/>
          </w:tcPr>
          <w:p>
            <w:r>
              <w:t>NDA BLA)</w:t>
            </w:r>
          </w:p>
        </w:tc>
        <w:tc>
          <w:tcPr>
            <w:tcW w:type="dxa" w:w="1234"/>
          </w:tcPr>
          <w:p>
            <w:r>
              <w:t>85%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Analyst estimate; adjusted from TA-specific prior via P…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B: What Would Change This Thesis</w:t>
      </w:r>
    </w:p>
    <w:p/>
    <w:p/>
    <w:p>
      <w:pPr>
        <w:pStyle w:val="ListNumber"/>
      </w:pPr>
      <w:r>
        <w:t>ESSENTIAL Phase 3 success (TETRAS-ADL superiority with clean safety profile) → NDA submission; partnership discussions likely immediately.</w:t>
      </w:r>
    </w:p>
    <w:p>
      <w:pPr>
        <w:pStyle w:val="ListNumber"/>
      </w:pPr>
      <w:r>
        <w:t>ESSENTIAL Phase 3 failure → thesis ends; Praxis restructures around PRAX-628 only; stock falls 60-80%.</w:t>
      </w:r>
    </w:p>
    <w:p>
      <w:pPr>
        <w:pStyle w:val="ListNumber"/>
      </w:pPr>
      <w:r>
        <w:t>PRAX-628 Phase 2 positive readout → platform re-rating; Praxis becomes multi-asset CNS company; reduces single-asset binary risk.</w:t>
      </w:r>
    </w:p>
    <w:p>
      <w:pPr>
        <w:pStyle w:val="ListNumber"/>
      </w:pPr>
      <w:r>
        <w:t>Partnership or licensing deal (large pharma CNS presence) → validates data and removes launch execution risk; upfront + milestone structure.</w:t>
      </w:r>
    </w:p>
    <w:p>
      <w:pPr>
        <w:pStyle w:val="ListNumber"/>
      </w:pPr>
      <w:r>
        <w:t>Payer pre-approval signals (PBM formulary framework before NDA) → accelerates launch ramp; re-rates on commercialization expectations.</w:t>
      </w:r>
    </w:p>
    <w:p>
      <w:pPr>
        <w:pStyle w:val="ListNumber"/>
      </w:pPr>
      <w:r>
        <w:t>Additional biomarker data: oscillation biomarker predicting ulixacaltamide response → could enable precision patient selection and improve responder rate.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C: Limitations</w:t>
      </w:r>
    </w:p>
    <w:p/>
    <w:p>
      <w:pPr>
        <w:pStyle w:val="ListBullet"/>
      </w:pPr>
      <w:r>
        <w:t>US market only. EU (large ET market given aging population) not modeled.</w:t>
      </w:r>
    </w:p>
    <w:p>
      <w:pPr>
        <w:pStyle w:val="ListBullet"/>
      </w:pPr>
      <w:r>
        <w:t>Addressable population (220K/year) includes untreated patients who may respond differently to treatment — market expansion assumptions are uncertain.</w:t>
      </w:r>
    </w:p>
    <w:p>
      <w:pPr>
        <w:pStyle w:val="ListBullet"/>
      </w:pPr>
      <w:r>
        <w:t>Net price ($28K/year) is highly uncertain; payer step-edit requirements could limit first-line use and slow uptake.</w:t>
      </w:r>
    </w:p>
    <w:p>
      <w:pPr>
        <w:pStyle w:val="ListBullet"/>
      </w:pPr>
      <w:r>
        <w:t>Platform value (PRAX-628 epilepsy) not included in this valuation; represents unmodeled option value.</w:t>
      </w:r>
    </w:p>
    <w:p>
      <w:pPr>
        <w:pStyle w:val="ListBullet"/>
      </w:pPr>
      <w:r>
        <w:t>CNS launch trajectories are historically slower than oncology; 6-year ramp to peak may be optimistic.</w:t>
      </w:r>
    </w:p>
    <w:p>
      <w:pPr>
        <w:pStyle w:val="ListBullet"/>
      </w:pPr>
      <w:r>
        <w:t>Cash runway (~8 quarters) creates dilution risk before ESSENTIAL readout; modeled as fixed shares.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Appendix D: Methodology</w:t>
      </w:r>
    </w:p>
    <w:p/>
    <w:p>
      <w:r/>
      <w:r>
        <w:rPr>
          <w:b/>
        </w:rPr>
        <w:t>rNPV:</w:t>
      </w:r>
      <w:r>
        <w:t xml:space="preserve"> Probability-weighted DCF. Trial costs discounted at phase midpoint, weighted by P(reaching each phase). Revenue modeled as EBIT (net revenue − COGS − SG&amp;A), discounted at 12% WACC over a 12-year commercial horizon.</w:t>
      </w:r>
    </w:p>
    <w:p/>
    <w:p>
      <w:r/>
      <w:r>
        <w:rPr>
          <w:b/>
        </w:rPr>
        <w:t>POS model:</w:t>
      </w:r>
      <w:r>
        <w:t xml:space="preserve"> Industry-prior phase transition rates (Biomedtracker/IQVIA 2021, by therapeutic area) adjusted in log-odds space for: endpoint type, MoA precedent, sample adequacy, safety profile, biomarker selection, and competitive pressure. Each adjuster shifts P by ±10–25pp around the base rate.</w:t>
      </w:r>
    </w:p>
    <w:p/>
    <w:p>
      <w:r/>
      <w:r>
        <w:rPr>
          <w:b/>
        </w:rPr>
        <w:t>Monte Carlo (10000 simulations):</w:t>
      </w:r>
      <w:r>
        <w:t xml:space="preserve"> Phase success ~ Beta(α, β) from analyst mean + ESS; peak sales ~ log-normal (CV=78%); discount rate ~ Normal(μ, 2pp); years-to-peak ~ Normal(μ, 1.5 yrs). Correlated draws via Gaussian copula (peak_sales ↔ penetration ρ = −0.20).</w:t>
      </w:r>
    </w:p>
    <w:p/>
    <w:p>
      <w:r/>
      <w:r>
        <w:rPr>
          <w:b/>
        </w:rPr>
        <w:t>Scenario analysis:</w:t>
      </w:r>
      <w:r>
        <w:t xml:space="preserve"> Bull/base/bear applied as multiplicative shocks to peak sales (×1.5/1.0/0.55), POS (×1.3/1.0/0.70), duration (−0.5/0/+1.0 yrs), and WACC (−1pp/0/+2pp).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ulixacaltamide (PRAX-944) — BD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