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title: "ulixacaltamide (PRAX-944) / PRAX — HF Event-Driven Analysis"</w:t>
      </w:r>
    </w:p>
    <w:p>
      <w:r>
        <w:t>date: "2026-03-05"</w:t>
      </w:r>
    </w:p>
    <w:p>
      <w:r>
        <w:t>memo_type: Hedge Fund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PRAX: Event-Driven / Mispricing Analysis</w:t>
      </w:r>
    </w:p>
    <w:p>
      <w:r/>
      <w:r>
        <w:rPr>
          <w:b/>
        </w:rPr>
        <w:t>ulixacaltamide (PRAX-944) | Essential Tremor (moderate-severe), US | 2026-03-05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Variant Perception</w:t>
      </w:r>
    </w:p>
    <w:p/>
    <w:p>
      <w:r/>
      <w:r>
        <w:rPr>
          <w:i/>
        </w:rPr>
        <w:t>What does the market believe, and why are we different?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Market Consensus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Our 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Edge</w:t>
            </w:r>
          </w:p>
        </w:tc>
      </w:tr>
      <w:tr>
        <w:tc>
          <w:tcPr>
            <w:tcW w:type="dxa" w:w="2160"/>
          </w:tcPr>
          <w:p>
            <w:r>
              <w:t>P(Approval)</w:t>
            </w:r>
          </w:p>
        </w:tc>
        <w:tc>
          <w:tcPr>
            <w:tcW w:type="dxa" w:w="2160"/>
          </w:tcPr>
          <w:p>
            <w:r>
              <w:t>28%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+17pp</w:t>
            </w:r>
          </w:p>
        </w:tc>
      </w:tr>
      <w:tr>
        <w:tc>
          <w:tcPr>
            <w:tcW w:type="dxa" w:w="2160"/>
          </w:tcPr>
          <w:p>
            <w:r>
              <w:t>Peak Sales</w:t>
            </w:r>
          </w:p>
        </w:tc>
        <w:tc>
          <w:tcPr>
            <w:tcW w:type="dxa" w:w="2160"/>
          </w:tcPr>
          <w:p>
            <w:r>
              <w:t>$450M</w:t>
            </w:r>
          </w:p>
        </w:tc>
        <w:tc>
          <w:tcPr>
            <w:tcW w:type="dxa" w:w="2160"/>
          </w:tcPr>
          <w:p>
            <w:r>
              <w:t>$739M</w:t>
            </w:r>
          </w:p>
        </w:tc>
        <w:tc>
          <w:tcPr>
            <w:tcW w:type="dxa" w:w="2160"/>
          </w:tcPr>
          <w:p>
            <w:r>
              <w:t>$+289M</w:t>
            </w:r>
          </w:p>
        </w:tc>
      </w:tr>
      <w:tr>
        <w:tc>
          <w:tcPr>
            <w:tcW w:type="dxa" w:w="2160"/>
          </w:tcPr>
          <w:p>
            <w:r>
              <w:t>NAV/Share</w:t>
            </w:r>
          </w:p>
        </w:tc>
        <w:tc>
          <w:tcPr>
            <w:tcW w:type="dxa" w:w="2160"/>
          </w:tcPr>
          <w:p>
            <w:r>
              <w:t>$22.00 (market)</w:t>
            </w:r>
          </w:p>
        </w:tc>
        <w:tc>
          <w:tcPr>
            <w:tcW w:type="dxa" w:w="2160"/>
          </w:tcPr>
          <w:p>
            <w:r>
              <w:t>$15.82</w:t>
            </w:r>
          </w:p>
        </w:tc>
        <w:tc>
          <w:tcPr>
            <w:tcW w:type="dxa" w:w="2160"/>
          </w:tcPr>
          <w:p>
            <w:r>
              <w:t>-28%</w:t>
            </w:r>
          </w:p>
        </w:tc>
      </w:tr>
    </w:tbl>
    <w:p/>
    <w:p/>
    <w:p>
      <w:r/>
      <w:r>
        <w:rPr>
          <w:b/>
        </w:rPr>
        <w:t>Market-implied P(approval):</w:t>
      </w:r>
      <w:r>
        <w:t xml:space="preserve"> 68.7% (back-solved: [market cap − net cash + weighted trial costs] ÷ gross revenue PV)</w:t>
      </w:r>
    </w:p>
    <w:p/>
    <w:p>
      <w:r/>
      <w:r>
        <w:rPr>
          <w:b/>
        </w:rPr>
        <w:t>Thesis:</w:t>
      </w:r>
      <w:r>
        <w:t xml:space="preserve"> The market is applying generic CNS Phase 3 base rates (~30%) to a program with unusually strong Phase 2 signal (p&lt;0.001, -22pp treatment difference on a well-validated endpoint). Three factors are underweighted: (1) ET is a mechanistically clear target — thalamocortical oscillations are measurable and reproducible, unlike CNS diseases with heterogeneous pathophysiology; (2) the 75% untreated moderate-severe population represents a latent demand shock that no financial model is correctly sizing — when a well-tolerated drug exists, adherence-driven market expansion is not captured by simple penetration assumptions; (3) Praxis has a second bite at the apple (PRAX-628 for epilepsy) that is unpriced in the stock.</w:t>
      </w:r>
    </w:p>
    <w:p/>
    <w:p/>
    <w:p>
      <w:r/>
      <w:r>
        <w:rPr>
          <w:b/>
        </w:rPr>
        <w:t>Kill criteria:</w:t>
      </w:r>
      <w:r/>
    </w:p>
    <w:p>
      <w:pPr>
        <w:pStyle w:val="ListBullet"/>
      </w:pPr>
      <w:r>
        <w:t>ESSENTIAL primary endpoint miss: TETRAS-ADL change from baseline fails superiority vs. placebo at week 12</w:t>
      </w:r>
    </w:p>
    <w:p>
      <w:pPr>
        <w:pStyle w:val="ListBullet"/>
      </w:pPr>
      <w:r>
        <w:t>Phase 2 effect does not reproduce: observed treatment difference &lt;10pp (vs 22pp in PRISM); suggests Phase 2 was noise</w:t>
      </w:r>
    </w:p>
    <w:p>
      <w:pPr>
        <w:pStyle w:val="ListBullet"/>
      </w:pPr>
      <w:r>
        <w:t>Safety surprise: CNS AE rate &gt;10% discontinuation (would undermine the 'better tolerated' thesis vs. propranolol)</w:t>
      </w:r>
    </w:p>
    <w:p>
      <w:pPr>
        <w:pStyle w:val="ListBullet"/>
      </w:pPr>
      <w:r>
        <w:t>Cash crisis before ESSENTIAL readout without equity raise at premium to current price</w:t>
      </w:r>
    </w:p>
    <w:p>
      <w:pPr>
        <w:pStyle w:val="ListBullet"/>
      </w:pPr>
      <w:r>
        <w:t>PRAX-628 Phase 2 failure (platform risk): reduces Praxis to single-asset company and impairs financing optionality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Catalyst Calendar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Est. P(Positive)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Est. Move</w:t>
            </w:r>
          </w:p>
        </w:tc>
      </w:tr>
      <w:tr>
        <w:tc>
          <w:tcPr>
            <w:tcW w:type="dxa" w:w="1728"/>
          </w:tcPr>
          <w:p>
            <w:r>
              <w:t>H1 2026</w:t>
            </w:r>
          </w:p>
        </w:tc>
        <w:tc>
          <w:tcPr>
            <w:tcW w:type="dxa" w:w="1728"/>
          </w:tcPr>
          <w:p>
            <w:r>
              <w:t>ESSENTIAL Phase 3 topline (primary: TETRAS-ADL change from baseline)</w:t>
            </w:r>
          </w:p>
        </w:tc>
        <w:tc>
          <w:tcPr>
            <w:tcW w:type="dxa" w:w="1728"/>
          </w:tcPr>
          <w:p>
            <w:r>
              <w:t>Readout</w:t>
            </w:r>
          </w:p>
        </w:tc>
        <w:tc>
          <w:tcPr>
            <w:tcW w:type="dxa" w:w="1728"/>
          </w:tcPr>
          <w:p>
            <w:r>
              <w:t>52%</w:t>
            </w:r>
          </w:p>
        </w:tc>
        <w:tc>
          <w:tcPr>
            <w:tcW w:type="dxa" w:w="1728"/>
          </w:tcPr>
          <w:p>
            <w:r>
              <w:t>TBD</w:t>
            </w:r>
          </w:p>
        </w:tc>
      </w:tr>
      <w:tr>
        <w:tc>
          <w:tcPr>
            <w:tcW w:type="dxa" w:w="1728"/>
          </w:tcPr>
          <w:p>
            <w:r>
              <w:t>H2 2026</w:t>
            </w:r>
          </w:p>
        </w:tc>
        <w:tc>
          <w:tcPr>
            <w:tcW w:type="dxa" w:w="1728"/>
          </w:tcPr>
          <w:p>
            <w:r>
              <w:t>NDA submission (pending ESSENTIAL success)</w:t>
            </w:r>
          </w:p>
        </w:tc>
        <w:tc>
          <w:tcPr>
            <w:tcW w:type="dxa" w:w="1728"/>
          </w:tcPr>
          <w:p>
            <w:r>
              <w:t>Milestone</w:t>
            </w:r>
          </w:p>
        </w:tc>
        <w:tc>
          <w:tcPr>
            <w:tcW w:type="dxa" w:w="1728"/>
          </w:tcPr>
          <w:p>
            <w:r>
              <w:t>48%</w:t>
            </w:r>
          </w:p>
        </w:tc>
        <w:tc>
          <w:tcPr>
            <w:tcW w:type="dxa" w:w="1728"/>
          </w:tcPr>
          <w:p>
            <w:r>
              <w:t>TBD</w:t>
            </w:r>
          </w:p>
        </w:tc>
      </w:tr>
      <w:tr>
        <w:tc>
          <w:tcPr>
            <w:tcW w:type="dxa" w:w="1728"/>
          </w:tcPr>
          <w:p>
            <w:r>
              <w:t>H1 2027</w:t>
            </w:r>
          </w:p>
        </w:tc>
        <w:tc>
          <w:tcPr>
            <w:tcW w:type="dxa" w:w="1728"/>
          </w:tcPr>
          <w:p>
            <w:r>
              <w:t>FDA PDUFA date (NDA review)</w:t>
            </w:r>
          </w:p>
        </w:tc>
        <w:tc>
          <w:tcPr>
            <w:tcW w:type="dxa" w:w="1728"/>
          </w:tcPr>
          <w:p>
            <w:r>
              <w:t>Fda_action</w:t>
            </w:r>
          </w:p>
        </w:tc>
        <w:tc>
          <w:tcPr>
            <w:tcW w:type="dxa" w:w="1728"/>
          </w:tcPr>
          <w:p>
            <w:r>
              <w:t>83%</w:t>
            </w:r>
          </w:p>
        </w:tc>
        <w:tc>
          <w:tcPr>
            <w:tcW w:type="dxa" w:w="1728"/>
          </w:tcPr>
          <w:p>
            <w:r>
              <w:t>TBD</w:t>
            </w:r>
          </w:p>
        </w:tc>
      </w:tr>
      <w:tr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PRAX-628 (epilepsy) Phase 2b readout — platform catalyst</w:t>
            </w:r>
          </w:p>
        </w:tc>
        <w:tc>
          <w:tcPr>
            <w:tcW w:type="dxa" w:w="1728"/>
          </w:tcPr>
          <w:p>
            <w:r>
              <w:t>Readout</w:t>
            </w:r>
          </w:p>
        </w:tc>
        <w:tc>
          <w:tcPr>
            <w:tcW w:type="dxa" w:w="1728"/>
          </w:tcPr>
          <w:p>
            <w:r>
              <w:t>45%</w:t>
            </w:r>
          </w:p>
        </w:tc>
        <w:tc>
          <w:tcPr>
            <w:tcW w:type="dxa" w:w="1728"/>
          </w:tcPr>
          <w:p>
            <w:r>
              <w:t>TBD</w:t>
            </w:r>
          </w:p>
        </w:tc>
      </w:tr>
    </w:tbl>
    <w:p/>
    <w:p/>
    <w:p>
      <w:r/>
      <w:r>
        <w:rPr>
          <w:b/>
        </w:rPr>
        <w:t>Next catalyst:</w:t>
      </w:r>
      <w:r>
        <w:t xml:space="preserve"> [Identify and date the single most important near-term catalyst]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Market-Implied vs. Our Distribution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Market Implied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Our Model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Enterprise value ($M)</w:t>
            </w:r>
          </w:p>
        </w:tc>
        <w:tc>
          <w:tcPr>
            <w:tcW w:type="dxa" w:w="2880"/>
          </w:tcPr>
          <w:p>
            <w:r>
              <w:t>$885M</w:t>
            </w:r>
          </w:p>
        </w:tc>
        <w:tc>
          <w:tcPr>
            <w:tcW w:type="dxa" w:w="2880"/>
          </w:tcPr>
          <w:p>
            <w:r>
              <w:t>$545M</w:t>
            </w:r>
          </w:p>
        </w:tc>
      </w:tr>
      <w:tr>
        <w:tc>
          <w:tcPr>
            <w:tcW w:type="dxa" w:w="2880"/>
          </w:tcPr>
          <w:p>
            <w:r>
              <w:t>Implied peak sales ($M)</w:t>
            </w:r>
          </w:p>
        </w:tc>
        <w:tc>
          <w:tcPr>
            <w:tcW w:type="dxa" w:w="2880"/>
          </w:tcPr>
          <w:p>
            <w:r>
              <w:t>[Back-solve]</w:t>
            </w:r>
          </w:p>
        </w:tc>
        <w:tc>
          <w:tcPr>
            <w:tcW w:type="dxa" w:w="2880"/>
          </w:tcPr>
          <w:p>
            <w:r>
              <w:t>$739M</w:t>
            </w:r>
          </w:p>
        </w:tc>
      </w:tr>
      <w:tr>
        <w:tc>
          <w:tcPr>
            <w:tcW w:type="dxa" w:w="2880"/>
          </w:tcPr>
          <w:p>
            <w:r>
              <w:t>Implied P(approval)</w:t>
            </w:r>
          </w:p>
        </w:tc>
        <w:tc>
          <w:tcPr>
            <w:tcW w:type="dxa" w:w="2880"/>
          </w:tcPr>
          <w:p>
            <w:r>
              <w:t>[Back-solve]</w:t>
            </w:r>
          </w:p>
        </w:tc>
        <w:tc>
          <w:tcPr>
            <w:tcW w:type="dxa" w:w="2880"/>
          </w:tcPr>
          <w:p>
            <w:r>
              <w:t>44.8%</w:t>
            </w:r>
          </w:p>
        </w:tc>
      </w:tr>
      <w:tr>
        <w:tc>
          <w:tcPr>
            <w:tcW w:type="dxa" w:w="2880"/>
          </w:tcPr>
          <w:p>
            <w:r>
              <w:t>NAV/share</w:t>
            </w:r>
          </w:p>
        </w:tc>
        <w:tc>
          <w:tcPr>
            <w:tcW w:type="dxa" w:w="2880"/>
          </w:tcPr>
          <w:p>
            <w:r>
              <w:t>$22.00</w:t>
            </w:r>
          </w:p>
        </w:tc>
        <w:tc>
          <w:tcPr>
            <w:tcW w:type="dxa" w:w="2880"/>
          </w:tcPr>
          <w:p>
            <w:r>
              <w:t>$15.82</w:t>
            </w:r>
          </w:p>
        </w:tc>
      </w:tr>
      <w:tr>
        <w:tc>
          <w:tcPr>
            <w:tcW w:type="dxa" w:w="2880"/>
          </w:tcPr>
          <w:p>
            <w:r>
              <w:t>Implied upside to base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-28%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Valuation Framework</w:t>
      </w:r>
    </w:p>
    <w:p/>
    <w:p>
      <w:pPr>
        <w:pStyle w:val="Heading3"/>
      </w:pPr>
      <w:r>
        <w:t>Base-Case rNPV</w:t>
      </w:r>
    </w:p>
    <w:p>
      <w:pPr>
        <w:pStyle w:val="ListBullet"/>
      </w:pPr>
      <w:r/>
      <w:r>
        <w:rPr>
          <w:b/>
        </w:rPr>
        <w:t>Asset rNPV:</w:t>
      </w:r>
      <w:r>
        <w:t xml:space="preserve"> $545M (12% WACC, 44.8% P(approval))</w:t>
      </w:r>
    </w:p>
    <w:p>
      <w:pPr>
        <w:pStyle w:val="ListBullet"/>
      </w:pPr>
      <w:r/>
      <w:r>
        <w:rPr>
          <w:b/>
        </w:rPr>
        <w:t>Net cash:</w:t>
      </w:r>
      <w:r>
        <w:t xml:space="preserve"> $325M (8 qtrs runway)</w:t>
      </w:r>
    </w:p>
    <w:p>
      <w:pPr>
        <w:pStyle w:val="ListBullet"/>
      </w:pPr>
      <w:r/>
      <w:r>
        <w:rPr>
          <w:b/>
        </w:rPr>
        <w:t>Total NAV:</w:t>
      </w:r>
      <w:r>
        <w:t xml:space="preserve"> $870M = </w:t>
      </w:r>
      <w:r>
        <w:rPr>
          <w:b/>
        </w:rPr>
        <w:t>$15.82/share</w:t>
      </w:r>
      <w:r/>
    </w:p>
    <w:p/>
    <w:p>
      <w:pPr>
        <w:pStyle w:val="Heading3"/>
      </w:pPr>
      <w:r>
        <w:t>Scenario Distribution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rNPV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NAV/Share</w:t>
            </w:r>
          </w:p>
        </w:tc>
      </w:tr>
      <w:tr>
        <w:tc>
          <w:tcPr>
            <w:tcW w:type="dxa" w:w="2160"/>
          </w:tcPr>
          <w:p>
            <w:r>
              <w:t>Bull</w:t>
            </w:r>
          </w:p>
        </w:tc>
        <w:tc>
          <w:tcPr>
            <w:tcW w:type="dxa" w:w="2160"/>
          </w:tcPr>
          <w:p>
            <w:r>
              <w:t>~20%</w:t>
            </w:r>
          </w:p>
        </w:tc>
        <w:tc>
          <w:tcPr>
            <w:tcW w:type="dxa" w:w="2160"/>
          </w:tcPr>
          <w:p>
            <w:r>
              <w:t>$1663M</w:t>
            </w:r>
          </w:p>
        </w:tc>
        <w:tc>
          <w:tcPr>
            <w:tcW w:type="dxa" w:w="2160"/>
          </w:tcPr>
          <w:p>
            <w:r>
              <w:t>$36.15</w:t>
            </w:r>
          </w:p>
        </w:tc>
      </w:tr>
      <w:tr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>
            <w:r>
              <w:t>~50%</w:t>
            </w:r>
          </w:p>
        </w:tc>
        <w:tc>
          <w:tcPr>
            <w:tcW w:type="dxa" w:w="2160"/>
          </w:tcPr>
          <w:p>
            <w:r>
              <w:t>$545M</w:t>
            </w:r>
          </w:p>
        </w:tc>
        <w:tc>
          <w:tcPr>
            <w:tcW w:type="dxa" w:w="2160"/>
          </w:tcPr>
          <w:p>
            <w:r>
              <w:t>$15.82</w:t>
            </w:r>
          </w:p>
        </w:tc>
      </w:tr>
      <w:tr>
        <w:tc>
          <w:tcPr>
            <w:tcW w:type="dxa" w:w="2160"/>
          </w:tcPr>
          <w:p>
            <w:r>
              <w:t>Bear</w:t>
            </w:r>
          </w:p>
        </w:tc>
        <w:tc>
          <w:tcPr>
            <w:tcW w:type="dxa" w:w="2160"/>
          </w:tcPr>
          <w:p>
            <w:r>
              <w:t>~30%</w:t>
            </w:r>
          </w:p>
        </w:tc>
        <w:tc>
          <w:tcPr>
            <w:tcW w:type="dxa" w:w="2160"/>
          </w:tcPr>
          <w:p>
            <w:r>
              <w:t>$11M</w:t>
            </w:r>
          </w:p>
        </w:tc>
        <w:tc>
          <w:tcPr>
            <w:tcW w:type="dxa" w:w="2160"/>
          </w:tcPr>
          <w:p>
            <w:r>
              <w:t>$6.10</w:t>
            </w:r>
          </w:p>
        </w:tc>
      </w:tr>
      <w:tr>
        <w:tc>
          <w:tcPr>
            <w:tcW w:type="dxa" w:w="2160"/>
          </w:tcPr>
          <w:p>
            <w:r>
              <w:t>**Expected**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**$495M**</w:t>
            </w:r>
          </w:p>
        </w:tc>
        <w:tc>
          <w:tcPr>
            <w:tcW w:type="dxa" w:w="2160"/>
          </w:tcPr>
          <w:p>
            <w:r>
              <w:t>**$14.92**</w:t>
            </w:r>
          </w:p>
        </w:tc>
      </w:tr>
    </w:tbl>
    <w:p/>
    <w:p/>
    <w:p>
      <w:pPr>
        <w:pStyle w:val="Heading3"/>
      </w:pPr>
      <w:r>
        <w:t>Monte Carlo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P10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P25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P50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P75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P90</w:t>
            </w:r>
          </w:p>
        </w:tc>
      </w:tr>
      <w:tr>
        <w:tc>
          <w:tcPr>
            <w:tcW w:type="dxa" w:w="1728"/>
          </w:tcPr>
          <w:p>
            <w:r>
              <w:t>$123M</w:t>
            </w:r>
          </w:p>
        </w:tc>
        <w:tc>
          <w:tcPr>
            <w:tcW w:type="dxa" w:w="1728"/>
          </w:tcPr>
          <w:p>
            <w:r>
              <w:t>$229M</w:t>
            </w:r>
          </w:p>
        </w:tc>
        <w:tc>
          <w:tcPr>
            <w:tcW w:type="dxa" w:w="1728"/>
          </w:tcPr>
          <w:p>
            <w:r>
              <w:t>$399M</w:t>
            </w:r>
          </w:p>
        </w:tc>
        <w:tc>
          <w:tcPr>
            <w:tcW w:type="dxa" w:w="1728"/>
          </w:tcPr>
          <w:p>
            <w:r>
              <w:t>$653M</w:t>
            </w:r>
          </w:p>
        </w:tc>
        <w:tc>
          <w:tcPr>
            <w:tcW w:type="dxa" w:w="1728"/>
          </w:tcPr>
          <w:p>
            <w:r>
              <w:t>$980M</w:t>
            </w:r>
          </w:p>
        </w:tc>
      </w:tr>
    </w:tbl>
    <w:p/>
    <w:p/>
    <w:p>
      <w:r/>
      <w:r>
        <w:rPr>
          <w:b/>
        </w:rPr>
        <w:t>P(positive value):</w:t>
      </w:r>
      <w:r>
        <w:t xml:space="preserve"> 99.3%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Key Sensitivities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Driver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rNPV</w:t>
            </w:r>
          </w:p>
        </w:tc>
      </w:tr>
      <w:tr>
        <w:tc>
          <w:tcPr>
            <w:tcW w:type="dxa" w:w="1728"/>
          </w:tcPr>
          <w:p>
            <w:r>
              <w:t>Phase POS (±20%)</w:t>
            </w:r>
          </w:p>
        </w:tc>
        <w:tc>
          <w:tcPr>
            <w:tcW w:type="dxa" w:w="1728"/>
          </w:tcPr>
          <w:p>
            <w:r>
              <w:t>$316M</w:t>
            </w:r>
          </w:p>
        </w:tc>
        <w:tc>
          <w:tcPr>
            <w:tcW w:type="dxa" w:w="1728"/>
          </w:tcPr>
          <w:p>
            <w:r>
              <w:t>$545M</w:t>
            </w:r>
          </w:p>
        </w:tc>
        <w:tc>
          <w:tcPr>
            <w:tcW w:type="dxa" w:w="1728"/>
          </w:tcPr>
          <w:p>
            <w:r>
              <w:t>$798M</w:t>
            </w:r>
          </w:p>
        </w:tc>
        <w:tc>
          <w:tcPr>
            <w:tcW w:type="dxa" w:w="1728"/>
          </w:tcPr>
          <w:p>
            <w:r>
              <w:t>$482M</w:t>
            </w:r>
          </w:p>
        </w:tc>
      </w:tr>
      <w:tr>
        <w:tc>
          <w:tcPr>
            <w:tcW w:type="dxa" w:w="1728"/>
          </w:tcPr>
          <w:p>
            <w:r>
              <w:t>Peak Sales (±30%)</w:t>
            </w:r>
          </w:p>
        </w:tc>
        <w:tc>
          <w:tcPr>
            <w:tcW w:type="dxa" w:w="1728"/>
          </w:tcPr>
          <w:p>
            <w:r>
              <w:t>$353M</w:t>
            </w:r>
          </w:p>
        </w:tc>
        <w:tc>
          <w:tcPr>
            <w:tcW w:type="dxa" w:w="1728"/>
          </w:tcPr>
          <w:p>
            <w:r>
              <w:t>$545M</w:t>
            </w:r>
          </w:p>
        </w:tc>
        <w:tc>
          <w:tcPr>
            <w:tcW w:type="dxa" w:w="1728"/>
          </w:tcPr>
          <w:p>
            <w:r>
              <w:t>$737M</w:t>
            </w:r>
          </w:p>
        </w:tc>
        <w:tc>
          <w:tcPr>
            <w:tcW w:type="dxa" w:w="1728"/>
          </w:tcPr>
          <w:p>
            <w:r>
              <w:t>$384M</w:t>
            </w:r>
          </w:p>
        </w:tc>
      </w:tr>
      <w:tr>
        <w:tc>
          <w:tcPr>
            <w:tcW w:type="dxa" w:w="1728"/>
          </w:tcPr>
          <w:p>
            <w:r>
              <w:t>Peak Penetration (±30%)</w:t>
            </w:r>
          </w:p>
        </w:tc>
        <w:tc>
          <w:tcPr>
            <w:tcW w:type="dxa" w:w="1728"/>
          </w:tcPr>
          <w:p>
            <w:r>
              <w:t>$353M</w:t>
            </w:r>
          </w:p>
        </w:tc>
        <w:tc>
          <w:tcPr>
            <w:tcW w:type="dxa" w:w="1728"/>
          </w:tcPr>
          <w:p>
            <w:r>
              <w:t>$545M</w:t>
            </w:r>
          </w:p>
        </w:tc>
        <w:tc>
          <w:tcPr>
            <w:tcW w:type="dxa" w:w="1728"/>
          </w:tcPr>
          <w:p>
            <w:r>
              <w:t>$737M</w:t>
            </w:r>
          </w:p>
        </w:tc>
        <w:tc>
          <w:tcPr>
            <w:tcW w:type="dxa" w:w="1728"/>
          </w:tcPr>
          <w:p>
            <w:r>
              <w:t>$384M</w:t>
            </w:r>
          </w:p>
        </w:tc>
      </w:tr>
      <w:tr>
        <w:tc>
          <w:tcPr>
            <w:tcW w:type="dxa" w:w="1728"/>
          </w:tcPr>
          <w:p>
            <w:r>
              <w:t>Patent Life (±3 yrs)</w:t>
            </w:r>
          </w:p>
        </w:tc>
        <w:tc>
          <w:tcPr>
            <w:tcW w:type="dxa" w:w="1728"/>
          </w:tcPr>
          <w:p>
            <w:r>
              <w:t>$409M</w:t>
            </w:r>
          </w:p>
        </w:tc>
        <w:tc>
          <w:tcPr>
            <w:tcW w:type="dxa" w:w="1728"/>
          </w:tcPr>
          <w:p>
            <w:r>
              <w:t>$545M</w:t>
            </w:r>
          </w:p>
        </w:tc>
        <w:tc>
          <w:tcPr>
            <w:tcW w:type="dxa" w:w="1728"/>
          </w:tcPr>
          <w:p>
            <w:r>
              <w:t>$642M</w:t>
            </w:r>
          </w:p>
        </w:tc>
        <w:tc>
          <w:tcPr>
            <w:tcW w:type="dxa" w:w="1728"/>
          </w:tcPr>
          <w:p>
            <w:r>
              <w:t>$233M</w:t>
            </w:r>
          </w:p>
        </w:tc>
      </w:tr>
      <w:tr>
        <w:tc>
          <w:tcPr>
            <w:tcW w:type="dxa" w:w="1728"/>
          </w:tcPr>
          <w:p>
            <w:r>
              <w:t>Discount Rate (±2pp)</w:t>
            </w:r>
          </w:p>
        </w:tc>
        <w:tc>
          <w:tcPr>
            <w:tcW w:type="dxa" w:w="1728"/>
          </w:tcPr>
          <w:p>
            <w:r>
              <w:t>$450M</w:t>
            </w:r>
          </w:p>
        </w:tc>
        <w:tc>
          <w:tcPr>
            <w:tcW w:type="dxa" w:w="1728"/>
          </w:tcPr>
          <w:p>
            <w:r>
              <w:t>$545M</w:t>
            </w:r>
          </w:p>
        </w:tc>
        <w:tc>
          <w:tcPr>
            <w:tcW w:type="dxa" w:w="1728"/>
          </w:tcPr>
          <w:p>
            <w:r>
              <w:t>$661M</w:t>
            </w:r>
          </w:p>
        </w:tc>
        <w:tc>
          <w:tcPr>
            <w:tcW w:type="dxa" w:w="1728"/>
          </w:tcPr>
          <w:p>
            <w:r>
              <w:t>$210M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Event Study Evidence</w:t>
      </w:r>
    </w:p>
    <w:p/>
    <w:p>
      <w:r/>
      <w:r>
        <w:rPr>
          <w:i/>
        </w:rPr>
        <w:t>[Populate from abnormal_returns analysis: historical CAR at comparable readouts]</w:t>
      </w:r>
      <w:r/>
    </w:p>
    <w:p/>
    <w:p>
      <w:r>
        <w:t>Benchmarked against XBI (SPDR S&amp;P Biotech ETF):</w:t>
      </w:r>
    </w:p>
    <w:p>
      <w:pPr>
        <w:pStyle w:val="ListBullet"/>
      </w:pPr>
      <w:r>
        <w:t xml:space="preserve">Average 2-day CAR at </w:t>
      </w:r>
      <w:r>
        <w:rPr>
          <w:b/>
        </w:rPr>
        <w:t>positive</w:t>
      </w:r>
      <w:r>
        <w:t xml:space="preserve"> Phase 3 readouts (comparable assets): +[xx]%</w:t>
      </w:r>
    </w:p>
    <w:p>
      <w:pPr>
        <w:pStyle w:val="ListBullet"/>
      </w:pPr>
      <w:r>
        <w:t xml:space="preserve">Average 2-day CAR at </w:t>
      </w:r>
      <w:r>
        <w:rPr>
          <w:b/>
        </w:rPr>
        <w:t>negative</w:t>
      </w:r>
      <w:r>
        <w:t xml:space="preserve"> Phase 3 readouts: –[xx]%</w:t>
      </w:r>
    </w:p>
    <w:p>
      <w:pPr>
        <w:pStyle w:val="ListBullet"/>
      </w:pPr>
      <w:r>
        <w:t>Our base-case expected move: +[xx]% on success (44.8% weight), –[xx]% on failure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Position Sizing &amp; Risk Management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Analysis</w:t>
            </w:r>
          </w:p>
        </w:tc>
      </w:tr>
      <w:tr>
        <w:tc>
          <w:tcPr>
            <w:tcW w:type="dxa" w:w="4320"/>
          </w:tcPr>
          <w:p>
            <w:r>
              <w:t>Expected return to NAV</w:t>
            </w:r>
          </w:p>
        </w:tc>
        <w:tc>
          <w:tcPr>
            <w:tcW w:type="dxa" w:w="4320"/>
          </w:tcPr>
          <w:p>
            <w:r>
              <w:t>-28%</w:t>
            </w:r>
          </w:p>
        </w:tc>
      </w:tr>
      <w:tr>
        <w:tc>
          <w:tcPr>
            <w:tcW w:type="dxa" w:w="4320"/>
          </w:tcPr>
          <w:p>
            <w:r>
              <w:t>Binary event risk</w:t>
            </w:r>
          </w:p>
        </w:tc>
        <w:tc>
          <w:tcPr>
            <w:tcW w:type="dxa" w:w="4320"/>
          </w:tcPr>
          <w:p>
            <w:r>
              <w:t>[±xx% on catalyst; use options to define risk]</w:t>
            </w:r>
          </w:p>
        </w:tc>
      </w:tr>
      <w:tr>
        <w:tc>
          <w:tcPr>
            <w:tcW w:type="dxa" w:w="4320"/>
          </w:tcPr>
          <w:p>
            <w:r>
              <w:t>Recommended position</w:t>
            </w:r>
          </w:p>
        </w:tc>
        <w:tc>
          <w:tcPr>
            <w:tcW w:type="dxa" w:w="4320"/>
          </w:tcPr>
          <w:p>
            <w:r>
              <w:t>[% of portfolio; e.g., 1–3% gross]</w:t>
            </w:r>
          </w:p>
        </w:tc>
      </w:tr>
      <w:tr>
        <w:tc>
          <w:tcPr>
            <w:tcW w:type="dxa" w:w="4320"/>
          </w:tcPr>
          <w:p>
            <w:r>
              <w:t>Catalyst hedge</w:t>
            </w:r>
          </w:p>
        </w:tc>
        <w:tc>
          <w:tcPr>
            <w:tcW w:type="dxa" w:w="4320"/>
          </w:tcPr>
          <w:p>
            <w:r>
              <w:t>[Protective puts / collar if large position]</w:t>
            </w:r>
          </w:p>
        </w:tc>
      </w:tr>
      <w:tr>
        <w:tc>
          <w:tcPr>
            <w:tcW w:type="dxa" w:w="4320"/>
          </w:tcPr>
          <w:p>
            <w:r>
              <w:t>Stop-loss</w:t>
            </w:r>
          </w:p>
        </w:tc>
        <w:tc>
          <w:tcPr>
            <w:tcW w:type="dxa" w:w="4320"/>
          </w:tcPr>
          <w:p>
            <w:r>
              <w:t>[e.g., –20% from entry, or "clinical hold"]</w:t>
            </w:r>
          </w:p>
        </w:tc>
      </w:tr>
      <w:tr>
        <w:tc>
          <w:tcPr>
            <w:tcW w:type="dxa" w:w="4320"/>
          </w:tcPr>
          <w:p>
            <w:r>
              <w:t>Time horizon</w:t>
            </w:r>
          </w:p>
        </w:tc>
        <w:tc>
          <w:tcPr>
            <w:tcW w:type="dxa" w:w="4320"/>
          </w:tcPr>
          <w:p>
            <w:r>
              <w:t>2.5 years to launch; next catalyst in [xx months]</w:t>
            </w:r>
          </w:p>
        </w:tc>
      </w:tr>
    </w:tbl>
    <w:p/>
    <w:p/>
    <w:p>
      <w:r/>
      <w:r>
        <w:rPr>
          <w:b/>
        </w:rPr>
        <w:t>Options market</w:t>
      </w:r>
      <w:r>
        <w:t xml:space="preserve"> (if available): IV suggests market pricing ~[xx]% move at next catalyst. We [agree/disagree] because [thesis].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Trade Recommendation</w:t>
      </w:r>
    </w:p>
    <w:p/>
    <w:p>
      <w:r/>
      <w:r>
        <w:rPr>
          <w:b/>
        </w:rPr>
        <w:t>Action:</w:t>
      </w:r>
      <w:r>
        <w:t xml:space="preserve"> [LONG / LONG with hedge / AVOID / SHORT]</w:t>
      </w:r>
    </w:p>
    <w:p/>
    <w:p>
      <w:r/>
      <w:r>
        <w:rPr>
          <w:b/>
        </w:rPr>
        <w:t>Entry:</w:t>
      </w:r>
      <w:r>
        <w:t xml:space="preserve"> [Price or price range]</w:t>
      </w:r>
    </w:p>
    <w:p/>
    <w:p>
      <w:r/>
      <w:r>
        <w:rPr>
          <w:b/>
        </w:rPr>
        <w:t>Thesis confirmation events:</w:t>
      </w:r>
      <w:r>
        <w:t xml:space="preserve"> [What data points / milestones would confirm or refute the thesis?]</w:t>
      </w:r>
    </w:p>
    <w:p/>
    <w:p>
      <w:r/>
      <w:r>
        <w:rPr>
          <w:b/>
        </w:rPr>
        <w:t>Exit triggers:</w:t>
      </w:r>
      <w:r/>
    </w:p>
    <w:p>
      <w:pPr>
        <w:pStyle w:val="ListNumber"/>
      </w:pPr>
      <w:r>
        <w:t>Primary endpoint read-out (positive → scale, negative → exit)</w:t>
      </w:r>
    </w:p>
    <w:p>
      <w:pPr>
        <w:pStyle w:val="ListNumber"/>
      </w:pPr>
      <w:r>
        <w:t>[Secondary trigger]</w:t>
      </w:r>
    </w:p>
    <w:p>
      <w:pPr>
        <w:pStyle w:val="ListNumber"/>
      </w:pPr>
      <w:r>
        <w:t>[Stop-loss level]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i/>
        </w:rPr>
        <w:t>This analysis is for informational purposes only and does not constitute investment advice. All projections are model estimates subject to material uncertainty.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ulixacaltamide (PRAX-944) — HF Memo</dc:title>
  <dc:subject/>
  <dc:creator>BVE Analytics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